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8CBD" w14:textId="558EABF9" w:rsidR="008C5709" w:rsidRPr="00392C59" w:rsidRDefault="008C5709" w:rsidP="00F9007B">
      <w:pPr>
        <w:pStyle w:val="Hlavika"/>
        <w:framePr w:hSpace="0" w:wrap="auto" w:vAnchor="margin" w:yAlign="inline"/>
        <w:spacing w:line="360" w:lineRule="auto"/>
        <w:ind w:left="-426"/>
        <w:jc w:val="center"/>
        <w:rPr>
          <w:rFonts w:ascii="Tahoma" w:hAnsi="Tahoma" w:cs="Tahoma"/>
          <w:b/>
          <w:noProof/>
          <w:sz w:val="22"/>
          <w:szCs w:val="22"/>
        </w:rPr>
      </w:pPr>
      <w:r w:rsidRPr="00392C59">
        <w:rPr>
          <w:rFonts w:ascii="Tahoma" w:hAnsi="Tahoma" w:cs="Tahoma"/>
          <w:b/>
          <w:noProof/>
          <w:sz w:val="22"/>
          <w:szCs w:val="22"/>
        </w:rPr>
        <w:t xml:space="preserve">Záznam </w:t>
      </w:r>
      <w:r w:rsidR="00F9007B" w:rsidRPr="00392C59">
        <w:rPr>
          <w:rFonts w:ascii="Tahoma" w:hAnsi="Tahoma" w:cs="Tahoma"/>
          <w:b/>
          <w:noProof/>
          <w:sz w:val="22"/>
          <w:szCs w:val="22"/>
        </w:rPr>
        <w:t>z Verejnej prezentácie a prerokovania projektu „</w:t>
      </w:r>
      <w:r w:rsidR="00392C59" w:rsidRPr="00392C59">
        <w:rPr>
          <w:rFonts w:ascii="Tahoma" w:hAnsi="Tahoma" w:cs="Tahoma"/>
          <w:b/>
          <w:noProof/>
          <w:sz w:val="22"/>
          <w:szCs w:val="22"/>
        </w:rPr>
        <w:t>Zlepšovanie digitálnych zručností seniorov a znevýhodnených skupín vo verejnej správe</w:t>
      </w:r>
      <w:r w:rsidR="00F9007B" w:rsidRPr="00392C59">
        <w:rPr>
          <w:rFonts w:ascii="Tahoma" w:hAnsi="Tahoma" w:cs="Tahoma"/>
          <w:b/>
          <w:noProof/>
          <w:sz w:val="22"/>
          <w:szCs w:val="22"/>
        </w:rPr>
        <w:t>“</w:t>
      </w:r>
    </w:p>
    <w:p w14:paraId="1E76FA1E" w14:textId="77777777" w:rsidR="008C5709" w:rsidRPr="00392C59" w:rsidRDefault="008C5709" w:rsidP="00092268">
      <w:pPr>
        <w:pStyle w:val="Odsekzoznamu"/>
        <w:spacing w:line="360" w:lineRule="auto"/>
        <w:ind w:left="0"/>
        <w:jc w:val="center"/>
        <w:rPr>
          <w:rFonts w:ascii="Tahoma" w:hAnsi="Tahoma" w:cs="Tahoma"/>
          <w:b/>
          <w:noProof/>
          <w:sz w:val="22"/>
          <w:szCs w:val="22"/>
        </w:rPr>
      </w:pPr>
    </w:p>
    <w:p w14:paraId="55660100" w14:textId="24BBBFEB" w:rsidR="008C5709" w:rsidRPr="00392C59" w:rsidRDefault="008C5709" w:rsidP="007D33E4">
      <w:pPr>
        <w:spacing w:after="0" w:line="360" w:lineRule="auto"/>
        <w:jc w:val="both"/>
        <w:rPr>
          <w:rFonts w:ascii="Tahoma" w:hAnsi="Tahoma" w:cs="Tahoma"/>
        </w:rPr>
      </w:pPr>
      <w:r w:rsidRPr="00392C59">
        <w:rPr>
          <w:rFonts w:ascii="Tahoma" w:hAnsi="Tahoma" w:cs="Tahoma"/>
          <w:u w:val="single"/>
        </w:rPr>
        <w:t>Dátum:</w:t>
      </w:r>
      <w:r w:rsidR="00F9007B" w:rsidRPr="00392C59">
        <w:rPr>
          <w:rFonts w:ascii="Tahoma" w:hAnsi="Tahoma" w:cs="Tahoma"/>
        </w:rPr>
        <w:t xml:space="preserve"> </w:t>
      </w:r>
      <w:r w:rsidR="00F9007B" w:rsidRPr="00392C59">
        <w:rPr>
          <w:rFonts w:ascii="Tahoma" w:hAnsi="Tahoma" w:cs="Tahoma"/>
        </w:rPr>
        <w:tab/>
      </w:r>
      <w:r w:rsidR="00F9007B" w:rsidRPr="00392C59">
        <w:rPr>
          <w:rFonts w:ascii="Tahoma" w:hAnsi="Tahoma" w:cs="Tahoma"/>
        </w:rPr>
        <w:tab/>
      </w:r>
      <w:r w:rsidR="00392C59" w:rsidRPr="00392C59">
        <w:rPr>
          <w:rFonts w:ascii="Tahoma" w:hAnsi="Tahoma" w:cs="Tahoma"/>
        </w:rPr>
        <w:t>07</w:t>
      </w:r>
      <w:r w:rsidR="00FC35D2" w:rsidRPr="00392C59">
        <w:rPr>
          <w:rFonts w:ascii="Tahoma" w:hAnsi="Tahoma" w:cs="Tahoma"/>
        </w:rPr>
        <w:t xml:space="preserve">. </w:t>
      </w:r>
      <w:r w:rsidR="00392C59" w:rsidRPr="00392C59">
        <w:rPr>
          <w:rFonts w:ascii="Tahoma" w:hAnsi="Tahoma" w:cs="Tahoma"/>
        </w:rPr>
        <w:t>05.</w:t>
      </w:r>
      <w:r w:rsidR="00F9007B" w:rsidRPr="00392C59">
        <w:rPr>
          <w:rFonts w:ascii="Tahoma" w:hAnsi="Tahoma" w:cs="Tahoma"/>
        </w:rPr>
        <w:t xml:space="preserve"> 2021, 1</w:t>
      </w:r>
      <w:r w:rsidR="00392C59" w:rsidRPr="00392C59">
        <w:rPr>
          <w:rFonts w:ascii="Tahoma" w:hAnsi="Tahoma" w:cs="Tahoma"/>
        </w:rPr>
        <w:t>3</w:t>
      </w:r>
      <w:r w:rsidR="00EC40E5" w:rsidRPr="00392C59">
        <w:rPr>
          <w:rFonts w:ascii="Tahoma" w:hAnsi="Tahoma" w:cs="Tahoma"/>
        </w:rPr>
        <w:t>:00– 15:</w:t>
      </w:r>
      <w:r w:rsidR="00392C59" w:rsidRPr="00392C59">
        <w:rPr>
          <w:rFonts w:ascii="Tahoma" w:hAnsi="Tahoma" w:cs="Tahoma"/>
        </w:rPr>
        <w:t>0</w:t>
      </w:r>
      <w:r w:rsidR="00EC40E5" w:rsidRPr="00392C59">
        <w:rPr>
          <w:rFonts w:ascii="Tahoma" w:hAnsi="Tahoma" w:cs="Tahoma"/>
        </w:rPr>
        <w:t>0 hod.</w:t>
      </w:r>
    </w:p>
    <w:p w14:paraId="45414E5E" w14:textId="1F6CCD7B" w:rsidR="008C5709" w:rsidRPr="00392C59" w:rsidRDefault="008C5709" w:rsidP="007D33E4">
      <w:pPr>
        <w:spacing w:after="0" w:line="360" w:lineRule="auto"/>
        <w:jc w:val="both"/>
        <w:rPr>
          <w:rFonts w:ascii="Tahoma" w:hAnsi="Tahoma" w:cs="Tahoma"/>
        </w:rPr>
      </w:pPr>
      <w:r w:rsidRPr="00392C59">
        <w:rPr>
          <w:rFonts w:ascii="Tahoma" w:hAnsi="Tahoma" w:cs="Tahoma"/>
          <w:u w:val="single"/>
        </w:rPr>
        <w:t>Miesto konania:</w:t>
      </w:r>
      <w:r w:rsidRPr="00392C59">
        <w:rPr>
          <w:rFonts w:ascii="Tahoma" w:hAnsi="Tahoma" w:cs="Tahoma"/>
        </w:rPr>
        <w:t xml:space="preserve"> </w:t>
      </w:r>
      <w:r w:rsidRPr="00392C59">
        <w:rPr>
          <w:rFonts w:ascii="Tahoma" w:hAnsi="Tahoma" w:cs="Tahoma"/>
        </w:rPr>
        <w:tab/>
        <w:t>online</w:t>
      </w:r>
      <w:r w:rsidR="0041344B" w:rsidRPr="00392C59">
        <w:rPr>
          <w:rFonts w:ascii="Tahoma" w:hAnsi="Tahoma" w:cs="Tahoma"/>
        </w:rPr>
        <w:t xml:space="preserve"> </w:t>
      </w:r>
      <w:r w:rsidR="00392C59" w:rsidRPr="00392C59">
        <w:rPr>
          <w:rFonts w:ascii="Tahoma" w:hAnsi="Tahoma" w:cs="Tahoma"/>
        </w:rPr>
        <w:t>MS Teams</w:t>
      </w:r>
    </w:p>
    <w:p w14:paraId="75683F2B" w14:textId="77777777" w:rsidR="008C5709" w:rsidRPr="00392C59" w:rsidRDefault="008C5709" w:rsidP="007D33E4">
      <w:pPr>
        <w:spacing w:line="360" w:lineRule="auto"/>
        <w:jc w:val="both"/>
        <w:rPr>
          <w:rFonts w:ascii="Tahoma" w:hAnsi="Tahoma" w:cs="Tahoma"/>
          <w:u w:val="single"/>
        </w:rPr>
      </w:pPr>
      <w:r w:rsidRPr="00392C59">
        <w:rPr>
          <w:rFonts w:ascii="Tahoma" w:hAnsi="Tahoma" w:cs="Tahoma"/>
          <w:u w:val="single"/>
        </w:rPr>
        <w:t xml:space="preserve">Prítomní: 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2126"/>
      </w:tblGrid>
      <w:tr w:rsidR="00D50D1F" w:rsidRPr="00392C59" w14:paraId="3838D3C3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4C385A" w14:textId="77777777" w:rsidR="00D50D1F" w:rsidRPr="00392C59" w:rsidRDefault="00D50D1F" w:rsidP="007D33E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1AA58A" w14:textId="77777777" w:rsidR="00D50D1F" w:rsidRPr="00392C59" w:rsidRDefault="00D50D1F" w:rsidP="007D33E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92C59">
              <w:rPr>
                <w:rFonts w:ascii="Tahoma" w:hAnsi="Tahoma" w:cs="Tahoma"/>
              </w:rPr>
              <w:t>Inštitúcia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4D9EF5" w14:textId="77777777" w:rsidR="00D50D1F" w:rsidRPr="00392C59" w:rsidRDefault="00D50D1F" w:rsidP="007D33E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92C59">
              <w:rPr>
                <w:rFonts w:ascii="Tahoma" w:hAnsi="Tahoma" w:cs="Tahoma"/>
              </w:rPr>
              <w:t>Menovaní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D818B5" w14:textId="77777777" w:rsidR="00D50D1F" w:rsidRPr="00392C59" w:rsidRDefault="00D50D1F" w:rsidP="007D33E4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92C59">
              <w:rPr>
                <w:rFonts w:ascii="Tahoma" w:hAnsi="Tahoma" w:cs="Tahoma"/>
              </w:rPr>
              <w:t>Prítomní</w:t>
            </w:r>
          </w:p>
        </w:tc>
      </w:tr>
      <w:tr w:rsidR="00F95976" w:rsidRPr="00392C59" w14:paraId="32E8D736" w14:textId="77777777" w:rsidTr="00FA0A8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AFD" w14:textId="77777777" w:rsidR="00F95976" w:rsidRPr="00831433" w:rsidRDefault="00F95976" w:rsidP="00F95976">
            <w:pPr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33B" w14:textId="40D722D2" w:rsidR="00F95976" w:rsidRPr="00EE789B" w:rsidRDefault="00F95976" w:rsidP="00F9597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MIRRI</w:t>
            </w:r>
            <w:r w:rsidR="00831433">
              <w:rPr>
                <w:rFonts w:ascii="Tahoma" w:hAnsi="Tahoma" w:cs="Tahoma"/>
              </w:rPr>
              <w:t xml:space="preserve">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A13" w14:textId="5F8808B9" w:rsidR="00F95976" w:rsidRPr="00EE789B" w:rsidRDefault="00F95976" w:rsidP="00F9597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PhDr. Radoslav Repa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3FF" w14:textId="68E0E6AD" w:rsidR="00F95976" w:rsidRPr="00EE789B" w:rsidRDefault="00F95976" w:rsidP="00F9597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64291B4D" w14:textId="77777777" w:rsidTr="004D4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9D6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AB3" w14:textId="76F05193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CE5FB6">
              <w:rPr>
                <w:rFonts w:ascii="Tahoma" w:hAnsi="Tahoma" w:cs="Tahoma"/>
              </w:rPr>
              <w:t>MIRRI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3B91" w14:textId="5C7E926E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JUDr. Tomáš Jucha, MSc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AC9" w14:textId="4DDB75CF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0204ED2B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399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A44" w14:textId="683BC66E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CE5FB6">
              <w:rPr>
                <w:rFonts w:ascii="Tahoma" w:hAnsi="Tahoma" w:cs="Tahoma"/>
              </w:rPr>
              <w:t>MIRRI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A9B1" w14:textId="2A67BF14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Mgr. Viktor Klik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716" w14:textId="2D4A3773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 xml:space="preserve">Prítomný </w:t>
            </w:r>
          </w:p>
        </w:tc>
      </w:tr>
      <w:tr w:rsidR="00831433" w:rsidRPr="00392C59" w14:paraId="6F3DA69D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A9E" w14:textId="77777777" w:rsidR="00831433" w:rsidRPr="00831433" w:rsidRDefault="00831433" w:rsidP="00831433">
            <w:pPr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827" w14:textId="0342CD7E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CE5FB6">
              <w:rPr>
                <w:rFonts w:ascii="Tahoma" w:hAnsi="Tahoma" w:cs="Tahoma"/>
              </w:rPr>
              <w:t>MIRRI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218E" w14:textId="18FF341C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Gustáv Budinský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FBD" w14:textId="47867CED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64C9C2D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6E3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411" w14:textId="7785556C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CE5FB6">
              <w:rPr>
                <w:rFonts w:ascii="Tahoma" w:hAnsi="Tahoma" w:cs="Tahoma"/>
              </w:rPr>
              <w:t>MIRRI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FC3C" w14:textId="5E4685FD" w:rsidR="00831433" w:rsidRPr="0088724E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88724E">
              <w:rPr>
                <w:rFonts w:ascii="Tahoma" w:hAnsi="Tahoma" w:cs="Tahoma"/>
                <w:color w:val="000000"/>
              </w:rPr>
              <w:t>Pavol Mihalkovič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C24" w14:textId="55BFDF8F" w:rsidR="00831433" w:rsidRPr="0088724E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8724E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53BB23B8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1CA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181" w14:textId="7DBD7803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CE5FB6">
              <w:rPr>
                <w:rFonts w:ascii="Tahoma" w:hAnsi="Tahoma" w:cs="Tahoma"/>
              </w:rPr>
              <w:t>MIRRI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1ADF" w14:textId="509E58FE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Petra Koleková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444" w14:textId="5412297C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Prítomná</w:t>
            </w:r>
          </w:p>
        </w:tc>
      </w:tr>
      <w:tr w:rsidR="00831433" w:rsidRPr="00392C59" w14:paraId="72211EE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A77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226" w14:textId="1159AEB8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CE5FB6">
              <w:rPr>
                <w:rFonts w:ascii="Tahoma" w:hAnsi="Tahoma" w:cs="Tahoma"/>
              </w:rPr>
              <w:t>MIRRI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E3BA" w14:textId="16B0C8A6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Denisa Vasarábová Kutyová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D3B" w14:textId="257FCE95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Prítomná</w:t>
            </w:r>
          </w:p>
        </w:tc>
      </w:tr>
      <w:tr w:rsidR="00831433" w:rsidRPr="00392C59" w14:paraId="0643A50E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04D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1D2" w14:textId="59A57682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</w:rPr>
              <w:t>Národná koalícia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94E8" w14:textId="3BC05216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Mário Lelovský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3ED" w14:textId="5C19EF4E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47A1B8EB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46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C7E" w14:textId="69FE70F4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</w:rPr>
              <w:t>Národná koalícia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D961" w14:textId="614036E0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Andrej Bederka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C48" w14:textId="77862156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3DFD43EF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EA5" w14:textId="77777777" w:rsidR="00831433" w:rsidRPr="00831433" w:rsidRDefault="00831433" w:rsidP="00831433">
            <w:pPr>
              <w:spacing w:line="360" w:lineRule="auto"/>
              <w:ind w:right="-115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4E1" w14:textId="6FB9EB02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</w:rPr>
              <w:t>Národná koalícia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1369" w14:textId="4A7994DA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Lukáš Lukáč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B69" w14:textId="3550430B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 xml:space="preserve">Prítomný </w:t>
            </w:r>
          </w:p>
        </w:tc>
      </w:tr>
      <w:tr w:rsidR="00831433" w:rsidRPr="00392C59" w14:paraId="292E399D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B08" w14:textId="77777777" w:rsidR="00831433" w:rsidRPr="00831433" w:rsidRDefault="00831433" w:rsidP="00831433">
            <w:pPr>
              <w:spacing w:line="360" w:lineRule="auto"/>
              <w:ind w:right="-115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843" w14:textId="6328BA49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Partnerstvá pre prosperitu (PPP)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11AE" w14:textId="2C7F72B0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Milan Ištván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D45" w14:textId="305FA08E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035DBFE5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2B1" w14:textId="77777777" w:rsidR="00831433" w:rsidRPr="00831433" w:rsidRDefault="00831433" w:rsidP="00831433">
            <w:pPr>
              <w:spacing w:line="360" w:lineRule="auto"/>
              <w:ind w:right="-115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527" w14:textId="5F9F4086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Ministerstvo dopravy a výstavby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35E4" w14:textId="7B7B45D1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Ivan Gašparík, 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4CF" w14:textId="43326DC5" w:rsidR="00831433" w:rsidRPr="00EE789B" w:rsidRDefault="00831433" w:rsidP="00831433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EE789B">
              <w:rPr>
                <w:rFonts w:ascii="Tahoma" w:eastAsia="Calibri" w:hAnsi="Tahoma" w:cs="Tahoma"/>
              </w:rPr>
              <w:t xml:space="preserve">Prítomný </w:t>
            </w:r>
          </w:p>
        </w:tc>
      </w:tr>
      <w:tr w:rsidR="00831433" w:rsidRPr="00392C59" w14:paraId="1069E332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DBD" w14:textId="77777777" w:rsidR="00831433" w:rsidRPr="004815DD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4815DD">
              <w:rPr>
                <w:rFonts w:ascii="Tahoma" w:hAnsi="Tahoma" w:cs="Tahoma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251" w14:textId="168F7435" w:rsidR="00831433" w:rsidRPr="004815DD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4815DD">
              <w:rPr>
                <w:rFonts w:ascii="Tahoma" w:hAnsi="Tahoma" w:cs="Tahoma"/>
                <w:color w:val="000000"/>
              </w:rPr>
              <w:t>Ministerstvo dopravy a výstavby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B247" w14:textId="1869C583" w:rsidR="00831433" w:rsidRPr="004815DD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4815DD">
              <w:rPr>
                <w:rFonts w:ascii="Tahoma" w:hAnsi="Tahoma" w:cs="Tahoma"/>
                <w:color w:val="000000"/>
              </w:rPr>
              <w:t>Vladimír Sedláček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5D" w14:textId="2CCAE52B" w:rsidR="00831433" w:rsidRPr="004815DD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4815DD">
              <w:rPr>
                <w:rFonts w:ascii="Tahoma" w:hAnsi="Tahoma" w:cs="Tahoma"/>
              </w:rPr>
              <w:t>Prítomný</w:t>
            </w:r>
          </w:p>
        </w:tc>
      </w:tr>
      <w:tr w:rsidR="00831433" w:rsidRPr="00392C59" w14:paraId="43BE2DAE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DBC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474" w14:textId="1539F870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IT asociácia Slovenska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2A35" w14:textId="6BFC9FC6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Emil Fitoš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496" w14:textId="558A6CE2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eastAsia="Calibri" w:hAnsi="Tahoma" w:cs="Tahoma"/>
              </w:rPr>
              <w:t>Prítomný</w:t>
            </w:r>
          </w:p>
        </w:tc>
      </w:tr>
      <w:tr w:rsidR="00831433" w:rsidRPr="00392C59" w14:paraId="34F7083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A8B" w14:textId="77777777" w:rsidR="00831433" w:rsidRPr="00831433" w:rsidRDefault="00831433" w:rsidP="00831433">
            <w:pPr>
              <w:spacing w:line="360" w:lineRule="auto"/>
              <w:ind w:right="-5360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AA2" w14:textId="3A8000FB" w:rsidR="00831433" w:rsidRPr="0088724E" w:rsidRDefault="00831433" w:rsidP="00831433">
            <w:pPr>
              <w:spacing w:after="160" w:line="259" w:lineRule="auto"/>
            </w:pPr>
            <w:r w:rsidRPr="00EE789B">
              <w:rPr>
                <w:rFonts w:ascii="Tahoma" w:hAnsi="Tahoma" w:cs="Tahoma"/>
                <w:color w:val="000000"/>
              </w:rPr>
              <w:t>žive/Ringier Axel Springer 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F7AB" w14:textId="5BB25FB8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Lukáš Kosno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DC2" w14:textId="650EFB12" w:rsidR="00831433" w:rsidRPr="00EE789B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EE789B">
              <w:rPr>
                <w:rFonts w:ascii="Tahoma" w:hAnsi="Tahoma" w:cs="Tahoma"/>
              </w:rPr>
              <w:t xml:space="preserve">Prítomný </w:t>
            </w:r>
          </w:p>
        </w:tc>
      </w:tr>
      <w:tr w:rsidR="00831433" w:rsidRPr="00392C59" w14:paraId="752A5EE9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9E9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5" w14:textId="0AC2CA98" w:rsidR="00831433" w:rsidRPr="0088724E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žive/Ringier Axel Springer 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668F" w14:textId="6DE2CFA8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Filip Hanker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FC" w14:textId="314540D7" w:rsidR="00831433" w:rsidRPr="00EE789B" w:rsidRDefault="00831433" w:rsidP="00831433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EE789B">
              <w:rPr>
                <w:rFonts w:ascii="Tahoma" w:hAnsi="Tahoma" w:cs="Tahoma"/>
              </w:rPr>
              <w:t xml:space="preserve">Prítomný </w:t>
            </w:r>
          </w:p>
        </w:tc>
      </w:tr>
      <w:tr w:rsidR="00831433" w:rsidRPr="00392C59" w14:paraId="05AD7D61" w14:textId="77777777" w:rsidTr="00FB62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7C7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64C" w14:textId="48D545A8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Slovensko.Digital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AF4D" w14:textId="38DE17CC" w:rsidR="00831433" w:rsidRPr="00EE789B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EE789B">
              <w:rPr>
                <w:rFonts w:ascii="Tahoma" w:hAnsi="Tahoma" w:cs="Tahoma"/>
                <w:color w:val="000000"/>
              </w:rPr>
              <w:t>Juraj Dillinger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308" w14:textId="3B43B7D0" w:rsidR="00831433" w:rsidRPr="00EE789B" w:rsidRDefault="00831433" w:rsidP="00831433">
            <w:pPr>
              <w:spacing w:line="360" w:lineRule="auto"/>
              <w:jc w:val="both"/>
              <w:rPr>
                <w:rFonts w:ascii="Tahoma" w:eastAsia="Calibri" w:hAnsi="Tahoma" w:cs="Tahoma"/>
              </w:rPr>
            </w:pPr>
            <w:r w:rsidRPr="00EE789B">
              <w:rPr>
                <w:rFonts w:ascii="Tahoma" w:hAnsi="Tahoma" w:cs="Tahoma"/>
              </w:rPr>
              <w:t xml:space="preserve">Prítomný </w:t>
            </w:r>
          </w:p>
        </w:tc>
      </w:tr>
      <w:tr w:rsidR="00831433" w:rsidRPr="00392C59" w14:paraId="0C9CF9EF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30D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822" w14:textId="2FEF8413" w:rsidR="00831433" w:rsidRPr="00392C59" w:rsidRDefault="00831433" w:rsidP="00831433">
            <w:pPr>
              <w:rPr>
                <w:rFonts w:ascii="Tahoma" w:hAnsi="Tahoma" w:cs="Tahoma"/>
                <w:color w:val="000000"/>
                <w:highlight w:val="yellow"/>
              </w:rPr>
            </w:pPr>
            <w:r w:rsidRPr="0088724E">
              <w:rPr>
                <w:rFonts w:ascii="Calibri" w:hAnsi="Calibri" w:cs="Calibri"/>
                <w:color w:val="000000"/>
                <w:sz w:val="23"/>
                <w:szCs w:val="23"/>
              </w:rPr>
              <w:t>Asseco Central Europe, a.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6518" w14:textId="12AA9AC2" w:rsidR="00831433" w:rsidRPr="00392C59" w:rsidRDefault="00831433" w:rsidP="00831433">
            <w:pPr>
              <w:rPr>
                <w:rFonts w:ascii="Tahoma" w:hAnsi="Tahoma" w:cs="Tahoma"/>
                <w:color w:val="000000"/>
                <w:highlight w:val="yellow"/>
              </w:rPr>
            </w:pPr>
            <w:r>
              <w:rPr>
                <w:rFonts w:ascii="Tahoma" w:hAnsi="Tahoma" w:cs="Tahoma"/>
                <w:color w:val="000000"/>
              </w:rPr>
              <w:t>Júlia Sivecká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445" w14:textId="5CFE02F8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Prítomná</w:t>
            </w:r>
          </w:p>
        </w:tc>
      </w:tr>
      <w:tr w:rsidR="00831433" w:rsidRPr="00392C59" w14:paraId="224B035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882" w14:textId="77777777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664" w14:textId="2CAB8F8D" w:rsidR="00831433" w:rsidRPr="00392C59" w:rsidRDefault="00831433" w:rsidP="00831433">
            <w:pPr>
              <w:rPr>
                <w:rFonts w:ascii="Tahoma" w:hAnsi="Tahoma" w:cs="Tahoma"/>
                <w:color w:val="000000"/>
                <w:highlight w:val="yellow"/>
              </w:rPr>
            </w:pPr>
            <w:r w:rsidRPr="0088724E">
              <w:rPr>
                <w:rFonts w:ascii="Calibri" w:hAnsi="Calibri" w:cs="Calibri"/>
                <w:color w:val="000000"/>
                <w:sz w:val="23"/>
                <w:szCs w:val="23"/>
              </w:rPr>
              <w:t>Asseco Central Europe, a.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1B36" w14:textId="4CAECCDE" w:rsidR="00831433" w:rsidRPr="00392C59" w:rsidRDefault="00831433" w:rsidP="00831433">
            <w:pPr>
              <w:rPr>
                <w:rFonts w:ascii="Tahoma" w:hAnsi="Tahoma" w:cs="Tahoma"/>
                <w:color w:val="000000"/>
                <w:highlight w:val="yellow"/>
              </w:rPr>
            </w:pPr>
            <w:r>
              <w:rPr>
                <w:rFonts w:ascii="Tahoma" w:hAnsi="Tahoma" w:cs="Tahoma"/>
                <w:color w:val="000000"/>
              </w:rPr>
              <w:t>Lucia Kandráčová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B23" w14:textId="73EAB225" w:rsidR="00831433" w:rsidRPr="00831433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831433">
              <w:rPr>
                <w:rFonts w:ascii="Tahoma" w:hAnsi="Tahoma" w:cs="Tahoma"/>
              </w:rPr>
              <w:t>Prítomná</w:t>
            </w:r>
          </w:p>
        </w:tc>
      </w:tr>
      <w:tr w:rsidR="00831433" w:rsidRPr="00392C59" w14:paraId="108398B5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B80" w14:textId="77777777" w:rsidR="00831433" w:rsidRPr="00392C59" w:rsidRDefault="00831433" w:rsidP="00831433">
            <w:pPr>
              <w:spacing w:line="360" w:lineRule="auto"/>
              <w:jc w:val="both"/>
              <w:rPr>
                <w:rFonts w:ascii="Tahoma" w:hAnsi="Tahoma" w:cs="Tahoma"/>
                <w:highlight w:val="yellow"/>
              </w:rPr>
            </w:pPr>
            <w:r w:rsidRPr="00DB09E4">
              <w:rPr>
                <w:rFonts w:ascii="Tahoma" w:hAnsi="Tahoma" w:cs="Tahoma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77C" w14:textId="1C92675E" w:rsidR="00831433" w:rsidRPr="00DB09E4" w:rsidRDefault="00DB09E4" w:rsidP="00831433">
            <w:pPr>
              <w:rPr>
                <w:rFonts w:ascii="Tahoma" w:hAnsi="Tahoma" w:cs="Tahoma"/>
                <w:color w:val="000000"/>
              </w:rPr>
            </w:pPr>
            <w:r w:rsidRPr="00DB09E4">
              <w:rPr>
                <w:rFonts w:ascii="Calibri" w:hAnsi="Calibri" w:cs="Calibri"/>
                <w:color w:val="000000"/>
                <w:sz w:val="23"/>
                <w:szCs w:val="23"/>
              </w:rPr>
              <w:t>Asseco Central Europe, a. 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C605" w14:textId="41B59816" w:rsidR="00831433" w:rsidRPr="00DB09E4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DB09E4">
              <w:rPr>
                <w:rFonts w:ascii="Tahoma" w:hAnsi="Tahoma" w:cs="Tahoma"/>
                <w:color w:val="000000"/>
              </w:rPr>
              <w:t>Vladimíra Tomášiková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EF6" w14:textId="19E68660" w:rsidR="00831433" w:rsidRPr="00DB09E4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B09E4">
              <w:rPr>
                <w:rFonts w:ascii="Tahoma" w:hAnsi="Tahoma" w:cs="Tahoma"/>
              </w:rPr>
              <w:t>Prítomná</w:t>
            </w:r>
          </w:p>
        </w:tc>
      </w:tr>
      <w:tr w:rsidR="00831433" w:rsidRPr="00392C59" w14:paraId="10AC959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C77" w14:textId="77777777" w:rsidR="00831433" w:rsidRPr="00392C59" w:rsidRDefault="00831433" w:rsidP="00831433">
            <w:pPr>
              <w:spacing w:line="360" w:lineRule="auto"/>
              <w:jc w:val="both"/>
              <w:rPr>
                <w:rFonts w:ascii="Tahoma" w:hAnsi="Tahoma" w:cs="Tahoma"/>
                <w:highlight w:val="yellow"/>
              </w:rPr>
            </w:pPr>
            <w:r w:rsidRPr="00DB09E4">
              <w:rPr>
                <w:rFonts w:ascii="Tahoma" w:hAnsi="Tahoma" w:cs="Tahoma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A5C" w14:textId="554F3CAB" w:rsidR="00831433" w:rsidRPr="00DB09E4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DB09E4">
              <w:rPr>
                <w:rFonts w:ascii="Tahoma" w:hAnsi="Tahoma" w:cs="Tahoma"/>
                <w:color w:val="000000"/>
              </w:rPr>
              <w:t>Microsoft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100D" w14:textId="5BD75000" w:rsidR="00831433" w:rsidRPr="00DB09E4" w:rsidRDefault="00831433" w:rsidP="00831433">
            <w:pPr>
              <w:rPr>
                <w:rFonts w:ascii="Tahoma" w:hAnsi="Tahoma" w:cs="Tahoma"/>
                <w:color w:val="000000"/>
              </w:rPr>
            </w:pPr>
            <w:r w:rsidRPr="00DB09E4">
              <w:rPr>
                <w:rFonts w:ascii="Tahoma" w:hAnsi="Tahoma" w:cs="Tahoma"/>
                <w:color w:val="000000"/>
              </w:rPr>
              <w:t>Marcela Havrilová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A77" w14:textId="55919284" w:rsidR="00831433" w:rsidRPr="00DB09E4" w:rsidRDefault="00831433" w:rsidP="0083143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B09E4">
              <w:rPr>
                <w:rFonts w:ascii="Tahoma" w:hAnsi="Tahoma" w:cs="Tahoma"/>
              </w:rPr>
              <w:t>Prítomná</w:t>
            </w:r>
          </w:p>
        </w:tc>
      </w:tr>
    </w:tbl>
    <w:p w14:paraId="7B467FA5" w14:textId="77777777" w:rsidR="00EE789B" w:rsidRPr="00392C59" w:rsidRDefault="00EE789B" w:rsidP="007D33E4">
      <w:pPr>
        <w:pStyle w:val="Odsekzoznamu"/>
        <w:spacing w:line="360" w:lineRule="auto"/>
        <w:ind w:left="0"/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42811C62" w14:textId="261DC49E" w:rsidR="008C5709" w:rsidRPr="00831433" w:rsidRDefault="00E82481" w:rsidP="007D33E4">
      <w:pPr>
        <w:pStyle w:val="Odsekzoznamu"/>
        <w:spacing w:line="360" w:lineRule="auto"/>
        <w:ind w:left="0"/>
        <w:jc w:val="both"/>
        <w:rPr>
          <w:rFonts w:ascii="Tahoma" w:hAnsi="Tahoma" w:cs="Tahoma"/>
          <w:b/>
          <w:noProof/>
          <w:sz w:val="22"/>
          <w:szCs w:val="22"/>
        </w:rPr>
      </w:pPr>
      <w:r w:rsidRPr="00831433">
        <w:rPr>
          <w:rFonts w:ascii="Tahoma" w:hAnsi="Tahoma" w:cs="Tahoma"/>
          <w:b/>
          <w:noProof/>
          <w:sz w:val="22"/>
          <w:szCs w:val="22"/>
        </w:rPr>
        <w:t>Manažérske zhrnutie:</w:t>
      </w:r>
    </w:p>
    <w:p w14:paraId="53C7FB34" w14:textId="4425F921" w:rsidR="00CC378A" w:rsidRPr="00831433" w:rsidRDefault="009A1551" w:rsidP="009A1551">
      <w:pPr>
        <w:pStyle w:val="Odsekzoznamu"/>
        <w:spacing w:line="360" w:lineRule="auto"/>
        <w:ind w:left="0"/>
        <w:jc w:val="both"/>
        <w:rPr>
          <w:rFonts w:ascii="Tahoma" w:hAnsi="Tahoma" w:cs="Tahoma"/>
          <w:bCs/>
          <w:noProof/>
          <w:sz w:val="22"/>
          <w:szCs w:val="22"/>
        </w:rPr>
      </w:pPr>
      <w:r w:rsidRPr="00831433">
        <w:rPr>
          <w:rFonts w:ascii="Tahoma" w:hAnsi="Tahoma" w:cs="Tahoma"/>
          <w:bCs/>
          <w:noProof/>
          <w:sz w:val="22"/>
          <w:szCs w:val="22"/>
        </w:rPr>
        <w:t>Cieľo verejného hearingu bolo predstavenie projektu a prediskutovanie pripomienok zaslaných v rámci verejného pripomienkovania. Pripomienky s ich finálnym vyhodnotením, zohľadňujúcim diskusie v rámci verejného hearingu budú zverejnené</w:t>
      </w:r>
      <w:r w:rsidR="002F65FE" w:rsidRPr="00831433">
        <w:rPr>
          <w:rFonts w:ascii="Tahoma" w:hAnsi="Tahoma" w:cs="Tahoma"/>
          <w:bCs/>
          <w:noProof/>
          <w:sz w:val="22"/>
          <w:szCs w:val="22"/>
        </w:rPr>
        <w:t xml:space="preserve"> v dokumentoch v </w:t>
      </w:r>
      <w:hyperlink r:id="rId6" w:history="1">
        <w:r w:rsidR="002F65FE" w:rsidRPr="00831433">
          <w:rPr>
            <w:rStyle w:val="Hypertextovprepojenie"/>
            <w:rFonts w:ascii="Tahoma" w:hAnsi="Tahoma" w:cs="Tahoma"/>
            <w:bCs/>
            <w:noProof/>
            <w:sz w:val="22"/>
            <w:szCs w:val="22"/>
          </w:rPr>
          <w:t>MetaIS</w:t>
        </w:r>
      </w:hyperlink>
      <w:r w:rsidR="002F65FE" w:rsidRPr="00831433">
        <w:rPr>
          <w:rFonts w:ascii="Tahoma" w:hAnsi="Tahoma" w:cs="Tahoma"/>
          <w:bCs/>
          <w:noProof/>
          <w:sz w:val="22"/>
          <w:szCs w:val="22"/>
        </w:rPr>
        <w:t xml:space="preserve">. </w:t>
      </w:r>
      <w:r w:rsidRPr="00831433">
        <w:rPr>
          <w:rFonts w:ascii="Tahoma" w:hAnsi="Tahoma" w:cs="Tahoma"/>
          <w:bCs/>
          <w:noProof/>
          <w:sz w:val="22"/>
          <w:szCs w:val="22"/>
        </w:rPr>
        <w:t>Diskutované pripomienky</w:t>
      </w:r>
      <w:r w:rsidR="00831433" w:rsidRPr="00831433">
        <w:rPr>
          <w:rFonts w:ascii="Tahoma" w:hAnsi="Tahoma" w:cs="Tahoma"/>
          <w:bCs/>
          <w:noProof/>
          <w:sz w:val="22"/>
          <w:szCs w:val="22"/>
        </w:rPr>
        <w:t xml:space="preserve"> sa týkali viacerých aspektov implementácie projektu, </w:t>
      </w:r>
      <w:r w:rsidR="00831433" w:rsidRPr="00831433">
        <w:rPr>
          <w:rFonts w:ascii="Tahoma" w:hAnsi="Tahoma" w:cs="Tahoma"/>
          <w:bCs/>
          <w:noProof/>
          <w:sz w:val="22"/>
          <w:szCs w:val="22"/>
        </w:rPr>
        <w:lastRenderedPageBreak/>
        <w:t>najmä pokiaľ sa jedná o postavenie MIRRI SR, proces realizácie testovania a vzdelávania, ako aj otvorenosti riešenia a jeho integrácie na ďalšie IS VS.</w:t>
      </w:r>
    </w:p>
    <w:p w14:paraId="752C7CAB" w14:textId="77777777" w:rsidR="0055065C" w:rsidRPr="00392C59" w:rsidRDefault="0055065C" w:rsidP="007D33E4">
      <w:pPr>
        <w:pStyle w:val="Odsekzoznamu"/>
        <w:spacing w:line="360" w:lineRule="auto"/>
        <w:ind w:left="0"/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46B795EB" w14:textId="447063CC" w:rsidR="0041344B" w:rsidRPr="00392C59" w:rsidRDefault="002F65FE" w:rsidP="007D33E4">
      <w:pPr>
        <w:pStyle w:val="Odsekzoznamu"/>
        <w:spacing w:line="360" w:lineRule="auto"/>
        <w:ind w:left="0"/>
        <w:jc w:val="both"/>
        <w:rPr>
          <w:rFonts w:ascii="Tahoma" w:hAnsi="Tahoma" w:cs="Tahoma"/>
          <w:b/>
          <w:noProof/>
          <w:sz w:val="22"/>
          <w:szCs w:val="22"/>
        </w:rPr>
      </w:pPr>
      <w:r w:rsidRPr="00392C59">
        <w:rPr>
          <w:rFonts w:ascii="Tahoma" w:hAnsi="Tahoma" w:cs="Tahoma"/>
          <w:b/>
          <w:noProof/>
          <w:sz w:val="22"/>
          <w:szCs w:val="22"/>
        </w:rPr>
        <w:t>Detailný zápis stretnutia</w:t>
      </w:r>
    </w:p>
    <w:p w14:paraId="48ABC498" w14:textId="77777777" w:rsidR="008C5709" w:rsidRPr="00392C59" w:rsidRDefault="008C5709" w:rsidP="00392C59">
      <w:pPr>
        <w:spacing w:before="201" w:line="360" w:lineRule="auto"/>
        <w:jc w:val="both"/>
        <w:rPr>
          <w:rFonts w:ascii="Tahoma" w:hAnsi="Tahoma" w:cs="Tahoma"/>
          <w:bCs/>
          <w:u w:val="single"/>
        </w:rPr>
      </w:pPr>
      <w:r w:rsidRPr="00392C59">
        <w:rPr>
          <w:rFonts w:ascii="Tahoma" w:hAnsi="Tahoma" w:cs="Tahoma"/>
          <w:bCs/>
          <w:u w:val="single"/>
        </w:rPr>
        <w:t xml:space="preserve">Program </w:t>
      </w:r>
    </w:p>
    <w:p w14:paraId="00A1D822" w14:textId="28EEA85D" w:rsidR="00FC35D2" w:rsidRPr="00392C59" w:rsidRDefault="00337825" w:rsidP="00392C59">
      <w:pPr>
        <w:pStyle w:val="Normlnywebov"/>
        <w:numPr>
          <w:ilvl w:val="0"/>
          <w:numId w:val="18"/>
        </w:numPr>
        <w:spacing w:before="0" w:beforeAutospacing="0" w:after="120" w:afterAutospacing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92C59">
        <w:rPr>
          <w:rFonts w:ascii="Tahoma" w:hAnsi="Tahoma" w:cs="Tahoma"/>
          <w:sz w:val="22"/>
          <w:szCs w:val="22"/>
        </w:rPr>
        <w:t>Zahájenie zasadnutia</w:t>
      </w:r>
      <w:r w:rsidR="0041344B" w:rsidRPr="00392C59">
        <w:rPr>
          <w:rFonts w:ascii="Tahoma" w:hAnsi="Tahoma" w:cs="Tahoma"/>
          <w:sz w:val="22"/>
          <w:szCs w:val="22"/>
        </w:rPr>
        <w:t xml:space="preserve"> p. </w:t>
      </w:r>
      <w:r w:rsidR="00392C59" w:rsidRPr="00392C59">
        <w:rPr>
          <w:rFonts w:ascii="Tahoma" w:hAnsi="Tahoma" w:cs="Tahoma"/>
          <w:sz w:val="22"/>
          <w:szCs w:val="22"/>
        </w:rPr>
        <w:t>Repa</w:t>
      </w:r>
    </w:p>
    <w:p w14:paraId="5BED4CD1" w14:textId="65757901" w:rsidR="00FC35D2" w:rsidRPr="00392C59" w:rsidRDefault="00D62DEE" w:rsidP="00392C59">
      <w:pPr>
        <w:pStyle w:val="Normlnywebov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92C59">
        <w:rPr>
          <w:rFonts w:ascii="Tahoma" w:hAnsi="Tahoma" w:cs="Tahoma"/>
          <w:sz w:val="22"/>
          <w:szCs w:val="22"/>
        </w:rPr>
        <w:t xml:space="preserve">Prezentovanie </w:t>
      </w:r>
      <w:r w:rsidR="005A0758" w:rsidRPr="00392C59">
        <w:rPr>
          <w:rFonts w:ascii="Tahoma" w:hAnsi="Tahoma" w:cs="Tahoma"/>
          <w:sz w:val="22"/>
          <w:szCs w:val="22"/>
        </w:rPr>
        <w:t xml:space="preserve">prezentáciu na tému </w:t>
      </w:r>
      <w:r w:rsidRPr="00392C59">
        <w:rPr>
          <w:rFonts w:ascii="Tahoma" w:hAnsi="Tahoma" w:cs="Tahoma"/>
          <w:sz w:val="22"/>
          <w:szCs w:val="22"/>
        </w:rPr>
        <w:t>Projekt „</w:t>
      </w:r>
      <w:r w:rsidR="00392C59" w:rsidRPr="00392C59">
        <w:rPr>
          <w:rFonts w:ascii="Tahoma" w:hAnsi="Tahoma" w:cs="Tahoma"/>
          <w:sz w:val="22"/>
          <w:szCs w:val="22"/>
        </w:rPr>
        <w:t>Zlepšovanie digitálnych zručností seniorov a znevýhodnených skupín vo verejnej správe</w:t>
      </w:r>
      <w:r w:rsidR="00337825" w:rsidRPr="00392C59">
        <w:rPr>
          <w:rFonts w:ascii="Tahoma" w:hAnsi="Tahoma" w:cs="Tahoma"/>
          <w:sz w:val="22"/>
          <w:szCs w:val="22"/>
        </w:rPr>
        <w:t>“</w:t>
      </w:r>
      <w:r w:rsidR="0041344B" w:rsidRPr="00392C59">
        <w:rPr>
          <w:rFonts w:ascii="Tahoma" w:hAnsi="Tahoma" w:cs="Tahoma"/>
          <w:sz w:val="22"/>
          <w:szCs w:val="22"/>
        </w:rPr>
        <w:t xml:space="preserve"> </w:t>
      </w:r>
      <w:r w:rsidR="00392C59" w:rsidRPr="00392C59">
        <w:rPr>
          <w:rFonts w:ascii="Tahoma" w:hAnsi="Tahoma" w:cs="Tahoma"/>
          <w:sz w:val="22"/>
          <w:szCs w:val="22"/>
        </w:rPr>
        <w:t>p. Jucha, p. Lelovský, p.Bederka</w:t>
      </w:r>
    </w:p>
    <w:p w14:paraId="39A8DE2C" w14:textId="77777777" w:rsidR="00D62DEE" w:rsidRPr="00392C59" w:rsidRDefault="00D62DEE" w:rsidP="00392C59">
      <w:pPr>
        <w:pStyle w:val="Normlnywebov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92C59">
        <w:rPr>
          <w:rFonts w:ascii="Tahoma" w:hAnsi="Tahoma" w:cs="Tahoma"/>
          <w:sz w:val="22"/>
          <w:szCs w:val="22"/>
        </w:rPr>
        <w:t>Diskusia</w:t>
      </w:r>
    </w:p>
    <w:p w14:paraId="64069349" w14:textId="77558573" w:rsidR="0039592D" w:rsidRPr="00392C59" w:rsidRDefault="00FC35D2" w:rsidP="00392C59">
      <w:pPr>
        <w:pStyle w:val="Normlnywebov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92C59">
        <w:rPr>
          <w:rFonts w:ascii="Tahoma" w:hAnsi="Tahoma" w:cs="Tahoma"/>
          <w:sz w:val="22"/>
          <w:szCs w:val="22"/>
        </w:rPr>
        <w:t>Záver zasadnutia</w:t>
      </w:r>
    </w:p>
    <w:p w14:paraId="6B4D3853" w14:textId="77777777" w:rsidR="00F417C1" w:rsidRPr="00A848B7" w:rsidRDefault="00F417C1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14:paraId="0C76BC12" w14:textId="77777777" w:rsidR="00F417C1" w:rsidRPr="00392C59" w:rsidRDefault="00F417C1" w:rsidP="007D33E4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bCs/>
          <w:u w:val="single"/>
        </w:rPr>
      </w:pPr>
      <w:r w:rsidRPr="00392C59">
        <w:rPr>
          <w:rFonts w:ascii="Tahoma" w:hAnsi="Tahoma" w:cs="Tahoma"/>
          <w:b/>
          <w:bCs/>
          <w:u w:val="single"/>
        </w:rPr>
        <w:t>K bodu 1:</w:t>
      </w:r>
    </w:p>
    <w:p w14:paraId="4219B204" w14:textId="779D2912" w:rsidR="00C7439C" w:rsidRPr="001D0120" w:rsidRDefault="00C7439C" w:rsidP="005779E5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</w:rPr>
      </w:pPr>
      <w:r w:rsidRPr="00392C59">
        <w:rPr>
          <w:rFonts w:ascii="Tahoma" w:hAnsi="Tahoma" w:cs="Tahoma"/>
        </w:rPr>
        <w:t xml:space="preserve">Pán </w:t>
      </w:r>
      <w:r w:rsidR="00392C59" w:rsidRPr="00392C59">
        <w:rPr>
          <w:rFonts w:ascii="Tahoma" w:hAnsi="Tahoma" w:cs="Tahoma"/>
        </w:rPr>
        <w:t>Repa</w:t>
      </w:r>
      <w:r w:rsidRPr="00392C59">
        <w:rPr>
          <w:rFonts w:ascii="Tahoma" w:hAnsi="Tahoma" w:cs="Tahoma"/>
        </w:rPr>
        <w:t xml:space="preserve"> </w:t>
      </w:r>
      <w:r w:rsidR="000C688A" w:rsidRPr="00392C59">
        <w:rPr>
          <w:rFonts w:ascii="Tahoma" w:hAnsi="Tahoma" w:cs="Tahoma"/>
        </w:rPr>
        <w:t>privítal</w:t>
      </w:r>
      <w:r w:rsidRPr="00392C59">
        <w:rPr>
          <w:rFonts w:ascii="Tahoma" w:hAnsi="Tahoma" w:cs="Tahoma"/>
        </w:rPr>
        <w:t xml:space="preserve"> všetkých zúčastnených</w:t>
      </w:r>
      <w:r w:rsidR="0013108B" w:rsidRPr="00392C59">
        <w:rPr>
          <w:rFonts w:ascii="Tahoma" w:hAnsi="Tahoma" w:cs="Tahoma"/>
        </w:rPr>
        <w:t xml:space="preserve"> </w:t>
      </w:r>
      <w:r w:rsidR="00392C59" w:rsidRPr="00392C59">
        <w:rPr>
          <w:rFonts w:ascii="Tahoma" w:hAnsi="Tahoma" w:cs="Tahoma"/>
        </w:rPr>
        <w:t>a v úvodnom slove zdôraznil význam projektu z hľadiska plnenia národnej Stratégie digitálnej transformácie do roku 2030 ale aj z hľadiska európskych stratégií a zlepšenia postavenia Slovenskej republiky v indexe DESI. Následne predal slovo p. Juchovi, Lelovskému a Bederkovi, ktorí</w:t>
      </w:r>
      <w:r w:rsidR="000C688A" w:rsidRPr="00392C59">
        <w:rPr>
          <w:rFonts w:ascii="Tahoma" w:hAnsi="Tahoma" w:cs="Tahoma"/>
        </w:rPr>
        <w:t>, pr</w:t>
      </w:r>
      <w:r w:rsidRPr="00392C59">
        <w:rPr>
          <w:rFonts w:ascii="Tahoma" w:hAnsi="Tahoma" w:cs="Tahoma"/>
        </w:rPr>
        <w:t>e</w:t>
      </w:r>
      <w:r w:rsidR="00831433">
        <w:rPr>
          <w:rFonts w:ascii="Tahoma" w:hAnsi="Tahoma" w:cs="Tahoma"/>
        </w:rPr>
        <w:t>dstavili</w:t>
      </w:r>
      <w:r w:rsidRPr="00392C59">
        <w:rPr>
          <w:rFonts w:ascii="Tahoma" w:hAnsi="Tahoma" w:cs="Tahoma"/>
        </w:rPr>
        <w:t xml:space="preserve"> účastníko</w:t>
      </w:r>
      <w:r w:rsidR="00831433">
        <w:rPr>
          <w:rFonts w:ascii="Tahoma" w:hAnsi="Tahoma" w:cs="Tahoma"/>
        </w:rPr>
        <w:t>m</w:t>
      </w:r>
      <w:r w:rsidRPr="00392C59">
        <w:rPr>
          <w:rFonts w:ascii="Tahoma" w:hAnsi="Tahoma" w:cs="Tahoma"/>
        </w:rPr>
        <w:t xml:space="preserve"> prezentáciu </w:t>
      </w:r>
      <w:r w:rsidR="0041344B" w:rsidRPr="00392C59">
        <w:rPr>
          <w:rFonts w:ascii="Tahoma" w:hAnsi="Tahoma" w:cs="Tahoma"/>
        </w:rPr>
        <w:t xml:space="preserve">projektového zámeru a prístupu k projektu </w:t>
      </w:r>
      <w:r w:rsidRPr="00392C59">
        <w:rPr>
          <w:rFonts w:ascii="Tahoma" w:hAnsi="Tahoma" w:cs="Tahoma"/>
        </w:rPr>
        <w:t>„</w:t>
      </w:r>
      <w:r w:rsidR="00392C59" w:rsidRPr="00392C59">
        <w:rPr>
          <w:rFonts w:ascii="Tahoma" w:hAnsi="Tahoma" w:cs="Tahoma"/>
        </w:rPr>
        <w:t xml:space="preserve">Zlepšovanie digitálnych zručností seniorov a </w:t>
      </w:r>
      <w:r w:rsidR="00392C59" w:rsidRPr="001D0120">
        <w:rPr>
          <w:rFonts w:ascii="Tahoma" w:hAnsi="Tahoma" w:cs="Tahoma"/>
        </w:rPr>
        <w:t>znevýhodnených skupín vo verejnej správe</w:t>
      </w:r>
      <w:r w:rsidRPr="001D0120">
        <w:rPr>
          <w:rFonts w:ascii="Tahoma" w:hAnsi="Tahoma" w:cs="Tahoma"/>
        </w:rPr>
        <w:t>“</w:t>
      </w:r>
      <w:r w:rsidR="0041344B" w:rsidRPr="001D0120">
        <w:rPr>
          <w:rFonts w:ascii="Tahoma" w:hAnsi="Tahoma" w:cs="Tahoma"/>
        </w:rPr>
        <w:t>.</w:t>
      </w:r>
    </w:p>
    <w:p w14:paraId="6ECF151F" w14:textId="77777777" w:rsidR="00C7439C" w:rsidRPr="001D0120" w:rsidRDefault="00C7439C" w:rsidP="00C7439C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1D0120">
        <w:rPr>
          <w:rFonts w:ascii="Tahoma" w:hAnsi="Tahoma" w:cs="Tahoma"/>
          <w:b/>
          <w:color w:val="000000" w:themeColor="text1"/>
          <w:u w:val="single"/>
        </w:rPr>
        <w:t>K bodu 2:</w:t>
      </w:r>
    </w:p>
    <w:p w14:paraId="687D4FE2" w14:textId="4CA21D39" w:rsidR="001D0120" w:rsidRPr="001D0120" w:rsidRDefault="00C7439C" w:rsidP="005779E5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</w:rPr>
      </w:pPr>
      <w:r w:rsidRPr="001D0120">
        <w:rPr>
          <w:rFonts w:ascii="Tahoma" w:hAnsi="Tahoma" w:cs="Tahoma"/>
        </w:rPr>
        <w:t>P.</w:t>
      </w:r>
      <w:r w:rsidR="00392C59" w:rsidRPr="001D0120">
        <w:rPr>
          <w:rFonts w:ascii="Tahoma" w:hAnsi="Tahoma" w:cs="Tahoma"/>
        </w:rPr>
        <w:t xml:space="preserve"> Jucha v úvode prezentácie ozrejmil dôvody a ciele projektu, p. Lelovský sa zameral na zdôvodnenie potreby projektu ohľadom cieľových skupín projektu, kedy dochádza k starnutiu obyvateľstva a zároveň k digitalizácii ekonomiky, kde budú veľmi potrebn</w:t>
      </w:r>
      <w:r w:rsidR="00831433">
        <w:rPr>
          <w:rFonts w:ascii="Tahoma" w:hAnsi="Tahoma" w:cs="Tahoma"/>
        </w:rPr>
        <w:t xml:space="preserve">é </w:t>
      </w:r>
      <w:r w:rsidR="00392C59" w:rsidRPr="001D0120">
        <w:rPr>
          <w:rFonts w:ascii="Tahoma" w:hAnsi="Tahoma" w:cs="Tahoma"/>
        </w:rPr>
        <w:t>digitálne zručnosti</w:t>
      </w:r>
      <w:r w:rsidR="001D0120" w:rsidRPr="001D0120">
        <w:rPr>
          <w:rFonts w:ascii="Tahoma" w:hAnsi="Tahoma" w:cs="Tahoma"/>
        </w:rPr>
        <w:t>, z čoho vyplýva</w:t>
      </w:r>
      <w:r w:rsidR="00392C59" w:rsidRPr="001D0120">
        <w:rPr>
          <w:rFonts w:ascii="Tahoma" w:hAnsi="Tahoma" w:cs="Tahoma"/>
        </w:rPr>
        <w:t xml:space="preserve"> potreb</w:t>
      </w:r>
      <w:r w:rsidR="001D0120" w:rsidRPr="001D0120">
        <w:rPr>
          <w:rFonts w:ascii="Tahoma" w:hAnsi="Tahoma" w:cs="Tahoma"/>
        </w:rPr>
        <w:t>a</w:t>
      </w:r>
      <w:r w:rsidR="00392C59" w:rsidRPr="001D0120">
        <w:rPr>
          <w:rFonts w:ascii="Tahoma" w:hAnsi="Tahoma" w:cs="Tahoma"/>
        </w:rPr>
        <w:t xml:space="preserve"> zvyšovania </w:t>
      </w:r>
      <w:r w:rsidR="001D0120" w:rsidRPr="001D0120">
        <w:rPr>
          <w:rFonts w:ascii="Tahoma" w:hAnsi="Tahoma" w:cs="Tahoma"/>
        </w:rPr>
        <w:t xml:space="preserve">ich </w:t>
      </w:r>
      <w:r w:rsidR="00392C59" w:rsidRPr="001D0120">
        <w:rPr>
          <w:rFonts w:ascii="Tahoma" w:hAnsi="Tahoma" w:cs="Tahoma"/>
        </w:rPr>
        <w:t xml:space="preserve">úrovne. </w:t>
      </w:r>
      <w:r w:rsidR="001D0120" w:rsidRPr="001D0120">
        <w:rPr>
          <w:rFonts w:ascii="Tahoma" w:hAnsi="Tahoma" w:cs="Tahoma"/>
        </w:rPr>
        <w:t xml:space="preserve">Zdôraznil pritom fakt, že na Slovensku došlo k zlyhaniu trhu a  cieľ zvyšovania digitálnych zručností nie je možné </w:t>
      </w:r>
      <w:r w:rsidR="00831433" w:rsidRPr="001D0120">
        <w:rPr>
          <w:rFonts w:ascii="Tahoma" w:hAnsi="Tahoma" w:cs="Tahoma"/>
        </w:rPr>
        <w:t xml:space="preserve">dosiahnuť </w:t>
      </w:r>
      <w:r w:rsidR="001D0120" w:rsidRPr="001D0120">
        <w:rPr>
          <w:rFonts w:ascii="Tahoma" w:hAnsi="Tahoma" w:cs="Tahoma"/>
        </w:rPr>
        <w:t xml:space="preserve">len klasickými trhovými nástrojmi. Následne pán Bederka prítomných oboznámil s návrhom biznisovej (služby riešenia) a aplikačnej (komponenty riešenia) vrstvy navrhovanej platformy, </w:t>
      </w:r>
      <w:r w:rsidR="00353A6F">
        <w:rPr>
          <w:rFonts w:ascii="Tahoma" w:hAnsi="Tahoma" w:cs="Tahoma"/>
        </w:rPr>
        <w:t xml:space="preserve">spolupracujúcimi subjektmi, </w:t>
      </w:r>
      <w:r w:rsidR="001D0120" w:rsidRPr="001D0120">
        <w:rPr>
          <w:rFonts w:ascii="Tahoma" w:hAnsi="Tahoma" w:cs="Tahoma"/>
        </w:rPr>
        <w:t>ako aj základnými údajmi týkajúcimi sa rozpočtu, cost-benefit analýzy a prínosov projektu. Rovnako oboznámil prítomných s doručenými pripomienkami a ich vyhodnotením. Všetky pripomienky boli z pohľadu MIRRI SR a Národnej koalície zapracované alebo vysvetlené. P. Jucha ozrejmil, že vyhodnotenie pripomienok bolo pripomienkujúcim subjektom zaslané pred verejným prerokovaním, pričom v rámci diskusie bude ďalší priestor na ich prediskutovanie.</w:t>
      </w:r>
    </w:p>
    <w:p w14:paraId="196A4604" w14:textId="58F4DBC1" w:rsidR="00A848B7" w:rsidRPr="001D0120" w:rsidRDefault="00715C48" w:rsidP="005779E5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</w:rPr>
      </w:pPr>
      <w:r w:rsidRPr="001D0120">
        <w:rPr>
          <w:rFonts w:ascii="Tahoma" w:hAnsi="Tahoma" w:cs="Tahoma"/>
        </w:rPr>
        <w:lastRenderedPageBreak/>
        <w:t xml:space="preserve">Po ukončení prezentácie p. </w:t>
      </w:r>
      <w:r w:rsidR="001D0120" w:rsidRPr="001D0120">
        <w:rPr>
          <w:rFonts w:ascii="Tahoma" w:hAnsi="Tahoma" w:cs="Tahoma"/>
        </w:rPr>
        <w:t xml:space="preserve">Jucha </w:t>
      </w:r>
      <w:r w:rsidRPr="001D0120">
        <w:rPr>
          <w:rFonts w:ascii="Tahoma" w:hAnsi="Tahoma" w:cs="Tahoma"/>
        </w:rPr>
        <w:t xml:space="preserve">vyzval zúčastnených aby prešli k diskusii.  </w:t>
      </w:r>
    </w:p>
    <w:p w14:paraId="1D0CD5C1" w14:textId="77777777" w:rsidR="00715C48" w:rsidRPr="001D0120" w:rsidRDefault="00715C48" w:rsidP="00715C48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1D0120">
        <w:rPr>
          <w:rFonts w:ascii="Tahoma" w:hAnsi="Tahoma" w:cs="Tahoma"/>
          <w:b/>
          <w:color w:val="000000" w:themeColor="text1"/>
          <w:u w:val="single"/>
        </w:rPr>
        <w:t>K bodu 3:</w:t>
      </w:r>
    </w:p>
    <w:p w14:paraId="238B9CF7" w14:textId="50682FC4" w:rsidR="004815DD" w:rsidRPr="00F32CB3" w:rsidRDefault="00F32CB3" w:rsidP="00F32CB3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</w:rPr>
      </w:pPr>
      <w:r w:rsidRPr="00F32CB3">
        <w:rPr>
          <w:rFonts w:ascii="Tahoma" w:hAnsi="Tahoma" w:cs="Tahoma"/>
        </w:rPr>
        <w:t>Diskusiu otvoril p</w:t>
      </w:r>
      <w:r w:rsidR="004815DD" w:rsidRPr="00F32CB3">
        <w:rPr>
          <w:rFonts w:ascii="Tahoma" w:hAnsi="Tahoma" w:cs="Tahoma"/>
        </w:rPr>
        <w:t>án Fitoš otvoril stretnutie otázkami</w:t>
      </w:r>
      <w:r w:rsidRPr="00F32CB3">
        <w:rPr>
          <w:rFonts w:ascii="Tahoma" w:hAnsi="Tahoma" w:cs="Tahoma"/>
        </w:rPr>
        <w:t xml:space="preserve"> ohľadom striebornej ekonomiky a návrhom, aby tvorcovia projektu skonzultovali prípadné previazanie projektu </w:t>
      </w:r>
      <w:r w:rsidR="004815DD" w:rsidRPr="00F32CB3">
        <w:rPr>
          <w:rFonts w:ascii="Tahoma" w:hAnsi="Tahoma" w:cs="Tahoma"/>
        </w:rPr>
        <w:t>so životný</w:t>
      </w:r>
      <w:r>
        <w:rPr>
          <w:rFonts w:ascii="Tahoma" w:hAnsi="Tahoma" w:cs="Tahoma"/>
        </w:rPr>
        <w:t xml:space="preserve">mi situáciami, ktorými sa zaoberá sekcia MIRRI SR -  SITVS. Pán Repa za stranu MIRRI SR vysvetlil dôležitosť a význam striebornej ekonomiky pre krajinu ako aj z pohľadu Európskej komisie, pričom tento fenomén aj vzhľadom na početnú staršiu generáciu vytvára potenciál pre nové trhové príležitosti. Pokiaľ ide o prepojenie so životnými situáciami, týmto sa počas trvania projektu bude MIRRI SR </w:t>
      </w:r>
      <w:bookmarkStart w:id="0" w:name="_GoBack"/>
      <w:bookmarkEnd w:id="0"/>
      <w:r>
        <w:rPr>
          <w:rFonts w:ascii="Tahoma" w:hAnsi="Tahoma" w:cs="Tahoma"/>
        </w:rPr>
        <w:t>zaoberať.</w:t>
      </w:r>
    </w:p>
    <w:p w14:paraId="3058FAD7" w14:textId="1D390F0B" w:rsidR="00013B12" w:rsidRPr="00CD4616" w:rsidRDefault="00EE789B" w:rsidP="0013108B">
      <w:pPr>
        <w:tabs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/>
          <w:lang w:eastAsia="en-GB"/>
        </w:rPr>
      </w:pPr>
      <w:r w:rsidRPr="00F32CB3">
        <w:rPr>
          <w:rFonts w:ascii="Tahoma" w:hAnsi="Tahoma" w:cs="Tahoma"/>
        </w:rPr>
        <w:t>Ďalej sa o slovo prihlásil pán Dillinger zo Slovensko.Digital, ktorý úvodné pripomienky smeroval k chýbajúcemu nasta</w:t>
      </w:r>
      <w:r w:rsidRPr="00CD4616">
        <w:rPr>
          <w:rFonts w:ascii="Tahoma" w:hAnsi="Tahoma" w:cs="Tahoma"/>
        </w:rPr>
        <w:t>veniu procesov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Pr="00EE789B">
        <w:rPr>
          <w:rFonts w:ascii="Tahoma" w:eastAsia="Times New Roman" w:hAnsi="Tahoma" w:cs="Tahoma"/>
          <w:color w:val="000000"/>
          <w:lang w:eastAsia="en-GB"/>
        </w:rPr>
        <w:t>ktoré majú zabezpečiť koordináciu, organizovanie účastníkov, realizáciu školení, testovanie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, ako aj chýbajúce prepojenie na činnosti ostatných OVM v oblasti vzdelávania. Rovnako tak uviedol chýbajúce kompetencie MIRRI SR v tejto oblasti. Na pripomienky reagoval pán Repa, ktorý uviedol, že </w:t>
      </w:r>
      <w:r w:rsidR="00353A6F" w:rsidRPr="00CD4616">
        <w:rPr>
          <w:rFonts w:ascii="Tahoma" w:eastAsia="Times New Roman" w:hAnsi="Tahoma" w:cs="Tahoma"/>
          <w:color w:val="000000"/>
          <w:lang w:eastAsia="en-GB"/>
        </w:rPr>
        <w:t>projektom dochádza k naplneniu opatrení definovaných v rámci Stratégie digitálnej transformácie Slovenska 2030, ktorý definuje úlohu MIRRI SR a postavenie jednotlivých stakeholderov. Zároveň zdôraznil, že úloha MIRRI vyplýva z kompetenčného zákona, keďže MIRRI SR je zodpovedné nielen za informatizáciu spoločnosti ale rovnako aj za politiku digitálneho trhu. Spomenul tiež pripravovaný materiál vo vzťahu k stratégii DESI, ktorý</w:t>
      </w:r>
      <w:r w:rsidR="001C43FA" w:rsidRPr="00CD4616">
        <w:rPr>
          <w:rFonts w:ascii="Tahoma" w:eastAsia="Times New Roman" w:hAnsi="Tahoma" w:cs="Tahoma"/>
          <w:color w:val="000000"/>
          <w:lang w:eastAsia="en-GB"/>
        </w:rPr>
        <w:t xml:space="preserve"> definuje MIRRI SR ako koordinátora str</w:t>
      </w:r>
      <w:r w:rsidR="009A1551">
        <w:rPr>
          <w:rFonts w:ascii="Tahoma" w:eastAsia="Times New Roman" w:hAnsi="Tahoma" w:cs="Tahoma"/>
          <w:color w:val="000000"/>
          <w:lang w:eastAsia="en-GB"/>
        </w:rPr>
        <w:t>até</w:t>
      </w:r>
      <w:r w:rsidR="001C43FA" w:rsidRPr="00CD4616">
        <w:rPr>
          <w:rFonts w:ascii="Tahoma" w:eastAsia="Times New Roman" w:hAnsi="Tahoma" w:cs="Tahoma"/>
          <w:color w:val="000000"/>
          <w:lang w:eastAsia="en-GB"/>
        </w:rPr>
        <w:t>gie a taktiež gestora pripravovanej Národnej stratégie pre digitálne zručnosti, na ktorej bude spolupracovať práve s ďalšími rezortmi</w:t>
      </w:r>
      <w:r w:rsidR="00831433">
        <w:rPr>
          <w:rFonts w:ascii="Tahoma" w:eastAsia="Times New Roman" w:hAnsi="Tahoma" w:cs="Tahoma"/>
          <w:color w:val="000000"/>
          <w:lang w:eastAsia="en-GB"/>
        </w:rPr>
        <w:t xml:space="preserve"> a samosprávou</w:t>
      </w:r>
      <w:r w:rsidR="001C43FA" w:rsidRPr="00CD4616">
        <w:rPr>
          <w:rFonts w:ascii="Tahoma" w:eastAsia="Times New Roman" w:hAnsi="Tahoma" w:cs="Tahoma"/>
          <w:color w:val="000000"/>
          <w:lang w:eastAsia="en-GB"/>
        </w:rPr>
        <w:t>. Pán Dillinger uviedol, že tieto informácie je potrebné zapracovať do dokumentov.</w:t>
      </w:r>
    </w:p>
    <w:p w14:paraId="5EEDF801" w14:textId="18D4D320" w:rsidR="001C43FA" w:rsidRPr="00CD4616" w:rsidRDefault="001C43FA" w:rsidP="0013108B">
      <w:pPr>
        <w:tabs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/>
          <w:lang w:eastAsia="en-GB"/>
        </w:rPr>
      </w:pPr>
      <w:r w:rsidRPr="00CD4616">
        <w:rPr>
          <w:rFonts w:ascii="Tahoma" w:eastAsia="Times New Roman" w:hAnsi="Tahoma" w:cs="Tahoma"/>
          <w:color w:val="000000"/>
          <w:lang w:eastAsia="en-GB"/>
        </w:rPr>
        <w:t>Pán Dillinger ďalej bližšie ozrejmil pripomienku vo vzťahu k alternatívnym spôsobom riešenia, napríklad formou poukazov na vzdelávanie. Do diskusie sa zapojilo viacero prítomných</w:t>
      </w:r>
      <w:r w:rsidR="00D96D32">
        <w:rPr>
          <w:rFonts w:ascii="Tahoma" w:eastAsia="Times New Roman" w:hAnsi="Tahoma" w:cs="Tahoma"/>
          <w:color w:val="000000"/>
          <w:lang w:eastAsia="en-GB"/>
        </w:rPr>
        <w:t>,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 za stranu MIRRI SR pán Repa, ako aj za stranu Národnej koalície pán Lelovský a pán Bederka. Uviedli, že navrhovaný projekt je pilotným projektom, komplementárnym k ďalším aktivitám a zároveň zdôraznili, že na Slovensku jednoznačne dochádza k zlyhaniu trhu, kedy dostupné nástroje nie sú dostatočné a nevedú k splneniu cieľov a zvyšovaniu digitálnych zručností. </w:t>
      </w:r>
      <w:r w:rsidR="00AC36B6" w:rsidRPr="00CD4616">
        <w:rPr>
          <w:rFonts w:ascii="Tahoma" w:eastAsia="Times New Roman" w:hAnsi="Tahoma" w:cs="Tahoma"/>
          <w:color w:val="000000"/>
          <w:lang w:eastAsia="en-GB"/>
        </w:rPr>
        <w:t>Projekt vychádza zo skúseností z projektu IT Fitnes</w:t>
      </w:r>
      <w:r w:rsidR="009A1551">
        <w:rPr>
          <w:rFonts w:ascii="Tahoma" w:eastAsia="Times New Roman" w:hAnsi="Tahoma" w:cs="Tahoma"/>
          <w:color w:val="000000"/>
          <w:lang w:eastAsia="en-GB"/>
        </w:rPr>
        <w:t>s</w:t>
      </w:r>
      <w:r w:rsidR="00AC36B6" w:rsidRPr="00CD4616">
        <w:rPr>
          <w:rFonts w:ascii="Tahoma" w:eastAsia="Times New Roman" w:hAnsi="Tahoma" w:cs="Tahoma"/>
          <w:color w:val="000000"/>
          <w:lang w:eastAsia="en-GB"/>
        </w:rPr>
        <w:t xml:space="preserve"> test, pričom aj Európska komisia odporúča využiť skúsenosti s IT Fitnes</w:t>
      </w:r>
      <w:r w:rsidR="009A1551">
        <w:rPr>
          <w:rFonts w:ascii="Tahoma" w:eastAsia="Times New Roman" w:hAnsi="Tahoma" w:cs="Tahoma"/>
          <w:color w:val="000000"/>
          <w:lang w:eastAsia="en-GB"/>
        </w:rPr>
        <w:t>s</w:t>
      </w:r>
      <w:r w:rsidR="00AC36B6" w:rsidRPr="00CD4616">
        <w:rPr>
          <w:rFonts w:ascii="Tahoma" w:eastAsia="Times New Roman" w:hAnsi="Tahoma" w:cs="Tahoma"/>
          <w:color w:val="000000"/>
          <w:lang w:eastAsia="en-GB"/>
        </w:rPr>
        <w:t xml:space="preserve"> testu a nadviazať na neho. 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Pán Repa taktiež poďakoval za návrh zo strany pána Dillingera, s tým, že </w:t>
      </w:r>
      <w:r w:rsidR="00AC36B6" w:rsidRPr="00CD4616">
        <w:rPr>
          <w:rFonts w:ascii="Tahoma" w:eastAsia="Times New Roman" w:hAnsi="Tahoma" w:cs="Tahoma"/>
          <w:color w:val="000000"/>
          <w:lang w:eastAsia="en-GB"/>
        </w:rPr>
        <w:t xml:space="preserve">ďalšie nástroje na zvyšovanie digitálnych zručností budú analyzované </w:t>
      </w:r>
      <w:r w:rsidR="00D96D32">
        <w:rPr>
          <w:rFonts w:ascii="Tahoma" w:eastAsia="Times New Roman" w:hAnsi="Tahoma" w:cs="Tahoma"/>
          <w:color w:val="000000"/>
          <w:lang w:eastAsia="en-GB"/>
        </w:rPr>
        <w:t>s cieľom</w:t>
      </w:r>
      <w:r w:rsidR="00AC36B6" w:rsidRPr="00CD4616">
        <w:rPr>
          <w:rFonts w:ascii="Tahoma" w:eastAsia="Times New Roman" w:hAnsi="Tahoma" w:cs="Tahoma"/>
          <w:color w:val="000000"/>
          <w:lang w:eastAsia="en-GB"/>
        </w:rPr>
        <w:t xml:space="preserve"> ich podporiť z ďalších finančných zdrojov.</w:t>
      </w:r>
    </w:p>
    <w:p w14:paraId="63110E1B" w14:textId="02D1DD4B" w:rsidR="00AC36B6" w:rsidRPr="00CD4616" w:rsidRDefault="00AC36B6" w:rsidP="0013108B">
      <w:pPr>
        <w:tabs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/>
          <w:lang w:eastAsia="en-GB"/>
        </w:rPr>
      </w:pPr>
      <w:r w:rsidRPr="00CD4616">
        <w:rPr>
          <w:rFonts w:ascii="Tahoma" w:eastAsia="Times New Roman" w:hAnsi="Tahoma" w:cs="Tahoma"/>
          <w:color w:val="000000"/>
          <w:lang w:eastAsia="en-GB"/>
        </w:rPr>
        <w:lastRenderedPageBreak/>
        <w:t>Pán Dillinger ďal</w:t>
      </w:r>
      <w:r w:rsidR="009A1551">
        <w:rPr>
          <w:rFonts w:ascii="Tahoma" w:eastAsia="Times New Roman" w:hAnsi="Tahoma" w:cs="Tahoma"/>
          <w:color w:val="000000"/>
          <w:lang w:eastAsia="en-GB"/>
        </w:rPr>
        <w:t>e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j uviedol potrebu definovania otvorenej licencie nielen vo vzťahu k IT riešeniu, </w:t>
      </w:r>
      <w:r w:rsidR="002527ED" w:rsidRPr="00CD4616">
        <w:rPr>
          <w:rFonts w:ascii="Tahoma" w:eastAsia="Times New Roman" w:hAnsi="Tahoma" w:cs="Tahoma"/>
          <w:color w:val="000000"/>
          <w:lang w:eastAsia="en-GB"/>
        </w:rPr>
        <w:t xml:space="preserve">ale aj k samotnému obsahu v rámci platformy. Ocenil, že platforma bude otvorená v súlade s podmienkami verejnej softvérovej licencie, ale je potrebné zabezpečiť aby bol otvorený aj samotný obsah v rámci platformy. Pán Bederka reagoval, že obsah bude poskytnutý členmi Národnej koalície bezodplatne, avšak nie je možné garantovať, že členovia Národnej koalície poskytnú licenciu </w:t>
      </w:r>
      <w:r w:rsidR="00D96D32">
        <w:rPr>
          <w:rFonts w:ascii="Tahoma" w:eastAsia="Times New Roman" w:hAnsi="Tahoma" w:cs="Tahoma"/>
          <w:color w:val="000000"/>
          <w:lang w:eastAsia="en-GB"/>
        </w:rPr>
        <w:t xml:space="preserve">aj </w:t>
      </w:r>
      <w:r w:rsidR="002527ED" w:rsidRPr="00CD4616">
        <w:rPr>
          <w:rFonts w:ascii="Tahoma" w:eastAsia="Times New Roman" w:hAnsi="Tahoma" w:cs="Tahoma"/>
          <w:color w:val="000000"/>
          <w:lang w:eastAsia="en-GB"/>
        </w:rPr>
        <w:t xml:space="preserve">na jeho ďalšie šírenie alebo spracovanie tretími stranami. </w:t>
      </w:r>
    </w:p>
    <w:p w14:paraId="13916843" w14:textId="50DFAB98" w:rsidR="002527ED" w:rsidRDefault="002527ED" w:rsidP="0013108B">
      <w:pPr>
        <w:tabs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/>
          <w:lang w:eastAsia="en-GB"/>
        </w:rPr>
      </w:pPr>
      <w:r w:rsidRPr="00CD4616">
        <w:rPr>
          <w:rFonts w:ascii="Tahoma" w:eastAsia="Times New Roman" w:hAnsi="Tahoma" w:cs="Tahoma"/>
          <w:color w:val="000000"/>
          <w:lang w:eastAsia="en-GB"/>
        </w:rPr>
        <w:t>Ďalšia diskusia bola venovaná chýbajúci</w:t>
      </w:r>
      <w:r w:rsidR="00D96D32">
        <w:rPr>
          <w:rFonts w:ascii="Tahoma" w:eastAsia="Times New Roman" w:hAnsi="Tahoma" w:cs="Tahoma"/>
          <w:color w:val="000000"/>
          <w:lang w:eastAsia="en-GB"/>
        </w:rPr>
        <w:t>m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 náležitost</w:t>
      </w:r>
      <w:r w:rsidR="00D96D32">
        <w:rPr>
          <w:rFonts w:ascii="Tahoma" w:eastAsia="Times New Roman" w:hAnsi="Tahoma" w:cs="Tahoma"/>
          <w:color w:val="000000"/>
          <w:lang w:eastAsia="en-GB"/>
        </w:rPr>
        <w:t>iam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 vo vzťahu k princípu 1x a dosť, My Data a Open Api. Prítomní zástupcovia MIRRI SR a Národnej koalície vysvetlili, že projekt je pilotným projektom, ktorý v prípade preukázania deklarovaných prínosov bude ďalej rozširovaný a budú doplnené ďalšie funkcionality a integrácie, ktoré zatiaľ nie sú súčasťou projektu z objektívnych dôvodov týkajúcich sa cieľovej skupiny (napr. </w:t>
      </w:r>
      <w:r w:rsidR="00CD4616" w:rsidRPr="00CD4616">
        <w:rPr>
          <w:rFonts w:ascii="Tahoma" w:eastAsia="Times New Roman" w:hAnsi="Tahoma" w:cs="Tahoma"/>
          <w:color w:val="000000"/>
          <w:lang w:eastAsia="en-GB"/>
        </w:rPr>
        <w:t xml:space="preserve">potreba </w:t>
      </w:r>
      <w:r w:rsidRPr="00CD4616">
        <w:rPr>
          <w:rFonts w:ascii="Tahoma" w:eastAsia="Times New Roman" w:hAnsi="Tahoma" w:cs="Tahoma"/>
          <w:color w:val="000000"/>
          <w:lang w:eastAsia="en-GB"/>
        </w:rPr>
        <w:t>eID</w:t>
      </w:r>
      <w:r w:rsidR="00CD4616" w:rsidRPr="00CD4616">
        <w:rPr>
          <w:rFonts w:ascii="Tahoma" w:eastAsia="Times New Roman" w:hAnsi="Tahoma" w:cs="Tahoma"/>
          <w:color w:val="000000"/>
          <w:lang w:eastAsia="en-GB"/>
        </w:rPr>
        <w:t xml:space="preserve"> v prípade doťahovania údajov z referenčných registrov</w:t>
      </w:r>
      <w:r w:rsidRPr="00CD4616">
        <w:rPr>
          <w:rFonts w:ascii="Tahoma" w:eastAsia="Times New Roman" w:hAnsi="Tahoma" w:cs="Tahoma"/>
          <w:color w:val="000000"/>
          <w:lang w:eastAsia="en-GB"/>
        </w:rPr>
        <w:t xml:space="preserve">), resp. časovej a finančnej realizovateľnosti (My Data, API Gateway). </w:t>
      </w:r>
      <w:r w:rsidR="00CD4616" w:rsidRPr="00CD4616">
        <w:rPr>
          <w:rFonts w:ascii="Tahoma" w:eastAsia="Times New Roman" w:hAnsi="Tahoma" w:cs="Tahoma"/>
          <w:color w:val="000000"/>
          <w:lang w:eastAsia="en-GB"/>
        </w:rPr>
        <w:t>Pán Dillinger v reakcii požadoval, aby projekt na to pamätal do budúcnosti a nebol uzatvoreným projektom, ktorý nebude možné jednoducho rozširovať. Pán Lukáč reagoval, že projekt bude postavený na open source platforme, ktorá umožňuje pomerne jednoduch</w:t>
      </w:r>
      <w:r w:rsidR="009A1551">
        <w:rPr>
          <w:rFonts w:ascii="Tahoma" w:eastAsia="Times New Roman" w:hAnsi="Tahoma" w:cs="Tahoma"/>
          <w:color w:val="000000"/>
          <w:lang w:eastAsia="en-GB"/>
        </w:rPr>
        <w:t>ú</w:t>
      </w:r>
      <w:r w:rsidR="00CD4616" w:rsidRPr="00CD4616">
        <w:rPr>
          <w:rFonts w:ascii="Tahoma" w:eastAsia="Times New Roman" w:hAnsi="Tahoma" w:cs="Tahoma"/>
          <w:color w:val="000000"/>
          <w:lang w:eastAsia="en-GB"/>
        </w:rPr>
        <w:t xml:space="preserve"> integráciu na tretie strany a zároveň je projekt dizajnový tak, aby splnil potrebné náležitosti pre jeho neskoršiu integráciu na potrebné informačné systémy.</w:t>
      </w:r>
      <w:r w:rsidR="00CD4616">
        <w:rPr>
          <w:rFonts w:ascii="Tahoma" w:eastAsia="Times New Roman" w:hAnsi="Tahoma" w:cs="Tahoma"/>
          <w:color w:val="000000"/>
          <w:lang w:eastAsia="en-GB"/>
        </w:rPr>
        <w:t xml:space="preserve"> Integráci</w:t>
      </w:r>
      <w:r w:rsidR="009A1551">
        <w:rPr>
          <w:rFonts w:ascii="Tahoma" w:eastAsia="Times New Roman" w:hAnsi="Tahoma" w:cs="Tahoma"/>
          <w:color w:val="000000"/>
          <w:lang w:eastAsia="en-GB"/>
        </w:rPr>
        <w:t>a</w:t>
      </w:r>
      <w:r w:rsidR="00CD4616">
        <w:rPr>
          <w:rFonts w:ascii="Tahoma" w:eastAsia="Times New Roman" w:hAnsi="Tahoma" w:cs="Tahoma"/>
          <w:color w:val="000000"/>
          <w:lang w:eastAsia="en-GB"/>
        </w:rPr>
        <w:t xml:space="preserve"> na ďalšie IS</w:t>
      </w:r>
      <w:r w:rsidR="009A1551">
        <w:rPr>
          <w:rFonts w:ascii="Tahoma" w:eastAsia="Times New Roman" w:hAnsi="Tahoma" w:cs="Tahoma"/>
          <w:color w:val="000000"/>
          <w:lang w:eastAsia="en-GB"/>
        </w:rPr>
        <w:t xml:space="preserve"> v rámci ďalšieho rozvoja</w:t>
      </w:r>
      <w:r w:rsidR="00CD4616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9A1551">
        <w:rPr>
          <w:rFonts w:ascii="Tahoma" w:eastAsia="Times New Roman" w:hAnsi="Tahoma" w:cs="Tahoma"/>
          <w:color w:val="000000"/>
          <w:lang w:eastAsia="en-GB"/>
        </w:rPr>
        <w:t>platformy je deklarovaná aj v projektovej dokumentácii.</w:t>
      </w:r>
    </w:p>
    <w:p w14:paraId="65178824" w14:textId="004200AC" w:rsidR="0003465D" w:rsidRDefault="0003465D" w:rsidP="0013108B">
      <w:pPr>
        <w:tabs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Pán Dillinger taktiež upozornil na potrebu, aby medzi funkcionalitami riešenia nechýbala možnosť pridávania ďalšieho obsahu a zároveň, aby boli dostupné funkcie pre lektorov a školiteľov. Pán Lukáč reagoval, že možnosť pridávania obsahu je uvedená v rámci aplikačnej architektúry riešenia, ako funkcionalita modulov pre eLearning a testovanie. Zároveň projektová dokumentácia obsahuje popis jednotlivých rolí, vrátane lektorov a tvorcov obsahu.</w:t>
      </w:r>
    </w:p>
    <w:p w14:paraId="2433832E" w14:textId="77777777" w:rsidR="00EE789B" w:rsidRDefault="00EE789B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96A5E" w14:textId="77777777" w:rsidR="0020441D" w:rsidRPr="0003465D" w:rsidRDefault="00F118C0" w:rsidP="0013108B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03465D">
        <w:rPr>
          <w:rFonts w:ascii="Tahoma" w:hAnsi="Tahoma" w:cs="Tahoma"/>
          <w:b/>
          <w:color w:val="000000" w:themeColor="text1"/>
          <w:u w:val="single"/>
        </w:rPr>
        <w:t>K bodu 4:</w:t>
      </w:r>
    </w:p>
    <w:p w14:paraId="5C9AF52F" w14:textId="6538F8C2" w:rsidR="007C31A6" w:rsidRPr="0003465D" w:rsidRDefault="00F37248" w:rsidP="00F37248">
      <w:pPr>
        <w:tabs>
          <w:tab w:val="left" w:pos="851"/>
        </w:tabs>
        <w:spacing w:after="120" w:line="360" w:lineRule="auto"/>
        <w:jc w:val="both"/>
        <w:rPr>
          <w:rFonts w:ascii="Tahoma" w:hAnsi="Tahoma" w:cs="Tahoma"/>
        </w:rPr>
      </w:pPr>
      <w:r w:rsidRPr="0003465D">
        <w:rPr>
          <w:rFonts w:ascii="Tahoma" w:hAnsi="Tahoma" w:cs="Tahoma"/>
        </w:rPr>
        <w:t>P</w:t>
      </w:r>
      <w:r w:rsidR="0003465D" w:rsidRPr="0003465D">
        <w:rPr>
          <w:rFonts w:ascii="Tahoma" w:hAnsi="Tahoma" w:cs="Tahoma"/>
        </w:rPr>
        <w:t>án Jucha sa na záver</w:t>
      </w:r>
      <w:r w:rsidRPr="0003465D">
        <w:rPr>
          <w:rFonts w:ascii="Tahoma" w:hAnsi="Tahoma" w:cs="Tahoma"/>
        </w:rPr>
        <w:t xml:space="preserve"> p</w:t>
      </w:r>
      <w:r w:rsidR="0020441D" w:rsidRPr="0003465D">
        <w:rPr>
          <w:rFonts w:ascii="Tahoma" w:hAnsi="Tahoma" w:cs="Tahoma"/>
        </w:rPr>
        <w:t>oďakov</w:t>
      </w:r>
      <w:r w:rsidRPr="0003465D">
        <w:rPr>
          <w:rFonts w:ascii="Tahoma" w:hAnsi="Tahoma" w:cs="Tahoma"/>
        </w:rPr>
        <w:t xml:space="preserve">al za účasť všetkým zúčastneným a pozitívne </w:t>
      </w:r>
      <w:r w:rsidR="0020441D" w:rsidRPr="0003465D">
        <w:rPr>
          <w:rFonts w:ascii="Tahoma" w:hAnsi="Tahoma" w:cs="Tahoma"/>
        </w:rPr>
        <w:t xml:space="preserve">zhodnotil dnešné </w:t>
      </w:r>
      <w:r w:rsidRPr="0003465D">
        <w:rPr>
          <w:rFonts w:ascii="Tahoma" w:hAnsi="Tahoma" w:cs="Tahoma"/>
        </w:rPr>
        <w:t xml:space="preserve">stretnutie </w:t>
      </w:r>
      <w:r w:rsidR="0020441D" w:rsidRPr="0003465D">
        <w:rPr>
          <w:rFonts w:ascii="Tahoma" w:hAnsi="Tahoma" w:cs="Tahoma"/>
        </w:rPr>
        <w:t xml:space="preserve"> a poprial príjemný zvyšok dňa.</w:t>
      </w:r>
    </w:p>
    <w:sectPr w:rsidR="007C31A6" w:rsidRPr="0003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35E"/>
    <w:multiLevelType w:val="hybridMultilevel"/>
    <w:tmpl w:val="19B8EAE8"/>
    <w:lvl w:ilvl="0" w:tplc="30EE8EA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7A09DF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2" w15:restartNumberingAfterBreak="0">
    <w:nsid w:val="01112655"/>
    <w:multiLevelType w:val="hybridMultilevel"/>
    <w:tmpl w:val="C13E1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591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4" w15:restartNumberingAfterBreak="0">
    <w:nsid w:val="190B72C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5" w15:restartNumberingAfterBreak="0">
    <w:nsid w:val="21056860"/>
    <w:multiLevelType w:val="hybridMultilevel"/>
    <w:tmpl w:val="EA6A6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C6"/>
    <w:multiLevelType w:val="hybridMultilevel"/>
    <w:tmpl w:val="E9027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2B4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8" w15:restartNumberingAfterBreak="0">
    <w:nsid w:val="3A580C61"/>
    <w:multiLevelType w:val="hybridMultilevel"/>
    <w:tmpl w:val="EF4E4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32D"/>
    <w:multiLevelType w:val="hybridMultilevel"/>
    <w:tmpl w:val="A90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4417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1" w15:restartNumberingAfterBreak="0">
    <w:nsid w:val="553B7717"/>
    <w:multiLevelType w:val="hybridMultilevel"/>
    <w:tmpl w:val="B764FC38"/>
    <w:lvl w:ilvl="0" w:tplc="50A4216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 w15:restartNumberingAfterBreak="0">
    <w:nsid w:val="5D9E4E01"/>
    <w:multiLevelType w:val="hybridMultilevel"/>
    <w:tmpl w:val="E076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5F9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4" w15:restartNumberingAfterBreak="0">
    <w:nsid w:val="6E1F794D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5" w15:restartNumberingAfterBreak="0">
    <w:nsid w:val="6E7B3847"/>
    <w:multiLevelType w:val="hybridMultilevel"/>
    <w:tmpl w:val="929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10458"/>
    <w:multiLevelType w:val="hybridMultilevel"/>
    <w:tmpl w:val="B28C2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34DA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8" w15:restartNumberingAfterBreak="0">
    <w:nsid w:val="746D556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9" w15:restartNumberingAfterBreak="0">
    <w:nsid w:val="7BE25BAA"/>
    <w:multiLevelType w:val="hybridMultilevel"/>
    <w:tmpl w:val="A7ECA810"/>
    <w:lvl w:ilvl="0" w:tplc="041B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 w15:restartNumberingAfterBreak="0">
    <w:nsid w:val="7D625A94"/>
    <w:multiLevelType w:val="hybridMultilevel"/>
    <w:tmpl w:val="5EFA123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17"/>
  </w:num>
  <w:num w:numId="9">
    <w:abstractNumId w:val="1"/>
  </w:num>
  <w:num w:numId="10">
    <w:abstractNumId w:val="14"/>
  </w:num>
  <w:num w:numId="11">
    <w:abstractNumId w:val="18"/>
  </w:num>
  <w:num w:numId="12">
    <w:abstractNumId w:val="5"/>
  </w:num>
  <w:num w:numId="13">
    <w:abstractNumId w:val="8"/>
  </w:num>
  <w:num w:numId="14">
    <w:abstractNumId w:val="20"/>
  </w:num>
  <w:num w:numId="15">
    <w:abstractNumId w:val="0"/>
  </w:num>
  <w:num w:numId="16">
    <w:abstractNumId w:val="16"/>
  </w:num>
  <w:num w:numId="17">
    <w:abstractNumId w:val="6"/>
  </w:num>
  <w:num w:numId="18">
    <w:abstractNumId w:val="19"/>
  </w:num>
  <w:num w:numId="19">
    <w:abstractNumId w:val="15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9"/>
    <w:rsid w:val="00001ACA"/>
    <w:rsid w:val="00013B12"/>
    <w:rsid w:val="000244AC"/>
    <w:rsid w:val="0003465D"/>
    <w:rsid w:val="00034F92"/>
    <w:rsid w:val="00077D8C"/>
    <w:rsid w:val="00092268"/>
    <w:rsid w:val="000C688A"/>
    <w:rsid w:val="000E05A7"/>
    <w:rsid w:val="000E3124"/>
    <w:rsid w:val="00105218"/>
    <w:rsid w:val="0013108B"/>
    <w:rsid w:val="00137DE0"/>
    <w:rsid w:val="001567EA"/>
    <w:rsid w:val="001638A9"/>
    <w:rsid w:val="00195799"/>
    <w:rsid w:val="001A7917"/>
    <w:rsid w:val="001B4E99"/>
    <w:rsid w:val="001C43FA"/>
    <w:rsid w:val="001D0120"/>
    <w:rsid w:val="001D055B"/>
    <w:rsid w:val="001E5945"/>
    <w:rsid w:val="0020441D"/>
    <w:rsid w:val="002144EF"/>
    <w:rsid w:val="002273C2"/>
    <w:rsid w:val="0023403F"/>
    <w:rsid w:val="002447D9"/>
    <w:rsid w:val="002527ED"/>
    <w:rsid w:val="002641A9"/>
    <w:rsid w:val="0026521F"/>
    <w:rsid w:val="0026633B"/>
    <w:rsid w:val="00267FC9"/>
    <w:rsid w:val="00274C8A"/>
    <w:rsid w:val="002A379B"/>
    <w:rsid w:val="002B3EC3"/>
    <w:rsid w:val="002C6B49"/>
    <w:rsid w:val="002F65FE"/>
    <w:rsid w:val="003266D8"/>
    <w:rsid w:val="00333961"/>
    <w:rsid w:val="00334809"/>
    <w:rsid w:val="00335D65"/>
    <w:rsid w:val="00336946"/>
    <w:rsid w:val="00337825"/>
    <w:rsid w:val="003473F2"/>
    <w:rsid w:val="00352B2B"/>
    <w:rsid w:val="00353A6F"/>
    <w:rsid w:val="00373C6E"/>
    <w:rsid w:val="00392C59"/>
    <w:rsid w:val="0039592D"/>
    <w:rsid w:val="003A6541"/>
    <w:rsid w:val="003C5B3B"/>
    <w:rsid w:val="003D48B7"/>
    <w:rsid w:val="00407FDC"/>
    <w:rsid w:val="00410ABF"/>
    <w:rsid w:val="0041344B"/>
    <w:rsid w:val="00444DDD"/>
    <w:rsid w:val="00446C2D"/>
    <w:rsid w:val="004815DD"/>
    <w:rsid w:val="00491726"/>
    <w:rsid w:val="00493EE9"/>
    <w:rsid w:val="004A30F3"/>
    <w:rsid w:val="004F00BE"/>
    <w:rsid w:val="0052187E"/>
    <w:rsid w:val="00546B74"/>
    <w:rsid w:val="0055065C"/>
    <w:rsid w:val="005516D0"/>
    <w:rsid w:val="005526E1"/>
    <w:rsid w:val="005648F0"/>
    <w:rsid w:val="00566573"/>
    <w:rsid w:val="005779E5"/>
    <w:rsid w:val="00582E39"/>
    <w:rsid w:val="005A0758"/>
    <w:rsid w:val="005C40D7"/>
    <w:rsid w:val="005D1956"/>
    <w:rsid w:val="00606B44"/>
    <w:rsid w:val="006564EC"/>
    <w:rsid w:val="0066069C"/>
    <w:rsid w:val="00660839"/>
    <w:rsid w:val="00682D82"/>
    <w:rsid w:val="006856E5"/>
    <w:rsid w:val="00690543"/>
    <w:rsid w:val="006B33C0"/>
    <w:rsid w:val="007015FF"/>
    <w:rsid w:val="0070770A"/>
    <w:rsid w:val="00715C48"/>
    <w:rsid w:val="007805D7"/>
    <w:rsid w:val="007A08ED"/>
    <w:rsid w:val="007A7D68"/>
    <w:rsid w:val="007B2ACE"/>
    <w:rsid w:val="007C31A6"/>
    <w:rsid w:val="007D33E4"/>
    <w:rsid w:val="007F426C"/>
    <w:rsid w:val="00804263"/>
    <w:rsid w:val="00807B32"/>
    <w:rsid w:val="00821C14"/>
    <w:rsid w:val="00822526"/>
    <w:rsid w:val="00831433"/>
    <w:rsid w:val="00844815"/>
    <w:rsid w:val="008469D4"/>
    <w:rsid w:val="00847838"/>
    <w:rsid w:val="008553C1"/>
    <w:rsid w:val="0086120E"/>
    <w:rsid w:val="00861F40"/>
    <w:rsid w:val="0086274D"/>
    <w:rsid w:val="0088724E"/>
    <w:rsid w:val="00893D82"/>
    <w:rsid w:val="00896D72"/>
    <w:rsid w:val="008B3695"/>
    <w:rsid w:val="008C5709"/>
    <w:rsid w:val="008D04EA"/>
    <w:rsid w:val="008E0BC0"/>
    <w:rsid w:val="008F4626"/>
    <w:rsid w:val="00901A77"/>
    <w:rsid w:val="00901F62"/>
    <w:rsid w:val="00907F58"/>
    <w:rsid w:val="00937598"/>
    <w:rsid w:val="00943403"/>
    <w:rsid w:val="009A1551"/>
    <w:rsid w:val="009C2BBC"/>
    <w:rsid w:val="009D5E9F"/>
    <w:rsid w:val="00A111B3"/>
    <w:rsid w:val="00A16A2D"/>
    <w:rsid w:val="00A848B7"/>
    <w:rsid w:val="00AA2BEF"/>
    <w:rsid w:val="00AC36B6"/>
    <w:rsid w:val="00AC51C3"/>
    <w:rsid w:val="00AE52FF"/>
    <w:rsid w:val="00AE64D7"/>
    <w:rsid w:val="00B06F04"/>
    <w:rsid w:val="00B50BEE"/>
    <w:rsid w:val="00B50F5E"/>
    <w:rsid w:val="00B6678A"/>
    <w:rsid w:val="00B66E2C"/>
    <w:rsid w:val="00B85A6D"/>
    <w:rsid w:val="00B93760"/>
    <w:rsid w:val="00BC0B4C"/>
    <w:rsid w:val="00BD1F1A"/>
    <w:rsid w:val="00BE1DC0"/>
    <w:rsid w:val="00BE5995"/>
    <w:rsid w:val="00BF0CE0"/>
    <w:rsid w:val="00BF332F"/>
    <w:rsid w:val="00BF7B1C"/>
    <w:rsid w:val="00C0355A"/>
    <w:rsid w:val="00C2609B"/>
    <w:rsid w:val="00C30976"/>
    <w:rsid w:val="00C41AD3"/>
    <w:rsid w:val="00C4426F"/>
    <w:rsid w:val="00C67EDC"/>
    <w:rsid w:val="00C7165C"/>
    <w:rsid w:val="00C72C4B"/>
    <w:rsid w:val="00C7439C"/>
    <w:rsid w:val="00C80FF6"/>
    <w:rsid w:val="00C85B4D"/>
    <w:rsid w:val="00C915B4"/>
    <w:rsid w:val="00C94F80"/>
    <w:rsid w:val="00CB5107"/>
    <w:rsid w:val="00CC378A"/>
    <w:rsid w:val="00CD4616"/>
    <w:rsid w:val="00CF085B"/>
    <w:rsid w:val="00CF54AF"/>
    <w:rsid w:val="00D06312"/>
    <w:rsid w:val="00D50D1F"/>
    <w:rsid w:val="00D573EC"/>
    <w:rsid w:val="00D60255"/>
    <w:rsid w:val="00D62DEE"/>
    <w:rsid w:val="00D749AD"/>
    <w:rsid w:val="00D96D32"/>
    <w:rsid w:val="00DA4D61"/>
    <w:rsid w:val="00DB09E4"/>
    <w:rsid w:val="00DB35B6"/>
    <w:rsid w:val="00DC2E9A"/>
    <w:rsid w:val="00DE28E7"/>
    <w:rsid w:val="00DE3148"/>
    <w:rsid w:val="00E229BB"/>
    <w:rsid w:val="00E22BB8"/>
    <w:rsid w:val="00E538EE"/>
    <w:rsid w:val="00E71B9C"/>
    <w:rsid w:val="00E82481"/>
    <w:rsid w:val="00E922D7"/>
    <w:rsid w:val="00E97410"/>
    <w:rsid w:val="00EA7978"/>
    <w:rsid w:val="00EB1486"/>
    <w:rsid w:val="00EC180C"/>
    <w:rsid w:val="00EC40E5"/>
    <w:rsid w:val="00EE1C88"/>
    <w:rsid w:val="00EE375E"/>
    <w:rsid w:val="00EE5528"/>
    <w:rsid w:val="00EE789B"/>
    <w:rsid w:val="00F02BD0"/>
    <w:rsid w:val="00F118C0"/>
    <w:rsid w:val="00F32CB3"/>
    <w:rsid w:val="00F345A8"/>
    <w:rsid w:val="00F37248"/>
    <w:rsid w:val="00F411C3"/>
    <w:rsid w:val="00F417C1"/>
    <w:rsid w:val="00F61CAB"/>
    <w:rsid w:val="00F6665E"/>
    <w:rsid w:val="00F87E22"/>
    <w:rsid w:val="00F9007B"/>
    <w:rsid w:val="00F911B2"/>
    <w:rsid w:val="00F95976"/>
    <w:rsid w:val="00FA0A83"/>
    <w:rsid w:val="00FC35D2"/>
    <w:rsid w:val="00FE6F0B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1BF5"/>
  <w15:chartTrackingRefBased/>
  <w15:docId w15:val="{7829963A-D4AD-4001-B93E-740843C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5709"/>
    <w:pPr>
      <w:framePr w:hSpace="142" w:wrap="around" w:vAnchor="text" w:hAnchor="text" w:y="1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C5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necislovany zoznam,body,Odsek zoznamu2,Bullet Number,List Paragraph1,lp1,lp11,List Paragraph11,Use Case List Paragraph,Heading Bullet,Bullet List,FooterText,numbered,Paragraphe de liste1,Bulletr List Paragraph,列出段落,列出段落1"/>
    <w:basedOn w:val="Normlny"/>
    <w:link w:val="OdsekzoznamuChar"/>
    <w:uiPriority w:val="34"/>
    <w:qFormat/>
    <w:rsid w:val="008C57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C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necislovany zoznam Char,body Char,Odsek zoznamu2 Char,Bullet Number Char,List Paragraph1 Char,lp1 Char,lp11 Char,List Paragraph11 Char,Use Case List Paragraph Char,Heading Bullet Char,Bullet List Char,FooterText Char,numbered Char"/>
    <w:link w:val="Odsekzoznamu"/>
    <w:uiPriority w:val="34"/>
    <w:locked/>
    <w:rsid w:val="007D33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4A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C3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A4D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4D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4D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4D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4D61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14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144EF"/>
    <w:pPr>
      <w:widowControl w:val="0"/>
      <w:autoSpaceDE w:val="0"/>
      <w:autoSpaceDN w:val="0"/>
      <w:spacing w:after="0" w:line="258" w:lineRule="exact"/>
      <w:ind w:left="12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2F65F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ais.vicepremier.gov.sk/detail/Projekt/1ee7ab77-cc98-441e-827f-872698386460/cimaster?tab=documents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D3F8-EF35-470D-A451-F57B02C1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Smreková</dc:creator>
  <cp:keywords/>
  <dc:description/>
  <cp:lastModifiedBy>Budinský, Gustáv</cp:lastModifiedBy>
  <cp:revision>4</cp:revision>
  <dcterms:created xsi:type="dcterms:W3CDTF">2021-05-10T14:11:00Z</dcterms:created>
  <dcterms:modified xsi:type="dcterms:W3CDTF">2021-05-12T13:34:00Z</dcterms:modified>
</cp:coreProperties>
</file>