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DA5F" w14:textId="77777777" w:rsidR="00F772DF" w:rsidRDefault="00F772DF" w:rsidP="00F772DF"/>
    <w:p w14:paraId="61473D7C" w14:textId="77777777" w:rsidR="00F772DF" w:rsidRDefault="00F772DF" w:rsidP="00F772DF"/>
    <w:p w14:paraId="050EA920" w14:textId="77777777" w:rsidR="00F772DF" w:rsidRDefault="00F772DF" w:rsidP="00F772DF"/>
    <w:p w14:paraId="1E7AD365" w14:textId="77777777" w:rsidR="00F772DF" w:rsidRDefault="00F772DF" w:rsidP="00F772DF"/>
    <w:p w14:paraId="690C87F4" w14:textId="77777777" w:rsidR="00F772DF" w:rsidRDefault="00F772DF" w:rsidP="00F772DF"/>
    <w:p w14:paraId="20C899AC" w14:textId="77777777" w:rsidR="00F772DF" w:rsidRDefault="00F772DF" w:rsidP="00F772DF"/>
    <w:p w14:paraId="4ABC22E4" w14:textId="77777777" w:rsidR="00F772DF" w:rsidRDefault="00F772DF" w:rsidP="00F772DF"/>
    <w:p w14:paraId="2E9362A4" w14:textId="77777777" w:rsidR="00F772DF" w:rsidRDefault="00F772DF" w:rsidP="00F772DF"/>
    <w:p w14:paraId="673BF0F0" w14:textId="77777777" w:rsidR="00F772DF" w:rsidRDefault="00F772DF" w:rsidP="00F772DF"/>
    <w:p w14:paraId="01970C58" w14:textId="77777777" w:rsidR="00F772DF" w:rsidRDefault="00F772DF" w:rsidP="00F772DF">
      <w:pPr>
        <w:jc w:val="center"/>
        <w:rPr>
          <w:rFonts w:ascii="Arial" w:hAnsi="Arial" w:cs="Arial"/>
          <w:b/>
          <w:sz w:val="32"/>
          <w:szCs w:val="32"/>
        </w:rPr>
      </w:pPr>
      <w:r w:rsidRPr="005121D8">
        <w:rPr>
          <w:rFonts w:ascii="Arial" w:hAnsi="Arial" w:cs="Arial"/>
          <w:b/>
          <w:sz w:val="32"/>
          <w:szCs w:val="32"/>
        </w:rPr>
        <w:t xml:space="preserve">Analýza benefitov vyplývajúcich z implementácie </w:t>
      </w:r>
    </w:p>
    <w:p w14:paraId="1AC147B0" w14:textId="77777777" w:rsidR="00F772DF" w:rsidRDefault="00F772DF" w:rsidP="00F772DF">
      <w:pPr>
        <w:jc w:val="center"/>
        <w:rPr>
          <w:rFonts w:ascii="Arial" w:hAnsi="Arial" w:cs="Arial"/>
          <w:b/>
          <w:sz w:val="32"/>
          <w:szCs w:val="32"/>
        </w:rPr>
      </w:pPr>
      <w:r w:rsidRPr="005121D8">
        <w:rPr>
          <w:rFonts w:ascii="Arial" w:hAnsi="Arial" w:cs="Arial"/>
          <w:b/>
          <w:sz w:val="32"/>
          <w:szCs w:val="32"/>
        </w:rPr>
        <w:t>NP: Detekcia zraniteľnosti koncových obslužných bodov</w:t>
      </w:r>
    </w:p>
    <w:p w14:paraId="03E7FBDD" w14:textId="77777777" w:rsidR="00204D2E" w:rsidRDefault="00204D2E" w:rsidP="00BB20D5">
      <w:pPr>
        <w:spacing w:after="0" w:line="360" w:lineRule="auto"/>
        <w:rPr>
          <w:rFonts w:ascii="Arial" w:hAnsi="Arial" w:cs="Arial"/>
        </w:rPr>
      </w:pPr>
    </w:p>
    <w:p w14:paraId="75B612DA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64FE3B47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0835019E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748BB04F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2DF7C375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1512239E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73ED1C24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6A5D96AC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236A3F98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F772DF" w:rsidRPr="005121D8" w14:paraId="09B4C541" w14:textId="77777777" w:rsidTr="0085093D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E166E67" w14:textId="77777777" w:rsidR="00F772DF" w:rsidRPr="005121D8" w:rsidRDefault="00F772DF" w:rsidP="0085093D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Projekt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D964A7E" w14:textId="77777777" w:rsidR="00F772DF" w:rsidRPr="005121D8" w:rsidRDefault="00F772DF" w:rsidP="0085093D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Detekcia zraniteľnosti koncových obslužných bodov</w:t>
            </w:r>
          </w:p>
        </w:tc>
      </w:tr>
      <w:tr w:rsidR="00F772DF" w:rsidRPr="005121D8" w14:paraId="36EFB315" w14:textId="77777777" w:rsidTr="0085093D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6FFFD4A" w14:textId="77777777" w:rsidR="00F772DF" w:rsidRPr="005121D8" w:rsidRDefault="00F772DF" w:rsidP="0085093D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Verzia dokumentu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55A5064E" w14:textId="33912556" w:rsidR="00F772DF" w:rsidRPr="005121D8" w:rsidRDefault="00910FCD" w:rsidP="0085093D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</w:t>
            </w:r>
            <w:r w:rsidR="001A4E6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</w:tr>
      <w:tr w:rsidR="00F772DF" w:rsidRPr="005121D8" w14:paraId="3990AEB1" w14:textId="77777777" w:rsidTr="0085093D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4B5F0D1" w14:textId="77777777" w:rsidR="00F772DF" w:rsidRPr="005121D8" w:rsidRDefault="00F772DF" w:rsidP="0085093D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Dátum vydania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2E440A3" w14:textId="62521ECB" w:rsidR="00F772DF" w:rsidRPr="005121D8" w:rsidRDefault="001A4E67" w:rsidP="0085093D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  <w:r w:rsidR="00910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2.07.2021</w:t>
            </w:r>
          </w:p>
        </w:tc>
      </w:tr>
      <w:tr w:rsidR="00F772DF" w:rsidRPr="005121D8" w14:paraId="28BE8A4A" w14:textId="77777777" w:rsidTr="0085093D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7E8A9157" w14:textId="77777777" w:rsidR="00F772DF" w:rsidRPr="005121D8" w:rsidRDefault="00F772DF" w:rsidP="0085093D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ID dokumentu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4F6BD07" w14:textId="4C47A0A5" w:rsidR="00F772DF" w:rsidRPr="005121D8" w:rsidRDefault="00F772DF" w:rsidP="0085093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de-AT" w:eastAsia="de-DE"/>
              </w:rPr>
            </w:pPr>
            <w:r w:rsidRPr="005121D8">
              <w:rPr>
                <w:rFonts w:ascii="Arial" w:eastAsia="Times New Roman" w:hAnsi="Arial" w:cs="Arial"/>
                <w:color w:val="000000"/>
                <w:sz w:val="20"/>
                <w:szCs w:val="20"/>
                <w:lang w:val="de-AT" w:eastAsia="de-DE"/>
              </w:rPr>
              <w:t xml:space="preserve">   </w:t>
            </w:r>
            <w:r w:rsidR="00910FCD" w:rsidRPr="00910FCD">
              <w:rPr>
                <w:rFonts w:ascii="Arial" w:eastAsia="Times New Roman" w:hAnsi="Arial" w:cs="Arial"/>
                <w:color w:val="000000"/>
                <w:sz w:val="20"/>
                <w:szCs w:val="20"/>
                <w:lang w:val="de-AT" w:eastAsia="de-DE"/>
              </w:rPr>
              <w:t>202107</w:t>
            </w:r>
            <w:r w:rsidR="00BE7D40">
              <w:rPr>
                <w:rFonts w:ascii="Arial" w:eastAsia="Times New Roman" w:hAnsi="Arial" w:cs="Arial"/>
                <w:color w:val="000000"/>
                <w:sz w:val="20"/>
                <w:szCs w:val="20"/>
                <w:lang w:val="de-AT" w:eastAsia="de-DE"/>
              </w:rPr>
              <w:t>22</w:t>
            </w:r>
            <w:r w:rsidR="00910FCD" w:rsidRPr="00910FCD">
              <w:rPr>
                <w:rFonts w:ascii="Arial" w:eastAsia="Times New Roman" w:hAnsi="Arial" w:cs="Arial"/>
                <w:color w:val="000000"/>
                <w:sz w:val="20"/>
                <w:szCs w:val="20"/>
                <w:lang w:val="de-AT" w:eastAsia="de-DE"/>
              </w:rPr>
              <w:t>_Analýza Benefitov NP Detekcia zraniteľnosti koncových obslužných bodov_v1</w:t>
            </w:r>
            <w:r w:rsidR="001A4E67">
              <w:rPr>
                <w:rFonts w:ascii="Arial" w:eastAsia="Times New Roman" w:hAnsi="Arial" w:cs="Arial"/>
                <w:color w:val="000000"/>
                <w:sz w:val="20"/>
                <w:szCs w:val="20"/>
                <w:lang w:val="de-AT" w:eastAsia="de-DE"/>
              </w:rPr>
              <w:t>1</w:t>
            </w:r>
          </w:p>
        </w:tc>
      </w:tr>
      <w:tr w:rsidR="00F772DF" w:rsidRPr="005121D8" w14:paraId="676B4AB9" w14:textId="77777777" w:rsidTr="0085093D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30CBFD12" w14:textId="77777777" w:rsidR="00F772DF" w:rsidRPr="005121D8" w:rsidRDefault="00F772DF" w:rsidP="0085093D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Autor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CB85A42" w14:textId="77777777" w:rsidR="00F772DF" w:rsidRPr="005121D8" w:rsidRDefault="00F772DF" w:rsidP="0085093D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 Garaj</w:t>
            </w:r>
          </w:p>
        </w:tc>
      </w:tr>
      <w:tr w:rsidR="00F772DF" w:rsidRPr="005121D8" w14:paraId="5F559E50" w14:textId="77777777" w:rsidTr="0085093D">
        <w:trPr>
          <w:cantSplit/>
          <w:trHeight w:val="1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1A1E969E" w14:textId="77777777" w:rsidR="00F772DF" w:rsidRPr="005121D8" w:rsidRDefault="00F772DF" w:rsidP="0085093D">
            <w:pPr>
              <w:spacing w:after="0" w:line="240" w:lineRule="auto"/>
              <w:ind w:right="1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Vlastník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14:paraId="2284E518" w14:textId="77777777" w:rsidR="00F772DF" w:rsidRPr="005121D8" w:rsidRDefault="00F772DF" w:rsidP="0085093D">
            <w:pPr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NASES</w:t>
            </w:r>
          </w:p>
        </w:tc>
      </w:tr>
    </w:tbl>
    <w:p w14:paraId="72A73FAC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154296CF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36A03746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3B755B7C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204382D5" w14:textId="77777777" w:rsidR="00F772DF" w:rsidRDefault="00F772DF" w:rsidP="00BB20D5">
      <w:pPr>
        <w:spacing w:after="0" w:line="360" w:lineRule="auto"/>
        <w:rPr>
          <w:rFonts w:ascii="Arial" w:hAnsi="Arial" w:cs="Arial"/>
        </w:rPr>
      </w:pPr>
    </w:p>
    <w:p w14:paraId="58FEF69A" w14:textId="77777777" w:rsidR="00F772DF" w:rsidRPr="00F772DF" w:rsidRDefault="00F772DF" w:rsidP="00F772DF">
      <w:pPr>
        <w:rPr>
          <w:rFonts w:ascii="Arial" w:hAnsi="Arial" w:cs="Arial"/>
          <w:sz w:val="24"/>
          <w:szCs w:val="24"/>
        </w:rPr>
      </w:pPr>
      <w:r w:rsidRPr="00F772DF">
        <w:rPr>
          <w:rFonts w:ascii="Arial" w:hAnsi="Arial" w:cs="Arial"/>
          <w:sz w:val="24"/>
          <w:szCs w:val="24"/>
        </w:rPr>
        <w:t>Denník zmien:</w:t>
      </w:r>
    </w:p>
    <w:tbl>
      <w:tblPr>
        <w:tblW w:w="9072" w:type="dxa"/>
        <w:tblInd w:w="108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8"/>
        <w:gridCol w:w="670"/>
        <w:gridCol w:w="4820"/>
        <w:gridCol w:w="1984"/>
      </w:tblGrid>
      <w:tr w:rsidR="00F772DF" w:rsidRPr="005121D8" w14:paraId="2EFE2D7B" w14:textId="77777777" w:rsidTr="0085093D">
        <w:trPr>
          <w:trHeight w:val="340"/>
        </w:trPr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484747E3" w14:textId="77777777" w:rsidR="00F772DF" w:rsidRPr="005121D8" w:rsidRDefault="00F772DF" w:rsidP="0085093D">
            <w:pPr>
              <w:tabs>
                <w:tab w:val="left" w:pos="992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21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Dátum vydania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719DB66A" w14:textId="77777777" w:rsidR="00F772DF" w:rsidRPr="005121D8" w:rsidRDefault="00F772DF" w:rsidP="0085093D">
            <w:pPr>
              <w:tabs>
                <w:tab w:val="left" w:pos="992"/>
              </w:tabs>
              <w:spacing w:before="120"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21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Verzia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4A6BF060" w14:textId="77777777" w:rsidR="00F772DF" w:rsidRPr="005121D8" w:rsidRDefault="00F772DF" w:rsidP="0085093D">
            <w:pPr>
              <w:tabs>
                <w:tab w:val="left" w:pos="992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21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Popis verzie a zmien oproti predošlej verzii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29F1740F" w14:textId="77777777" w:rsidR="00F772DF" w:rsidRPr="005121D8" w:rsidRDefault="00F772DF" w:rsidP="0085093D">
            <w:pPr>
              <w:tabs>
                <w:tab w:val="left" w:pos="992"/>
              </w:tabs>
              <w:spacing w:before="120" w:after="0" w:line="240" w:lineRule="auto"/>
              <w:ind w:right="-34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21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 zmeny</w:t>
            </w:r>
          </w:p>
        </w:tc>
      </w:tr>
      <w:tr w:rsidR="00F772DF" w:rsidRPr="005121D8" w14:paraId="59BFE541" w14:textId="77777777" w:rsidTr="0085093D">
        <w:trPr>
          <w:trHeight w:val="340"/>
        </w:trPr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68238CD7" w14:textId="77777777" w:rsidR="00F772DF" w:rsidRPr="005121D8" w:rsidRDefault="0051706A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  <w:r w:rsidR="00F772D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.03.2021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36DF070C" w14:textId="77777777" w:rsidR="00F772DF" w:rsidRPr="005121D8" w:rsidRDefault="00F772DF" w:rsidP="00850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0.1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251E2344" w14:textId="77777777" w:rsidR="00F772DF" w:rsidRPr="005121D8" w:rsidRDefault="00F772DF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Prvá (iniciálna) verzia dokumentu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103B9B42" w14:textId="77777777" w:rsidR="00F772DF" w:rsidRPr="005121D8" w:rsidRDefault="00F772DF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1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 Garaj</w:t>
            </w:r>
          </w:p>
        </w:tc>
      </w:tr>
      <w:tr w:rsidR="00F772DF" w:rsidRPr="005121D8" w14:paraId="71B54FE4" w14:textId="77777777" w:rsidTr="0085093D">
        <w:trPr>
          <w:trHeight w:val="340"/>
        </w:trPr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31CAC3E2" w14:textId="18319128" w:rsidR="00F772DF" w:rsidRPr="00910FCD" w:rsidRDefault="00C73280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10FC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  <w:r w:rsidR="007042FD" w:rsidRPr="00910FC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.6.2021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4AC983B3" w14:textId="29B706CC" w:rsidR="00F772DF" w:rsidRPr="00910FCD" w:rsidRDefault="007042FD" w:rsidP="00850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10FC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2FCE589F" w14:textId="50360736" w:rsidR="00F772DF" w:rsidRPr="00910FCD" w:rsidRDefault="007042FD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10FC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Druhá verzia dokumentu zapracovanie pripomienok SITVS MIRR</w:t>
            </w:r>
            <w:r w:rsidR="0046644D" w:rsidRPr="00910FC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Pr="00910FC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SR zo dňa 8.9.2021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1A2AA980" w14:textId="58601B02" w:rsidR="00F772DF" w:rsidRPr="00910FCD" w:rsidRDefault="007042FD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10FC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Peter Garaj</w:t>
            </w:r>
          </w:p>
        </w:tc>
      </w:tr>
      <w:tr w:rsidR="00F772DF" w:rsidRPr="005121D8" w14:paraId="250FAC99" w14:textId="77777777" w:rsidTr="0085093D">
        <w:trPr>
          <w:trHeight w:val="340"/>
        </w:trPr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53C6C71A" w14:textId="1AF02EC6" w:rsidR="00F772DF" w:rsidRPr="00E93310" w:rsidRDefault="00910FCD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12.07.2021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0BD1123B" w14:textId="18A89A44" w:rsidR="00F772DF" w:rsidRPr="00E93310" w:rsidRDefault="00910FCD" w:rsidP="0085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6EB5167B" w14:textId="1C2E09E8" w:rsidR="00F772DF" w:rsidRPr="00E93310" w:rsidRDefault="00910FCD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Schválenie dokumentu RV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342C5D9A" w14:textId="2D3A07FE" w:rsidR="00F772DF" w:rsidRPr="00E93310" w:rsidRDefault="00910FCD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Michal Seliga</w:t>
            </w:r>
          </w:p>
        </w:tc>
      </w:tr>
      <w:tr w:rsidR="001A4E67" w:rsidRPr="005121D8" w14:paraId="37359D65" w14:textId="77777777" w:rsidTr="0085093D">
        <w:trPr>
          <w:trHeight w:val="340"/>
        </w:trPr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6A59057A" w14:textId="65628293" w:rsidR="001A4E67" w:rsidRPr="00E93310" w:rsidRDefault="001A4E67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22.</w:t>
            </w:r>
            <w:r w:rsidR="0021227D"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  <w:r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7.2021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74340896" w14:textId="2777490E" w:rsidR="001A4E67" w:rsidRPr="00E93310" w:rsidRDefault="001A4E67" w:rsidP="00850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0B3A5895" w14:textId="4F3FD58D" w:rsidR="001A4E67" w:rsidRPr="00E93310" w:rsidRDefault="001A4E67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Zapracovanie pripomienok UHP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108" w:type="dxa"/>
              <w:bottom w:w="0" w:type="dxa"/>
              <w:right w:w="60" w:type="dxa"/>
            </w:tcMar>
            <w:vAlign w:val="center"/>
          </w:tcPr>
          <w:p w14:paraId="586509CB" w14:textId="5D6E99C5" w:rsidR="001A4E67" w:rsidRPr="00E93310" w:rsidRDefault="001A4E67" w:rsidP="008509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331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 Garaj</w:t>
            </w:r>
          </w:p>
        </w:tc>
      </w:tr>
    </w:tbl>
    <w:p w14:paraId="655D2047" w14:textId="77777777" w:rsidR="00F772DF" w:rsidRPr="005121D8" w:rsidRDefault="00F772DF" w:rsidP="00F772DF">
      <w:pPr>
        <w:rPr>
          <w:rFonts w:ascii="Arial" w:hAnsi="Arial" w:cs="Arial"/>
          <w:sz w:val="32"/>
          <w:szCs w:val="32"/>
        </w:rPr>
      </w:pPr>
    </w:p>
    <w:p w14:paraId="40AC348F" w14:textId="77777777" w:rsidR="00F772DF" w:rsidRDefault="00F772DF" w:rsidP="00F772DF"/>
    <w:p w14:paraId="296939F4" w14:textId="77777777" w:rsidR="00F772DF" w:rsidRDefault="00F772DF" w:rsidP="00F772DF"/>
    <w:p w14:paraId="44E0FD9D" w14:textId="77777777" w:rsidR="00F772DF" w:rsidRDefault="00F772DF" w:rsidP="00F772DF"/>
    <w:p w14:paraId="066E3DD1" w14:textId="77777777" w:rsidR="00F772DF" w:rsidRDefault="00F772DF" w:rsidP="00F772DF"/>
    <w:p w14:paraId="4E461CDE" w14:textId="77777777" w:rsidR="00F772DF" w:rsidRDefault="00F772DF" w:rsidP="00F772DF"/>
    <w:p w14:paraId="72CE5559" w14:textId="77777777" w:rsidR="00F772DF" w:rsidRDefault="00F772DF" w:rsidP="00F772DF"/>
    <w:p w14:paraId="70AD3C54" w14:textId="77777777" w:rsidR="00F772DF" w:rsidRDefault="00F772DF" w:rsidP="00F772DF"/>
    <w:p w14:paraId="40F04C3D" w14:textId="77777777" w:rsidR="00F772DF" w:rsidRDefault="00F772DF" w:rsidP="00F772DF"/>
    <w:p w14:paraId="5DA9A563" w14:textId="77777777" w:rsidR="00F772DF" w:rsidRDefault="00F772DF" w:rsidP="00F772DF"/>
    <w:p w14:paraId="503AB003" w14:textId="77777777" w:rsidR="00F772DF" w:rsidRDefault="00F772DF" w:rsidP="00F772DF"/>
    <w:p w14:paraId="767F5640" w14:textId="77777777" w:rsidR="00F772DF" w:rsidRDefault="00F772DF" w:rsidP="00F772DF"/>
    <w:p w14:paraId="0E1CDC6D" w14:textId="77777777" w:rsidR="00F772DF" w:rsidRDefault="00F772DF" w:rsidP="00F772DF"/>
    <w:p w14:paraId="0440E8CA" w14:textId="77777777" w:rsidR="00F772DF" w:rsidRDefault="00F772DF" w:rsidP="00F772DF"/>
    <w:p w14:paraId="492F40C9" w14:textId="77777777" w:rsidR="00F772DF" w:rsidRDefault="00F772DF" w:rsidP="00F772DF"/>
    <w:p w14:paraId="34D529B9" w14:textId="77777777" w:rsidR="00F772DF" w:rsidRDefault="00F772DF" w:rsidP="00F772DF"/>
    <w:p w14:paraId="70AE7BB7" w14:textId="77777777" w:rsidR="00F772DF" w:rsidRDefault="00F772DF" w:rsidP="00F772DF"/>
    <w:p w14:paraId="70CD0FB1" w14:textId="77777777" w:rsidR="00F772DF" w:rsidRDefault="00F772DF" w:rsidP="00F772DF"/>
    <w:p w14:paraId="05DFEF04" w14:textId="77777777" w:rsidR="00F772DF" w:rsidRDefault="00F772DF" w:rsidP="00F772DF"/>
    <w:p w14:paraId="7AE12DB6" w14:textId="77777777" w:rsidR="00F772DF" w:rsidRDefault="00F772DF" w:rsidP="00F772DF"/>
    <w:p w14:paraId="2BA3A757" w14:textId="77777777" w:rsidR="00F772DF" w:rsidRDefault="00F772DF" w:rsidP="00F772DF"/>
    <w:p w14:paraId="405770C6" w14:textId="77777777" w:rsidR="00F772DF" w:rsidRDefault="00F772DF" w:rsidP="00F772DF"/>
    <w:p w14:paraId="758E304C" w14:textId="77777777" w:rsidR="00F772DF" w:rsidRDefault="00F772DF" w:rsidP="00F772DF"/>
    <w:p w14:paraId="6ADFC1AD" w14:textId="77777777" w:rsidR="00F772DF" w:rsidRDefault="00F772DF" w:rsidP="00F772DF">
      <w:pPr>
        <w:pStyle w:val="Nadpis1"/>
      </w:pPr>
      <w:bookmarkStart w:id="0" w:name="_Toc77856816"/>
      <w:r>
        <w:t>Obsah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534904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16039C" w14:textId="77777777" w:rsidR="000D015C" w:rsidRDefault="000D015C">
          <w:pPr>
            <w:pStyle w:val="Hlavikaobsahu"/>
          </w:pPr>
          <w:r>
            <w:t>Obsah</w:t>
          </w:r>
        </w:p>
        <w:p w14:paraId="0DBEC21F" w14:textId="6052CCA1" w:rsidR="00247216" w:rsidRDefault="000D015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856816" w:history="1">
            <w:r w:rsidR="00247216" w:rsidRPr="00666233">
              <w:rPr>
                <w:rStyle w:val="Hypertextovprepojenie"/>
                <w:noProof/>
              </w:rPr>
              <w:t>Obsah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_Toc77856816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3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6A29DB5A" w14:textId="45020E46" w:rsidR="00247216" w:rsidRDefault="00627B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17" w:history="1">
            <w:r w:rsidR="00247216" w:rsidRPr="00666233">
              <w:rPr>
                <w:rStyle w:val="Hypertextovprepojenie"/>
                <w:noProof/>
              </w:rPr>
              <w:t>Zoznam skratiek a pojmov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_Toc77856817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4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62D0FF75" w14:textId="3A428FD2" w:rsidR="00247216" w:rsidRDefault="00627B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18" w:history="1">
            <w:r w:rsidR="00247216" w:rsidRPr="00666233">
              <w:rPr>
                <w:rStyle w:val="Hypertextovprepojenie"/>
                <w:noProof/>
              </w:rPr>
              <w:t>Účel dokumentu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_Toc77856818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5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06E51DB3" w14:textId="4AE7C494" w:rsidR="00247216" w:rsidRDefault="00627B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19" w:history="1">
            <w:r w:rsidR="00247216" w:rsidRPr="00666233">
              <w:rPr>
                <w:rStyle w:val="Hypertextovprepojenie"/>
                <w:noProof/>
              </w:rPr>
              <w:t>Východiská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_Toc77856819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6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1EB1089D" w14:textId="2D48E490" w:rsidR="00247216" w:rsidRDefault="00627B6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20" w:history="1">
            <w:r w:rsidR="00247216" w:rsidRPr="00666233">
              <w:rPr>
                <w:rStyle w:val="Hypertextovprepojenie"/>
                <w:noProof/>
              </w:rPr>
              <w:t>1.</w:t>
            </w:r>
            <w:r w:rsidR="00247216">
              <w:rPr>
                <w:rFonts w:eastAsiaTheme="minorEastAsia"/>
                <w:noProof/>
                <w:lang w:eastAsia="sk-SK"/>
              </w:rPr>
              <w:tab/>
            </w:r>
            <w:r w:rsidR="00247216" w:rsidRPr="00666233">
              <w:rPr>
                <w:rStyle w:val="Hypertextovprepojenie"/>
                <w:noProof/>
              </w:rPr>
              <w:t>Zníženie času a úsilia potrebného na vykonávanie proaktívneho monitorovania a vyhodnocovania bezpečnostných incidentov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_Toc77856820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7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08A42570" w14:textId="16291C7A" w:rsidR="00247216" w:rsidRDefault="00627B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21" w:history="1">
            <w:r w:rsidR="00247216" w:rsidRPr="00666233">
              <w:rPr>
                <w:rStyle w:val="Hypertextovprepojenie"/>
                <w:noProof/>
              </w:rPr>
              <w:t>Tabuľka č. 1 - Zníženie času a úsilia potrebného na vykonávanie proaktívneho monitorovania a vyhodnocovania bezpečnostných incidentov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_Toc77856821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8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1C3CE838" w14:textId="1D0546B0" w:rsidR="00247216" w:rsidRDefault="00627B6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22" w:history="1">
            <w:r w:rsidR="00247216" w:rsidRPr="00666233">
              <w:rPr>
                <w:rStyle w:val="Hypertextovprepojenie"/>
                <w:noProof/>
              </w:rPr>
              <w:t>2.</w:t>
            </w:r>
            <w:r w:rsidR="00247216">
              <w:rPr>
                <w:rFonts w:eastAsiaTheme="minorEastAsia"/>
                <w:noProof/>
                <w:lang w:eastAsia="sk-SK"/>
              </w:rPr>
              <w:tab/>
            </w:r>
            <w:r w:rsidR="00247216" w:rsidRPr="00666233">
              <w:rPr>
                <w:rStyle w:val="Hypertextovprepojenie"/>
                <w:noProof/>
              </w:rPr>
              <w:t>Zníženie času a úsilia na odstránenie vzniknutého bezpečnostného incidentu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_Toc77856822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9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67A57E77" w14:textId="1C676CF8" w:rsidR="00247216" w:rsidRDefault="00627B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23" w:history="1">
            <w:r w:rsidR="00247216" w:rsidRPr="00666233">
              <w:rPr>
                <w:rStyle w:val="Hypertextovprepojenie"/>
                <w:noProof/>
              </w:rPr>
              <w:t>Tabuľka č. 2 – Zníženie času a úsilia na odstránenie vzniknutého bezpečnostného incidentu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_Toc77856823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10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52F17811" w14:textId="538319C2" w:rsidR="00247216" w:rsidRDefault="00627B6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24" w:history="1">
            <w:r w:rsidR="00247216" w:rsidRPr="00666233">
              <w:rPr>
                <w:rStyle w:val="Hypertextovprepojenie"/>
                <w:noProof/>
              </w:rPr>
              <w:t>3.</w:t>
            </w:r>
            <w:r w:rsidR="00247216">
              <w:rPr>
                <w:rFonts w:eastAsiaTheme="minorEastAsia"/>
                <w:noProof/>
                <w:lang w:eastAsia="sk-SK"/>
              </w:rPr>
              <w:tab/>
            </w:r>
            <w:r w:rsidR="00247216" w:rsidRPr="00666233">
              <w:rPr>
                <w:rStyle w:val="Hypertextovprepojenie"/>
                <w:noProof/>
              </w:rPr>
              <w:t>Zníženie pravdepodobnosti úniku dát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_Toc77856824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12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1498000A" w14:textId="3DA6D98F" w:rsidR="00247216" w:rsidRDefault="00627B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25" w:history="1">
            <w:r w:rsidR="00247216" w:rsidRPr="00666233">
              <w:rPr>
                <w:rStyle w:val="Hypertextovprepojenie"/>
                <w:noProof/>
              </w:rPr>
              <w:t>Tabuľka č. 3 - Zníženie pravdepodobnosti úniku dát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_Toc77856825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13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26464DA3" w14:textId="4E1EA335" w:rsidR="00247216" w:rsidRDefault="00627B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26" w:history="1">
            <w:r w:rsidR="00247216" w:rsidRPr="00666233">
              <w:rPr>
                <w:rStyle w:val="Hypertextovprepojenie"/>
                <w:noProof/>
              </w:rPr>
              <w:t>Zhrnutie/Sumár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_Toc77856826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15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721D1D0F" w14:textId="16BA0121" w:rsidR="00247216" w:rsidRDefault="00627B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7856827" w:history="1">
            <w:r w:rsidR="00247216" w:rsidRPr="00666233">
              <w:rPr>
                <w:rStyle w:val="Hypertextovprepojenie"/>
                <w:noProof/>
              </w:rPr>
              <w:t>Tabuľka č. 4 – Sumár vyčíslených benefitov</w:t>
            </w:r>
            <w:r w:rsidR="00247216">
              <w:rPr>
                <w:noProof/>
                <w:webHidden/>
              </w:rPr>
              <w:tab/>
            </w:r>
            <w:r w:rsidR="00247216">
              <w:rPr>
                <w:noProof/>
                <w:webHidden/>
              </w:rPr>
              <w:fldChar w:fldCharType="begin"/>
            </w:r>
            <w:r w:rsidR="00247216">
              <w:rPr>
                <w:noProof/>
                <w:webHidden/>
              </w:rPr>
              <w:instrText xml:space="preserve"> PAGEREF _Toc77856827 \h </w:instrText>
            </w:r>
            <w:r w:rsidR="00247216">
              <w:rPr>
                <w:noProof/>
                <w:webHidden/>
              </w:rPr>
            </w:r>
            <w:r w:rsidR="00247216">
              <w:rPr>
                <w:noProof/>
                <w:webHidden/>
              </w:rPr>
              <w:fldChar w:fldCharType="separate"/>
            </w:r>
            <w:r w:rsidR="00247216">
              <w:rPr>
                <w:noProof/>
                <w:webHidden/>
              </w:rPr>
              <w:t>15</w:t>
            </w:r>
            <w:r w:rsidR="00247216">
              <w:rPr>
                <w:noProof/>
                <w:webHidden/>
              </w:rPr>
              <w:fldChar w:fldCharType="end"/>
            </w:r>
          </w:hyperlink>
        </w:p>
        <w:p w14:paraId="184CC9E9" w14:textId="77777777" w:rsidR="000D015C" w:rsidRDefault="000D015C">
          <w:r>
            <w:rPr>
              <w:b/>
              <w:bCs/>
            </w:rPr>
            <w:fldChar w:fldCharType="end"/>
          </w:r>
        </w:p>
      </w:sdtContent>
    </w:sdt>
    <w:p w14:paraId="54EABCBF" w14:textId="77777777" w:rsidR="000D015C" w:rsidRPr="000D015C" w:rsidRDefault="000D015C" w:rsidP="000D015C"/>
    <w:p w14:paraId="4C57C1B4" w14:textId="77777777" w:rsidR="00F772DF" w:rsidRDefault="00F772DF" w:rsidP="00F772DF"/>
    <w:p w14:paraId="5DAEF9D2" w14:textId="77777777" w:rsidR="00F772DF" w:rsidRDefault="00F772DF" w:rsidP="00F772DF"/>
    <w:p w14:paraId="1CB2C88E" w14:textId="77777777" w:rsidR="00F772DF" w:rsidRDefault="00F772DF" w:rsidP="00F772DF"/>
    <w:p w14:paraId="11C4AC35" w14:textId="77777777" w:rsidR="00F772DF" w:rsidRDefault="00F772DF" w:rsidP="00F772DF"/>
    <w:p w14:paraId="410F1EB5" w14:textId="77777777" w:rsidR="00F772DF" w:rsidRDefault="00F772DF" w:rsidP="00F772DF"/>
    <w:p w14:paraId="7C19DB18" w14:textId="77777777" w:rsidR="00F772DF" w:rsidRDefault="00F772DF" w:rsidP="00F772DF"/>
    <w:p w14:paraId="06F723A7" w14:textId="77777777" w:rsidR="00F772DF" w:rsidRDefault="00F772DF" w:rsidP="00F772DF"/>
    <w:p w14:paraId="521F81ED" w14:textId="77777777" w:rsidR="00F772DF" w:rsidRDefault="00F772DF" w:rsidP="00F772DF"/>
    <w:p w14:paraId="1DC84D26" w14:textId="77777777" w:rsidR="00F772DF" w:rsidRDefault="00F772DF" w:rsidP="00F772DF"/>
    <w:p w14:paraId="28445B6F" w14:textId="77777777" w:rsidR="00F772DF" w:rsidRDefault="00F772DF" w:rsidP="00F772DF"/>
    <w:p w14:paraId="617486BE" w14:textId="77777777" w:rsidR="00F772DF" w:rsidRDefault="00F772DF" w:rsidP="00F772DF"/>
    <w:p w14:paraId="4E62038F" w14:textId="77777777" w:rsidR="00CE25FD" w:rsidRDefault="00CE25FD" w:rsidP="00F772DF"/>
    <w:p w14:paraId="212F6B4E" w14:textId="77777777" w:rsidR="00CE25FD" w:rsidRDefault="00CE25FD" w:rsidP="00CE25FD">
      <w:pPr>
        <w:pStyle w:val="Nadpis1"/>
      </w:pPr>
      <w:bookmarkStart w:id="1" w:name="_Toc77856817"/>
      <w:r>
        <w:t>Zoznam skratiek a pojmov</w:t>
      </w:r>
      <w:bookmarkEnd w:id="1"/>
    </w:p>
    <w:p w14:paraId="33344775" w14:textId="77777777" w:rsidR="00CE25FD" w:rsidRDefault="00CE25FD" w:rsidP="00CE25FD"/>
    <w:tbl>
      <w:tblPr>
        <w:tblStyle w:val="Obyajntabuka3"/>
        <w:tblW w:w="10319" w:type="dxa"/>
        <w:tblInd w:w="-426" w:type="dxa"/>
        <w:tblLook w:val="04A0" w:firstRow="1" w:lastRow="0" w:firstColumn="1" w:lastColumn="0" w:noHBand="0" w:noVBand="1"/>
      </w:tblPr>
      <w:tblGrid>
        <w:gridCol w:w="414"/>
        <w:gridCol w:w="2847"/>
        <w:gridCol w:w="167"/>
        <w:gridCol w:w="6891"/>
      </w:tblGrid>
      <w:tr w:rsidR="00CE25FD" w14:paraId="51D79342" w14:textId="77777777" w:rsidTr="00F3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" w:type="dxa"/>
          </w:tcPr>
          <w:p w14:paraId="77A62F37" w14:textId="77777777" w:rsidR="00CE25FD" w:rsidRDefault="00CE25FD" w:rsidP="0045379F">
            <w:pPr>
              <w:jc w:val="center"/>
            </w:pPr>
            <w:r>
              <w:t>ID</w:t>
            </w:r>
          </w:p>
        </w:tc>
        <w:tc>
          <w:tcPr>
            <w:tcW w:w="2847" w:type="dxa"/>
          </w:tcPr>
          <w:p w14:paraId="3D6E3768" w14:textId="77777777" w:rsidR="00CE25FD" w:rsidRDefault="00CE25FD" w:rsidP="004537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Pojem/skratka</w:t>
            </w:r>
          </w:p>
        </w:tc>
        <w:tc>
          <w:tcPr>
            <w:tcW w:w="7058" w:type="dxa"/>
            <w:gridSpan w:val="2"/>
          </w:tcPr>
          <w:p w14:paraId="4850764F" w14:textId="77777777" w:rsidR="00CE25FD" w:rsidRDefault="00CE25FD" w:rsidP="004537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Vysvetlenie</w:t>
            </w:r>
          </w:p>
        </w:tc>
      </w:tr>
      <w:tr w:rsidR="00CE25FD" w14:paraId="537E339C" w14:textId="77777777" w:rsidTr="00F3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14:paraId="56392DA8" w14:textId="77777777" w:rsidR="0045379F" w:rsidRDefault="0045379F" w:rsidP="00CE25FD">
            <w:r>
              <w:t>1</w:t>
            </w:r>
          </w:p>
        </w:tc>
        <w:tc>
          <w:tcPr>
            <w:tcW w:w="2847" w:type="dxa"/>
          </w:tcPr>
          <w:p w14:paraId="6A996856" w14:textId="77777777" w:rsidR="00CE25FD" w:rsidRDefault="0045379F" w:rsidP="004537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NASES</w:t>
            </w:r>
          </w:p>
        </w:tc>
        <w:tc>
          <w:tcPr>
            <w:tcW w:w="7058" w:type="dxa"/>
            <w:gridSpan w:val="2"/>
          </w:tcPr>
          <w:p w14:paraId="1A449113" w14:textId="77777777" w:rsidR="00CE25FD" w:rsidRDefault="0045379F" w:rsidP="004537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Národná agentúra pre sieťové a elektronické služby</w:t>
            </w:r>
          </w:p>
        </w:tc>
      </w:tr>
      <w:tr w:rsidR="0045379F" w14:paraId="09B6667B" w14:textId="77777777" w:rsidTr="00F3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14:paraId="2B8EB9DF" w14:textId="77777777" w:rsidR="0045379F" w:rsidRDefault="0045379F" w:rsidP="0045379F">
            <w:r>
              <w:t>2</w:t>
            </w:r>
          </w:p>
        </w:tc>
        <w:tc>
          <w:tcPr>
            <w:tcW w:w="3014" w:type="dxa"/>
            <w:gridSpan w:val="2"/>
          </w:tcPr>
          <w:p w14:paraId="1D7D5D75" w14:textId="77777777" w:rsidR="0045379F" w:rsidRDefault="0045379F" w:rsidP="004537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UPVS</w:t>
            </w:r>
          </w:p>
        </w:tc>
        <w:tc>
          <w:tcPr>
            <w:tcW w:w="6891" w:type="dxa"/>
          </w:tcPr>
          <w:p w14:paraId="6D7702E1" w14:textId="77777777" w:rsidR="0045379F" w:rsidRDefault="0045379F" w:rsidP="0045379F">
            <w:pPr>
              <w:ind w:left="-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Ústredný portál verejnej správy</w:t>
            </w:r>
          </w:p>
        </w:tc>
      </w:tr>
      <w:tr w:rsidR="0045379F" w14:paraId="41E4FF0B" w14:textId="77777777" w:rsidTr="00F3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14:paraId="35863029" w14:textId="77777777" w:rsidR="0045379F" w:rsidRDefault="0045379F" w:rsidP="0045379F">
            <w:r>
              <w:t>3</w:t>
            </w:r>
          </w:p>
        </w:tc>
        <w:tc>
          <w:tcPr>
            <w:tcW w:w="2847" w:type="dxa"/>
          </w:tcPr>
          <w:p w14:paraId="77F26690" w14:textId="77777777" w:rsidR="0045379F" w:rsidRDefault="0045379F" w:rsidP="004537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Štúdia</w:t>
            </w:r>
          </w:p>
        </w:tc>
        <w:tc>
          <w:tcPr>
            <w:tcW w:w="7058" w:type="dxa"/>
            <w:gridSpan w:val="2"/>
          </w:tcPr>
          <w:p w14:paraId="2955A211" w14:textId="77777777" w:rsidR="0045379F" w:rsidRDefault="0045379F" w:rsidP="004537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</w:t>
            </w:r>
            <w:r w:rsidRPr="0045379F">
              <w:t>túdia s názvom „The Total Economic Impact™ Of Microsoft Cloud App Security“</w:t>
            </w:r>
            <w:r w:rsidR="00EF1842">
              <w:t xml:space="preserve"> publikovaná medzinárodnou </w:t>
            </w:r>
            <w:r>
              <w:t xml:space="preserve"> </w:t>
            </w:r>
            <w:r w:rsidR="00EF1842">
              <w:t>konzultačno-poradenskou spoločnosťou</w:t>
            </w:r>
            <w:r w:rsidRPr="0045379F">
              <w:t xml:space="preserve"> Forrester</w:t>
            </w:r>
            <w:r>
              <w:t>.</w:t>
            </w:r>
          </w:p>
          <w:p w14:paraId="5537347A" w14:textId="77777777" w:rsidR="0045379F" w:rsidRDefault="0045379F" w:rsidP="004537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45379F">
              <w:t>https://tools.totaleconomicimpact.com/go/microsoft/CloudAppSecurity/</w:t>
            </w:r>
            <w:r>
              <w:t>)</w:t>
            </w:r>
          </w:p>
        </w:tc>
      </w:tr>
      <w:tr w:rsidR="0045379F" w14:paraId="4DB8E91E" w14:textId="77777777" w:rsidTr="00F3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14:paraId="091910DB" w14:textId="77777777" w:rsidR="0045379F" w:rsidRDefault="0045379F" w:rsidP="0045379F">
            <w:r>
              <w:t>4</w:t>
            </w:r>
          </w:p>
        </w:tc>
        <w:tc>
          <w:tcPr>
            <w:tcW w:w="2847" w:type="dxa"/>
          </w:tcPr>
          <w:p w14:paraId="21A85C74" w14:textId="77777777" w:rsidR="0045379F" w:rsidRPr="00910FCD" w:rsidRDefault="0045379F" w:rsidP="0045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FCD">
              <w:t>Inappsecurity/ Microsoft Cloud App Security</w:t>
            </w:r>
          </w:p>
        </w:tc>
        <w:tc>
          <w:tcPr>
            <w:tcW w:w="7058" w:type="dxa"/>
            <w:gridSpan w:val="2"/>
          </w:tcPr>
          <w:p w14:paraId="52EF9F23" w14:textId="77777777" w:rsidR="0045379F" w:rsidRPr="00910FCD" w:rsidRDefault="00F36773" w:rsidP="00F367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FCD">
              <w:t>Aplikačné riešenie</w:t>
            </w:r>
            <w:r w:rsidR="0045379F" w:rsidRPr="00910FCD">
              <w:t xml:space="preserve"> pre detekciu hrozieb na strane klienta a sieťovej infraštruktúry nachádzajúcej sa mimo organizácie. Toto riešenie je navrhované v rámci realizácie NP: Detekcia zraniteľnosti koncových obslužných bodov. Pričom Microsoft Cloud App Security je cloudové riešenie.</w:t>
            </w:r>
          </w:p>
        </w:tc>
      </w:tr>
      <w:tr w:rsidR="0045379F" w14:paraId="2D0DF56B" w14:textId="77777777" w:rsidTr="00F3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14:paraId="49D3F0D9" w14:textId="77777777" w:rsidR="0045379F" w:rsidRDefault="0045379F" w:rsidP="0045379F">
            <w:r>
              <w:t>5</w:t>
            </w:r>
          </w:p>
        </w:tc>
        <w:tc>
          <w:tcPr>
            <w:tcW w:w="2847" w:type="dxa"/>
          </w:tcPr>
          <w:p w14:paraId="62CBA393" w14:textId="77777777" w:rsidR="0045379F" w:rsidRDefault="00F36773" w:rsidP="00453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NP: </w:t>
            </w:r>
            <w:r w:rsidRPr="00F36773">
              <w:t>Detekcia zraniteľnosti koncových obslužných bodov</w:t>
            </w:r>
          </w:p>
        </w:tc>
        <w:tc>
          <w:tcPr>
            <w:tcW w:w="7058" w:type="dxa"/>
            <w:gridSpan w:val="2"/>
          </w:tcPr>
          <w:p w14:paraId="394F2A13" w14:textId="77777777" w:rsidR="0045379F" w:rsidRDefault="00F36773" w:rsidP="00453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Pripravovaný národný projekt v gescii Národnej agentúry pre sieťové a elektronické služby</w:t>
            </w:r>
          </w:p>
        </w:tc>
      </w:tr>
      <w:tr w:rsidR="0045379F" w14:paraId="08992224" w14:textId="77777777" w:rsidTr="00F3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14:paraId="0B8CCD89" w14:textId="77777777" w:rsidR="0045379F" w:rsidRDefault="0045379F" w:rsidP="0045379F">
            <w:r>
              <w:t>6</w:t>
            </w:r>
          </w:p>
        </w:tc>
        <w:tc>
          <w:tcPr>
            <w:tcW w:w="2847" w:type="dxa"/>
          </w:tcPr>
          <w:p w14:paraId="33B5B512" w14:textId="77777777" w:rsidR="0045379F" w:rsidRDefault="00F36773" w:rsidP="00453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CBA/</w:t>
            </w:r>
            <w:r w:rsidRPr="00F36773">
              <w:t xml:space="preserve"> Cost Benefits Analysis</w:t>
            </w:r>
          </w:p>
        </w:tc>
        <w:tc>
          <w:tcPr>
            <w:tcW w:w="7058" w:type="dxa"/>
            <w:gridSpan w:val="2"/>
          </w:tcPr>
          <w:p w14:paraId="5CF04522" w14:textId="77777777" w:rsidR="0045379F" w:rsidRDefault="00F36773" w:rsidP="00F3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Dokument vypracovávaný na základe Metodického</w:t>
            </w:r>
            <w:r w:rsidRPr="00F36773">
              <w:t xml:space="preserve"> pokyn</w:t>
            </w:r>
            <w:r>
              <w:t>u</w:t>
            </w:r>
            <w:r w:rsidRPr="00F36773">
              <w:t xml:space="preserve"> k spracovaniu biznis case a cost benefit analýzy informačných technológií verejnej správy</w:t>
            </w:r>
            <w:r>
              <w:t xml:space="preserve"> </w:t>
            </w:r>
          </w:p>
        </w:tc>
      </w:tr>
    </w:tbl>
    <w:p w14:paraId="75BF6B0F" w14:textId="77777777" w:rsidR="00CE25FD" w:rsidRPr="00CE25FD" w:rsidRDefault="00CE25FD" w:rsidP="00CE25FD"/>
    <w:p w14:paraId="4B7B1031" w14:textId="77777777" w:rsidR="00CE25FD" w:rsidRDefault="00CE25FD" w:rsidP="00F772DF"/>
    <w:p w14:paraId="4B28F773" w14:textId="77777777" w:rsidR="00CE25FD" w:rsidRDefault="00CE25FD" w:rsidP="00F772DF"/>
    <w:p w14:paraId="7DA9D3D6" w14:textId="77777777" w:rsidR="00CE25FD" w:rsidRDefault="00CE25FD" w:rsidP="00F772DF"/>
    <w:p w14:paraId="7730A982" w14:textId="77777777" w:rsidR="00CE25FD" w:rsidRDefault="00CE25FD" w:rsidP="00F772DF"/>
    <w:p w14:paraId="20E3C84E" w14:textId="77777777" w:rsidR="00CE25FD" w:rsidRDefault="00CE25FD" w:rsidP="00F772DF"/>
    <w:p w14:paraId="5D881759" w14:textId="77777777" w:rsidR="00CE25FD" w:rsidRDefault="00CE25FD" w:rsidP="00F772DF"/>
    <w:p w14:paraId="48F4A851" w14:textId="77777777" w:rsidR="00CE25FD" w:rsidRDefault="00CE25FD" w:rsidP="00F772DF"/>
    <w:p w14:paraId="6CEA1659" w14:textId="77777777" w:rsidR="00CE25FD" w:rsidRDefault="00CE25FD" w:rsidP="00F772DF"/>
    <w:p w14:paraId="6B6835E3" w14:textId="77777777" w:rsidR="00CE25FD" w:rsidRDefault="00CE25FD" w:rsidP="00F772DF"/>
    <w:p w14:paraId="17E8327D" w14:textId="77777777" w:rsidR="00CE25FD" w:rsidRDefault="00CE25FD" w:rsidP="00F772DF"/>
    <w:p w14:paraId="41E5A3FA" w14:textId="77777777" w:rsidR="00CE25FD" w:rsidRDefault="00CE25FD" w:rsidP="00F772DF"/>
    <w:p w14:paraId="21D07B00" w14:textId="77777777" w:rsidR="00CE25FD" w:rsidRDefault="00CE25FD" w:rsidP="00F772DF"/>
    <w:p w14:paraId="560B65EC" w14:textId="77777777" w:rsidR="00CE25FD" w:rsidRDefault="00CE25FD" w:rsidP="00F772DF"/>
    <w:p w14:paraId="0E51EE0C" w14:textId="77777777" w:rsidR="00CE25FD" w:rsidRDefault="00CE25FD" w:rsidP="00F772DF"/>
    <w:p w14:paraId="7825F7A1" w14:textId="77777777" w:rsidR="00CE25FD" w:rsidRDefault="00CE25FD" w:rsidP="00F772DF"/>
    <w:p w14:paraId="6399E14F" w14:textId="77777777" w:rsidR="00F772DF" w:rsidRDefault="00F772DF" w:rsidP="00F772DF">
      <w:pPr>
        <w:pStyle w:val="Nadpis1"/>
      </w:pPr>
      <w:bookmarkStart w:id="2" w:name="_Toc77856818"/>
      <w:r>
        <w:t>Účel dokumentu</w:t>
      </w:r>
      <w:bookmarkEnd w:id="2"/>
    </w:p>
    <w:p w14:paraId="21657D6D" w14:textId="77777777" w:rsidR="00F772DF" w:rsidRDefault="00F772DF" w:rsidP="00E75C70">
      <w:pPr>
        <w:jc w:val="both"/>
      </w:pPr>
    </w:p>
    <w:p w14:paraId="4D897D63" w14:textId="77777777" w:rsidR="00F772DF" w:rsidRDefault="00F772DF" w:rsidP="00E75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súlade s </w:t>
      </w:r>
      <w:r w:rsidRPr="002C074B">
        <w:rPr>
          <w:rFonts w:ascii="Arial" w:hAnsi="Arial" w:cs="Arial"/>
          <w:i/>
        </w:rPr>
        <w:t xml:space="preserve">Vyhláškou č. 85/2020 Úradu podpredsedu vlády Slovenskej republiky pre investície a informatizáciu o riadení projektov v znení neskorších predpisov </w:t>
      </w:r>
      <w:r>
        <w:rPr>
          <w:rFonts w:ascii="Arial" w:hAnsi="Arial" w:cs="Arial"/>
        </w:rPr>
        <w:t>je v rámci prípravy národného projektu potrebné vypracovanie Projektového zámeru a súvisiacich príloh a dokumentov. Medzi tieto dokumenty patrí aj vypracovanie dokumentu pre</w:t>
      </w:r>
      <w:r w:rsidRPr="00F772DF">
        <w:t xml:space="preserve"> </w:t>
      </w:r>
      <w:r w:rsidRPr="00F772DF">
        <w:rPr>
          <w:rFonts w:ascii="Arial" w:hAnsi="Arial" w:cs="Arial"/>
        </w:rPr>
        <w:t>prípravu a hodnotenie základných parametrov a postupov finančnej analýzy projektu v oblasti IT a analýzy jeho nákladov a prínosov</w:t>
      </w:r>
      <w:r>
        <w:rPr>
          <w:rFonts w:ascii="Arial" w:hAnsi="Arial" w:cs="Arial"/>
        </w:rPr>
        <w:t xml:space="preserve"> tzv. CBA (Cost Benefits Analysis).</w:t>
      </w:r>
    </w:p>
    <w:p w14:paraId="2E9C210C" w14:textId="77777777" w:rsidR="00E75C70" w:rsidRDefault="00F772DF" w:rsidP="00E75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Cieľom tohto dokumentu</w:t>
      </w:r>
      <w:r w:rsidR="00D602AD">
        <w:rPr>
          <w:rFonts w:ascii="Arial" w:hAnsi="Arial" w:cs="Arial"/>
        </w:rPr>
        <w:t xml:space="preserve"> </w:t>
      </w:r>
      <w:r w:rsidR="00E75C70">
        <w:rPr>
          <w:rFonts w:ascii="Arial" w:hAnsi="Arial" w:cs="Arial"/>
        </w:rPr>
        <w:t xml:space="preserve">je poukázať na finančné vyčíslenie benefitov, ktoré prinesie realizácia NP </w:t>
      </w:r>
      <w:r w:rsidR="00E75C70" w:rsidRPr="00E75C70">
        <w:rPr>
          <w:rFonts w:ascii="Arial" w:hAnsi="Arial" w:cs="Arial"/>
        </w:rPr>
        <w:t>Detekcia zraniteľnosti koncových obslužných bodov</w:t>
      </w:r>
      <w:r w:rsidR="002C074B">
        <w:rPr>
          <w:rFonts w:ascii="Arial" w:hAnsi="Arial" w:cs="Arial"/>
        </w:rPr>
        <w:t xml:space="preserve"> a j</w:t>
      </w:r>
      <w:r w:rsidR="00E75C70">
        <w:rPr>
          <w:rFonts w:ascii="Arial" w:hAnsi="Arial" w:cs="Arial"/>
        </w:rPr>
        <w:t>edná sa o podporný dokument k dokumentu CBA.</w:t>
      </w:r>
    </w:p>
    <w:p w14:paraId="36AC9A48" w14:textId="77777777" w:rsidR="004944CC" w:rsidRDefault="004944CC" w:rsidP="00E75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Potreba vypracovania dokumentu vyplýva z </w:t>
      </w:r>
      <w:r w:rsidRPr="004944CC">
        <w:rPr>
          <w:rFonts w:ascii="Arial" w:hAnsi="Arial" w:cs="Arial"/>
        </w:rPr>
        <w:t>nutnosti získania nenávratného finančného príspevku pre realizáciu projektu a ubezpečenie poskytovateľa, že projekt bude po ukončení financovania z prostriedkov štátneho rozpočtu alebo nenávratného finančného príspevku finančne udržateľný</w:t>
      </w:r>
      <w:r w:rsidR="002C074B">
        <w:rPr>
          <w:rFonts w:ascii="Arial" w:hAnsi="Arial" w:cs="Arial"/>
        </w:rPr>
        <w:t>.</w:t>
      </w:r>
    </w:p>
    <w:p w14:paraId="16A79C98" w14:textId="77777777" w:rsidR="00E75C70" w:rsidRPr="00E75C70" w:rsidRDefault="00E75C70" w:rsidP="00E75C70">
      <w:pPr>
        <w:rPr>
          <w:rFonts w:ascii="Arial" w:hAnsi="Arial" w:cs="Arial"/>
        </w:rPr>
      </w:pPr>
    </w:p>
    <w:p w14:paraId="372F1DEE" w14:textId="77777777" w:rsidR="00E75C70" w:rsidRPr="00E75C70" w:rsidRDefault="00E75C70" w:rsidP="00E75C70">
      <w:pPr>
        <w:rPr>
          <w:rFonts w:ascii="Arial" w:hAnsi="Arial" w:cs="Arial"/>
        </w:rPr>
      </w:pPr>
    </w:p>
    <w:p w14:paraId="259BFB78" w14:textId="77777777" w:rsidR="00E75C70" w:rsidRPr="00E75C70" w:rsidRDefault="00E75C70" w:rsidP="00E75C70">
      <w:pPr>
        <w:rPr>
          <w:rFonts w:ascii="Arial" w:hAnsi="Arial" w:cs="Arial"/>
        </w:rPr>
      </w:pPr>
    </w:p>
    <w:p w14:paraId="6C0AF36C" w14:textId="77777777" w:rsidR="00E75C70" w:rsidRPr="00E75C70" w:rsidRDefault="00E75C70" w:rsidP="00E75C70">
      <w:pPr>
        <w:rPr>
          <w:rFonts w:ascii="Arial" w:hAnsi="Arial" w:cs="Arial"/>
        </w:rPr>
      </w:pPr>
    </w:p>
    <w:p w14:paraId="7B29655A" w14:textId="77777777" w:rsidR="00E75C70" w:rsidRPr="00E75C70" w:rsidRDefault="00E75C70" w:rsidP="00E75C70">
      <w:pPr>
        <w:rPr>
          <w:rFonts w:ascii="Arial" w:hAnsi="Arial" w:cs="Arial"/>
        </w:rPr>
      </w:pPr>
    </w:p>
    <w:p w14:paraId="7E2215EB" w14:textId="77777777" w:rsidR="00E75C70" w:rsidRPr="00E75C70" w:rsidRDefault="00E75C70" w:rsidP="00E75C70">
      <w:pPr>
        <w:rPr>
          <w:rFonts w:ascii="Arial" w:hAnsi="Arial" w:cs="Arial"/>
        </w:rPr>
      </w:pPr>
    </w:p>
    <w:p w14:paraId="7CAFCBAF" w14:textId="77777777" w:rsidR="00E75C70" w:rsidRPr="00E75C70" w:rsidRDefault="00E75C70" w:rsidP="00E75C70">
      <w:pPr>
        <w:rPr>
          <w:rFonts w:ascii="Arial" w:hAnsi="Arial" w:cs="Arial"/>
        </w:rPr>
      </w:pPr>
    </w:p>
    <w:p w14:paraId="7F25E764" w14:textId="77777777" w:rsidR="00E75C70" w:rsidRPr="00E75C70" w:rsidRDefault="00E75C70" w:rsidP="00E75C70">
      <w:pPr>
        <w:rPr>
          <w:rFonts w:ascii="Arial" w:hAnsi="Arial" w:cs="Arial"/>
        </w:rPr>
      </w:pPr>
    </w:p>
    <w:p w14:paraId="6C2ADA0A" w14:textId="77777777" w:rsidR="00E75C70" w:rsidRDefault="00E75C70" w:rsidP="00E75C70">
      <w:pPr>
        <w:rPr>
          <w:rFonts w:ascii="Arial" w:hAnsi="Arial" w:cs="Arial"/>
        </w:rPr>
      </w:pPr>
    </w:p>
    <w:p w14:paraId="42FBB56F" w14:textId="77777777" w:rsidR="0045379F" w:rsidRDefault="0045379F" w:rsidP="00E75C70">
      <w:pPr>
        <w:rPr>
          <w:rFonts w:ascii="Arial" w:hAnsi="Arial" w:cs="Arial"/>
        </w:rPr>
      </w:pPr>
    </w:p>
    <w:p w14:paraId="4D6C2A48" w14:textId="77777777" w:rsidR="0045379F" w:rsidRDefault="0045379F" w:rsidP="00E75C70">
      <w:pPr>
        <w:rPr>
          <w:rFonts w:ascii="Arial" w:hAnsi="Arial" w:cs="Arial"/>
        </w:rPr>
      </w:pPr>
    </w:p>
    <w:p w14:paraId="499EE685" w14:textId="77777777" w:rsidR="0045379F" w:rsidRDefault="0045379F" w:rsidP="00E75C70">
      <w:pPr>
        <w:rPr>
          <w:rFonts w:ascii="Arial" w:hAnsi="Arial" w:cs="Arial"/>
        </w:rPr>
      </w:pPr>
    </w:p>
    <w:p w14:paraId="6FFE5867" w14:textId="77777777" w:rsidR="0045379F" w:rsidRDefault="0045379F" w:rsidP="00E75C70">
      <w:pPr>
        <w:rPr>
          <w:rFonts w:ascii="Arial" w:hAnsi="Arial" w:cs="Arial"/>
        </w:rPr>
      </w:pPr>
    </w:p>
    <w:p w14:paraId="0B924A54" w14:textId="77777777" w:rsidR="0045379F" w:rsidRDefault="0045379F" w:rsidP="00E75C70">
      <w:pPr>
        <w:rPr>
          <w:rFonts w:ascii="Arial" w:hAnsi="Arial" w:cs="Arial"/>
        </w:rPr>
      </w:pPr>
    </w:p>
    <w:p w14:paraId="063A2301" w14:textId="77777777" w:rsidR="0045379F" w:rsidRDefault="0045379F" w:rsidP="00E75C70">
      <w:pPr>
        <w:rPr>
          <w:rFonts w:ascii="Arial" w:hAnsi="Arial" w:cs="Arial"/>
        </w:rPr>
      </w:pPr>
    </w:p>
    <w:p w14:paraId="7F5D9076" w14:textId="77777777" w:rsidR="0045379F" w:rsidRPr="00E75C70" w:rsidRDefault="0045379F" w:rsidP="00E75C70">
      <w:pPr>
        <w:rPr>
          <w:rFonts w:ascii="Arial" w:hAnsi="Arial" w:cs="Arial"/>
        </w:rPr>
      </w:pPr>
    </w:p>
    <w:p w14:paraId="437BFA6D" w14:textId="77777777" w:rsidR="00E75C70" w:rsidRDefault="00E75C70" w:rsidP="00E75C70">
      <w:pPr>
        <w:rPr>
          <w:rFonts w:ascii="Arial" w:hAnsi="Arial" w:cs="Arial"/>
        </w:rPr>
      </w:pPr>
    </w:p>
    <w:p w14:paraId="0642EF4F" w14:textId="77777777" w:rsidR="00E75C70" w:rsidRDefault="00E75C70" w:rsidP="004944CC">
      <w:pPr>
        <w:pStyle w:val="Nadpis1"/>
      </w:pPr>
      <w:bookmarkStart w:id="3" w:name="_Toc77856819"/>
      <w:r>
        <w:lastRenderedPageBreak/>
        <w:t>Východiská</w:t>
      </w:r>
      <w:bookmarkEnd w:id="3"/>
    </w:p>
    <w:p w14:paraId="50E356A8" w14:textId="77777777" w:rsidR="004944CC" w:rsidRPr="004944CC" w:rsidRDefault="004944CC" w:rsidP="004944CC"/>
    <w:p w14:paraId="3C804445" w14:textId="77777777" w:rsidR="00E75C70" w:rsidRDefault="004944CC" w:rsidP="007B1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Jedným z hlavných východísk</w:t>
      </w:r>
      <w:r w:rsidR="007B1158">
        <w:rPr>
          <w:rFonts w:ascii="Arial" w:hAnsi="Arial" w:cs="Arial"/>
        </w:rPr>
        <w:t xml:space="preserve"> tohto dokumentu</w:t>
      </w:r>
      <w:r>
        <w:rPr>
          <w:rFonts w:ascii="Arial" w:hAnsi="Arial" w:cs="Arial"/>
        </w:rPr>
        <w:t xml:space="preserve"> je samotná plánovaná realizácia </w:t>
      </w:r>
      <w:r w:rsidRPr="004944CC">
        <w:rPr>
          <w:rFonts w:ascii="Arial" w:hAnsi="Arial" w:cs="Arial"/>
        </w:rPr>
        <w:t>NP: Detekcia zraniteľnosti koncových obslužných bodov</w:t>
      </w:r>
      <w:r>
        <w:rPr>
          <w:rFonts w:ascii="Arial" w:hAnsi="Arial" w:cs="Arial"/>
        </w:rPr>
        <w:t>, ktorého cieľom je</w:t>
      </w:r>
      <w:r w:rsidR="007B1158">
        <w:rPr>
          <w:rFonts w:ascii="Arial" w:hAnsi="Arial" w:cs="Arial"/>
        </w:rPr>
        <w:t xml:space="preserve"> vybudovanie riešenia</w:t>
      </w:r>
      <w:r w:rsidR="007B1158" w:rsidRPr="007B1158">
        <w:t xml:space="preserve"> </w:t>
      </w:r>
      <w:r w:rsidR="007B1158" w:rsidRPr="007B1158">
        <w:rPr>
          <w:rFonts w:ascii="Arial" w:hAnsi="Arial" w:cs="Arial"/>
        </w:rPr>
        <w:t>pre detekciu hrozieb na strane klienta a</w:t>
      </w:r>
      <w:r w:rsidR="007B1158">
        <w:rPr>
          <w:rFonts w:ascii="Arial" w:hAnsi="Arial" w:cs="Arial"/>
        </w:rPr>
        <w:t xml:space="preserve"> sieťovej </w:t>
      </w:r>
      <w:r w:rsidR="007B1158" w:rsidRPr="007B1158">
        <w:rPr>
          <w:rFonts w:ascii="Arial" w:hAnsi="Arial" w:cs="Arial"/>
        </w:rPr>
        <w:t xml:space="preserve">infraštruktúry </w:t>
      </w:r>
      <w:r w:rsidR="007B1158">
        <w:rPr>
          <w:rFonts w:ascii="Arial" w:hAnsi="Arial" w:cs="Arial"/>
        </w:rPr>
        <w:t xml:space="preserve">mimo prevádzkovateľa ÚPVS/ </w:t>
      </w:r>
      <w:r w:rsidR="007B1158" w:rsidRPr="007B1158">
        <w:rPr>
          <w:rFonts w:ascii="Arial" w:hAnsi="Arial" w:cs="Arial"/>
        </w:rPr>
        <w:t>NASES</w:t>
      </w:r>
      <w:r w:rsidR="007B1158">
        <w:rPr>
          <w:rFonts w:ascii="Arial" w:hAnsi="Arial" w:cs="Arial"/>
        </w:rPr>
        <w:t>.</w:t>
      </w:r>
    </w:p>
    <w:p w14:paraId="1FC7F1B8" w14:textId="4387696F" w:rsidR="007B1158" w:rsidRDefault="007B1158" w:rsidP="007B1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Ďalším východiskom</w:t>
      </w:r>
      <w:r w:rsidR="00E243B0">
        <w:rPr>
          <w:rFonts w:ascii="Arial" w:hAnsi="Arial" w:cs="Arial"/>
        </w:rPr>
        <w:t xml:space="preserve"> pre túto analýzu benefitov</w:t>
      </w:r>
      <w:r>
        <w:rPr>
          <w:rFonts w:ascii="Arial" w:hAnsi="Arial" w:cs="Arial"/>
        </w:rPr>
        <w:t xml:space="preserve"> je publikovaná štúdia</w:t>
      </w:r>
      <w:r w:rsidR="006A6B80">
        <w:rPr>
          <w:rFonts w:ascii="Arial" w:hAnsi="Arial" w:cs="Arial"/>
        </w:rPr>
        <w:t xml:space="preserve"> s názvom </w:t>
      </w:r>
      <w:r w:rsidR="006A6B80" w:rsidRPr="006A6B80">
        <w:rPr>
          <w:rFonts w:ascii="Arial" w:hAnsi="Arial" w:cs="Arial"/>
          <w:i/>
        </w:rPr>
        <w:t>„The Total Economic Impact™ Of Microsoft Cloud App Security“</w:t>
      </w:r>
      <w:r>
        <w:rPr>
          <w:rFonts w:ascii="Arial" w:hAnsi="Arial" w:cs="Arial"/>
        </w:rPr>
        <w:t xml:space="preserve"> od medzinárodnej konzultačno-poradenskej spoločnosti Forrester</w:t>
      </w:r>
      <w:r w:rsidR="006A6B80">
        <w:rPr>
          <w:rStyle w:val="Odkaznapoznmkupodi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Predmetná štúdia pojednáva o celkovom ekonomickom dopade na používanie </w:t>
      </w:r>
      <w:r w:rsidR="006A6B80">
        <w:rPr>
          <w:rFonts w:ascii="Arial" w:hAnsi="Arial" w:cs="Arial"/>
        </w:rPr>
        <w:t xml:space="preserve">riešenia Microsoft Cloud AppSecurity, ktoré pomáha organizáciám  po celom svete chrániť ich aplikácie proti rôznym druhom „cyber“ útokov prostredníctvom obdobného riešenia, ktoré plánuje NASES realizovať </w:t>
      </w:r>
      <w:r w:rsidR="00FD297A">
        <w:rPr>
          <w:rFonts w:ascii="Arial" w:hAnsi="Arial" w:cs="Arial"/>
        </w:rPr>
        <w:t xml:space="preserve">prostredníctvom </w:t>
      </w:r>
      <w:r w:rsidR="006A6B80">
        <w:rPr>
          <w:rFonts w:ascii="Arial" w:hAnsi="Arial" w:cs="Arial"/>
        </w:rPr>
        <w:t xml:space="preserve">NP </w:t>
      </w:r>
      <w:r w:rsidR="006A6B80" w:rsidRPr="006A6B80">
        <w:rPr>
          <w:rFonts w:ascii="Arial" w:hAnsi="Arial" w:cs="Arial"/>
        </w:rPr>
        <w:t>Detekcia zraniteľnosti koncových obslužných bodov</w:t>
      </w:r>
      <w:r w:rsidR="00797FD8">
        <w:rPr>
          <w:rFonts w:ascii="Arial" w:hAnsi="Arial" w:cs="Arial"/>
        </w:rPr>
        <w:t>. V rámci realizácie predmetnej štúdie boli oslovené štyri organizácie, ktoré implementovali a</w:t>
      </w:r>
      <w:r w:rsidR="002C074B">
        <w:rPr>
          <w:rFonts w:ascii="Arial" w:hAnsi="Arial" w:cs="Arial"/>
        </w:rPr>
        <w:t> </w:t>
      </w:r>
      <w:r w:rsidR="00797FD8">
        <w:rPr>
          <w:rFonts w:ascii="Arial" w:hAnsi="Arial" w:cs="Arial"/>
        </w:rPr>
        <w:t>používajú</w:t>
      </w:r>
      <w:r w:rsidR="002C074B">
        <w:rPr>
          <w:rFonts w:ascii="Arial" w:hAnsi="Arial" w:cs="Arial"/>
        </w:rPr>
        <w:t xml:space="preserve"> Microsoft Cloud AppSecurity/</w:t>
      </w:r>
      <w:r w:rsidR="00797FD8">
        <w:rPr>
          <w:rFonts w:ascii="Arial" w:hAnsi="Arial" w:cs="Arial"/>
        </w:rPr>
        <w:t xml:space="preserve"> </w:t>
      </w:r>
      <w:r w:rsidR="00FD297A">
        <w:rPr>
          <w:rFonts w:ascii="Arial" w:hAnsi="Arial" w:cs="Arial"/>
        </w:rPr>
        <w:t>„</w:t>
      </w:r>
      <w:r w:rsidR="00797FD8">
        <w:rPr>
          <w:rFonts w:ascii="Arial" w:hAnsi="Arial" w:cs="Arial"/>
        </w:rPr>
        <w:t>inappsecurity</w:t>
      </w:r>
      <w:r w:rsidR="00FD297A">
        <w:rPr>
          <w:rFonts w:ascii="Arial" w:hAnsi="Arial" w:cs="Arial"/>
        </w:rPr>
        <w:t>“</w:t>
      </w:r>
      <w:r w:rsidR="00797FD8">
        <w:rPr>
          <w:rFonts w:ascii="Arial" w:hAnsi="Arial" w:cs="Arial"/>
        </w:rPr>
        <w:t xml:space="preserve"> riešenia, z rôznych oblastí priemyslu</w:t>
      </w:r>
      <w:r w:rsidR="002C074B">
        <w:rPr>
          <w:rFonts w:ascii="Arial" w:hAnsi="Arial" w:cs="Arial"/>
        </w:rPr>
        <w:t>.</w:t>
      </w:r>
      <w:r w:rsidR="00627B63">
        <w:rPr>
          <w:rFonts w:ascii="Arial" w:hAnsi="Arial" w:cs="Arial"/>
        </w:rPr>
        <w:t xml:space="preserve"> </w:t>
      </w:r>
      <w:r w:rsidR="002C074B">
        <w:rPr>
          <w:rFonts w:ascii="Arial" w:hAnsi="Arial" w:cs="Arial"/>
        </w:rPr>
        <w:t>F</w:t>
      </w:r>
      <w:r w:rsidR="00797FD8">
        <w:rPr>
          <w:rFonts w:ascii="Arial" w:hAnsi="Arial" w:cs="Arial"/>
        </w:rPr>
        <w:t xml:space="preserve">ormou vykonania „interview“ </w:t>
      </w:r>
      <w:r w:rsidR="002C074B">
        <w:rPr>
          <w:rFonts w:ascii="Arial" w:hAnsi="Arial" w:cs="Arial"/>
        </w:rPr>
        <w:t xml:space="preserve">a </w:t>
      </w:r>
      <w:r w:rsidR="00797FD8">
        <w:rPr>
          <w:rFonts w:ascii="Arial" w:hAnsi="Arial" w:cs="Arial"/>
        </w:rPr>
        <w:t>na základe ic</w:t>
      </w:r>
      <w:r w:rsidR="002C074B">
        <w:rPr>
          <w:rFonts w:ascii="Arial" w:hAnsi="Arial" w:cs="Arial"/>
        </w:rPr>
        <w:t>h odpovedí a skúsenosti autori štúdie</w:t>
      </w:r>
      <w:r w:rsidR="00797FD8">
        <w:rPr>
          <w:rFonts w:ascii="Arial" w:hAnsi="Arial" w:cs="Arial"/>
        </w:rPr>
        <w:t xml:space="preserve"> dospeli k nasledovným kľúčovým zisteniam:</w:t>
      </w:r>
    </w:p>
    <w:p w14:paraId="5490F3D6" w14:textId="77777777" w:rsidR="00797FD8" w:rsidRDefault="00E243B0" w:rsidP="00797FD8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Zníženie času a úsilia v rámci </w:t>
      </w:r>
      <w:r w:rsidR="002207C8">
        <w:rPr>
          <w:rFonts w:ascii="Arial" w:hAnsi="Arial" w:cs="Arial"/>
        </w:rPr>
        <w:t>monitoringu</w:t>
      </w:r>
      <w:r>
        <w:rPr>
          <w:rFonts w:ascii="Arial" w:hAnsi="Arial" w:cs="Arial"/>
        </w:rPr>
        <w:t xml:space="preserve"> bezpečnostných hrozieb a odstránenia bezpečnostného incidentu o 80%</w:t>
      </w:r>
    </w:p>
    <w:p w14:paraId="57E74A55" w14:textId="77777777" w:rsidR="00E243B0" w:rsidRDefault="00E243B0" w:rsidP="00797FD8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Automatická eliminácia až 75% všetkých potencionálnych bezpečnostných hrozieb </w:t>
      </w:r>
    </w:p>
    <w:p w14:paraId="5F1B86CE" w14:textId="77777777" w:rsidR="00E243B0" w:rsidRDefault="00E243B0" w:rsidP="00E243B0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Zníženie pravdepodobnosti úniku dát o 40%</w:t>
      </w:r>
    </w:p>
    <w:p w14:paraId="3E0F6434" w14:textId="77777777" w:rsidR="00E243B0" w:rsidRDefault="00E243B0" w:rsidP="00E243B0">
      <w:pPr>
        <w:jc w:val="both"/>
        <w:rPr>
          <w:rFonts w:ascii="Arial" w:hAnsi="Arial" w:cs="Arial"/>
        </w:rPr>
      </w:pPr>
    </w:p>
    <w:p w14:paraId="6F83F0C9" w14:textId="77777777" w:rsidR="00E243B0" w:rsidRDefault="00E243B0" w:rsidP="00E24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finančného výpočtu benefitov NP: </w:t>
      </w:r>
      <w:r w:rsidRPr="00E243B0">
        <w:rPr>
          <w:rFonts w:ascii="Arial" w:hAnsi="Arial" w:cs="Arial"/>
        </w:rPr>
        <w:t>Detekcia zraniteľnosti koncových obslužných bodov</w:t>
      </w:r>
      <w:r>
        <w:rPr>
          <w:rFonts w:ascii="Arial" w:hAnsi="Arial" w:cs="Arial"/>
        </w:rPr>
        <w:t xml:space="preserve"> vstupujú aj dáta/údaje ako mzdová</w:t>
      </w:r>
      <w:r w:rsidR="00C73EEE">
        <w:rPr>
          <w:rFonts w:ascii="Arial" w:hAnsi="Arial" w:cs="Arial"/>
        </w:rPr>
        <w:t xml:space="preserve"> politika zamestnávateľa NASES,</w:t>
      </w:r>
      <w:r>
        <w:rPr>
          <w:rFonts w:ascii="Arial" w:hAnsi="Arial" w:cs="Arial"/>
        </w:rPr>
        <w:t> štatistiky bezpečnostných incidentov ved</w:t>
      </w:r>
      <w:r w:rsidR="00C73EEE">
        <w:rPr>
          <w:rFonts w:ascii="Arial" w:hAnsi="Arial" w:cs="Arial"/>
        </w:rPr>
        <w:t>ených Sekciou bezpečnosti NASES a štatistiky týkajúce sa biznis transakcií a </w:t>
      </w:r>
      <w:r w:rsidR="002C074B">
        <w:rPr>
          <w:rFonts w:ascii="Arial" w:hAnsi="Arial" w:cs="Arial"/>
        </w:rPr>
        <w:t>poč</w:t>
      </w:r>
      <w:r w:rsidR="00C73EEE">
        <w:rPr>
          <w:rFonts w:ascii="Arial" w:hAnsi="Arial" w:cs="Arial"/>
        </w:rPr>
        <w:t>t</w:t>
      </w:r>
      <w:r w:rsidR="002C074B">
        <w:rPr>
          <w:rFonts w:ascii="Arial" w:hAnsi="Arial" w:cs="Arial"/>
        </w:rPr>
        <w:t>u</w:t>
      </w:r>
      <w:r w:rsidR="00C73EEE">
        <w:rPr>
          <w:rFonts w:ascii="Arial" w:hAnsi="Arial" w:cs="Arial"/>
        </w:rPr>
        <w:t xml:space="preserve"> </w:t>
      </w:r>
      <w:r w:rsidR="002C074B">
        <w:rPr>
          <w:rFonts w:ascii="Arial" w:hAnsi="Arial" w:cs="Arial"/>
        </w:rPr>
        <w:t>aktívnych el. schránok v rámci UPVS.</w:t>
      </w:r>
    </w:p>
    <w:p w14:paraId="33B93D51" w14:textId="77777777" w:rsidR="00FF13BC" w:rsidRDefault="00FF13BC" w:rsidP="00E243B0">
      <w:pPr>
        <w:jc w:val="both"/>
        <w:rPr>
          <w:rFonts w:ascii="Arial" w:hAnsi="Arial" w:cs="Arial"/>
        </w:rPr>
      </w:pPr>
    </w:p>
    <w:p w14:paraId="64720E49" w14:textId="77777777" w:rsidR="00FF13BC" w:rsidRDefault="00FF13BC" w:rsidP="00E24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základe vyššie uvedeného, analýzu benefitov </w:t>
      </w:r>
      <w:r w:rsidRPr="00FF13BC">
        <w:rPr>
          <w:rFonts w:ascii="Arial" w:hAnsi="Arial" w:cs="Arial"/>
        </w:rPr>
        <w:t>NP: Detekcia zraniteľnosti koncových obslužných bodov</w:t>
      </w:r>
      <w:r>
        <w:rPr>
          <w:rFonts w:ascii="Arial" w:hAnsi="Arial" w:cs="Arial"/>
        </w:rPr>
        <w:t xml:space="preserve"> budeme vyčíslovať na základe nasledovných kvantitatívnych ukazovateľov:</w:t>
      </w:r>
    </w:p>
    <w:p w14:paraId="069AF9C3" w14:textId="77777777" w:rsidR="00FF13BC" w:rsidRDefault="00FF13BC" w:rsidP="00FF13BC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Zníženie času a úsilia potrebného na vykonávanie proaktívneho monitorovania a vyhodnocovania bezpečnostných incidentov (Arg A1)</w:t>
      </w:r>
    </w:p>
    <w:p w14:paraId="026C6F42" w14:textId="77777777" w:rsidR="00FF13BC" w:rsidRDefault="00FF13BC" w:rsidP="00FF13BC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Zníženie času a úsilia na odstránenie vzniknutého bezpečnostného incidentu (Arg B2)</w:t>
      </w:r>
    </w:p>
    <w:p w14:paraId="14F4DA0C" w14:textId="77777777" w:rsidR="00FF13BC" w:rsidRPr="00FF13BC" w:rsidRDefault="00FF13BC" w:rsidP="00FF13BC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Zníženie pravdepodobnosti úniku dát (Arg C3)</w:t>
      </w:r>
    </w:p>
    <w:p w14:paraId="105DB224" w14:textId="77777777" w:rsidR="00E75C70" w:rsidRDefault="00E75C70" w:rsidP="005846FE">
      <w:pPr>
        <w:jc w:val="both"/>
      </w:pPr>
    </w:p>
    <w:p w14:paraId="7587C6E6" w14:textId="77777777" w:rsidR="00FF13BC" w:rsidRPr="005846FE" w:rsidRDefault="00172CDF" w:rsidP="0058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Referenčné obdobie tejto analýzy sú tri (3) roky.</w:t>
      </w:r>
      <w:r w:rsidR="005846FE">
        <w:rPr>
          <w:rFonts w:ascii="Arial" w:hAnsi="Arial" w:cs="Arial"/>
        </w:rPr>
        <w:t xml:space="preserve"> V rámci tejto analýzy počas obdobia troch rokov p</w:t>
      </w:r>
      <w:r w:rsidR="00600154" w:rsidRPr="005846FE">
        <w:rPr>
          <w:rFonts w:ascii="Arial" w:hAnsi="Arial" w:cs="Arial"/>
        </w:rPr>
        <w:t>oužívame</w:t>
      </w:r>
      <w:r w:rsidR="005846FE">
        <w:rPr>
          <w:rFonts w:ascii="Arial" w:hAnsi="Arial" w:cs="Arial"/>
        </w:rPr>
        <w:t xml:space="preserve"> v prepočtoch</w:t>
      </w:r>
      <w:r w:rsidR="00600154" w:rsidRPr="005846FE">
        <w:rPr>
          <w:rFonts w:ascii="Arial" w:hAnsi="Arial" w:cs="Arial"/>
        </w:rPr>
        <w:t xml:space="preserve"> </w:t>
      </w:r>
      <w:r w:rsidR="005846FE">
        <w:rPr>
          <w:rFonts w:ascii="Arial" w:hAnsi="Arial" w:cs="Arial"/>
        </w:rPr>
        <w:t>konštantné</w:t>
      </w:r>
      <w:r w:rsidR="00600154" w:rsidRPr="005846FE">
        <w:rPr>
          <w:rFonts w:ascii="Arial" w:hAnsi="Arial" w:cs="Arial"/>
        </w:rPr>
        <w:t xml:space="preserve"> údaj</w:t>
      </w:r>
      <w:r w:rsidR="005846FE">
        <w:rPr>
          <w:rFonts w:ascii="Arial" w:hAnsi="Arial" w:cs="Arial"/>
        </w:rPr>
        <w:t>e ako</w:t>
      </w:r>
      <w:r w:rsidR="00600154" w:rsidRPr="005846FE">
        <w:rPr>
          <w:rFonts w:ascii="Arial" w:hAnsi="Arial" w:cs="Arial"/>
        </w:rPr>
        <w:t xml:space="preserve"> 300 000 </w:t>
      </w:r>
      <w:r w:rsidR="005846FE">
        <w:rPr>
          <w:rFonts w:ascii="Arial" w:hAnsi="Arial" w:cs="Arial"/>
        </w:rPr>
        <w:t>„</w:t>
      </w:r>
      <w:r w:rsidR="00600154" w:rsidRPr="005846FE">
        <w:rPr>
          <w:rFonts w:ascii="Arial" w:hAnsi="Arial" w:cs="Arial"/>
        </w:rPr>
        <w:t>endpointov</w:t>
      </w:r>
      <w:r w:rsidR="005846FE">
        <w:rPr>
          <w:rFonts w:ascii="Arial" w:hAnsi="Arial" w:cs="Arial"/>
        </w:rPr>
        <w:t>“, konštantný p</w:t>
      </w:r>
      <w:r w:rsidR="005846FE" w:rsidRPr="005846FE">
        <w:rPr>
          <w:rFonts w:ascii="Arial" w:hAnsi="Arial" w:cs="Arial"/>
        </w:rPr>
        <w:t>očet hodín alokovaných na monitorovanie bezpečnosti a vyhodnocovania bezpečnostných rizík</w:t>
      </w:r>
      <w:r w:rsidR="005846FE">
        <w:rPr>
          <w:rFonts w:ascii="Arial" w:hAnsi="Arial" w:cs="Arial"/>
        </w:rPr>
        <w:t>, priemerný počet incidentov za rok, konštantnú celkovú mzdu zamestnancov a atď.</w:t>
      </w:r>
    </w:p>
    <w:p w14:paraId="74E64BC1" w14:textId="77777777" w:rsidR="00FF13BC" w:rsidRDefault="0085093D" w:rsidP="00D50D5C">
      <w:pPr>
        <w:pStyle w:val="Nadpis1"/>
        <w:numPr>
          <w:ilvl w:val="0"/>
          <w:numId w:val="2"/>
        </w:numPr>
        <w:jc w:val="both"/>
      </w:pPr>
      <w:bookmarkStart w:id="4" w:name="_Toc77856820"/>
      <w:r w:rsidRPr="0085093D">
        <w:lastRenderedPageBreak/>
        <w:t>Zníženie času a úsilia potrebn</w:t>
      </w:r>
      <w:r>
        <w:t xml:space="preserve">ého na vykonávanie proaktívneho </w:t>
      </w:r>
      <w:r w:rsidRPr="0085093D">
        <w:t>monitorovania a vyhodnocovania bezpečnostných incidentov</w:t>
      </w:r>
      <w:bookmarkEnd w:id="4"/>
      <w:r w:rsidRPr="0085093D">
        <w:t xml:space="preserve"> </w:t>
      </w:r>
    </w:p>
    <w:p w14:paraId="71B318A2" w14:textId="77777777" w:rsidR="00247216" w:rsidRDefault="00247216" w:rsidP="00247216">
      <w:pPr>
        <w:rPr>
          <w:rFonts w:ascii="Arial" w:hAnsi="Arial" w:cs="Arial"/>
        </w:rPr>
      </w:pPr>
      <w:bookmarkStart w:id="5" w:name="_Hlk77854259"/>
    </w:p>
    <w:p w14:paraId="5BA9D12F" w14:textId="62D07205" w:rsidR="00247216" w:rsidRPr="00E93310" w:rsidRDefault="00247216" w:rsidP="00247216">
      <w:pPr>
        <w:rPr>
          <w:rFonts w:ascii="Arial" w:hAnsi="Arial" w:cs="Arial"/>
          <w:u w:val="single"/>
        </w:rPr>
      </w:pPr>
      <w:r w:rsidRPr="00E93310">
        <w:rPr>
          <w:rFonts w:ascii="Arial" w:hAnsi="Arial" w:cs="Arial"/>
          <w:u w:val="single"/>
        </w:rPr>
        <w:t>Predpokladom pre  výpočet tohto prínosu je nasledovná premisa:</w:t>
      </w:r>
      <w:bookmarkEnd w:id="5"/>
    </w:p>
    <w:p w14:paraId="1CCAEAA4" w14:textId="77777777" w:rsidR="00247216" w:rsidRDefault="00247216" w:rsidP="00247216">
      <w:pPr>
        <w:spacing w:after="0" w:line="240" w:lineRule="auto"/>
        <w:jc w:val="both"/>
        <w:rPr>
          <w:rFonts w:ascii="Arial" w:hAnsi="Arial" w:cs="Arial"/>
        </w:rPr>
      </w:pPr>
    </w:p>
    <w:p w14:paraId="2F986501" w14:textId="77777777" w:rsidR="00247216" w:rsidRPr="00B25F2B" w:rsidRDefault="00247216" w:rsidP="0024721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B25F2B">
        <w:rPr>
          <w:rFonts w:ascii="Arial" w:eastAsia="Calibri" w:hAnsi="Arial" w:cs="Arial"/>
          <w:u w:val="single"/>
        </w:rPr>
        <w:t>AS IS STAV:</w:t>
      </w:r>
      <w:r w:rsidRPr="00B25F2B">
        <w:rPr>
          <w:rFonts w:ascii="Arial" w:eastAsia="Calibri" w:hAnsi="Arial" w:cs="Arial"/>
        </w:rPr>
        <w:t xml:space="preserve"> 0 proaktívne monitorovaných koncových bodov „endpointov“, 0 FTE</w:t>
      </w:r>
    </w:p>
    <w:p w14:paraId="04679F86" w14:textId="77777777" w:rsidR="00247216" w:rsidRPr="00B25F2B" w:rsidRDefault="00247216" w:rsidP="0024721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65F8816" w14:textId="77777777" w:rsidR="00247216" w:rsidRPr="00B25F2B" w:rsidRDefault="00247216" w:rsidP="0024721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B25F2B">
        <w:rPr>
          <w:rFonts w:ascii="Arial" w:eastAsia="Calibri" w:hAnsi="Arial" w:cs="Arial"/>
          <w:u w:val="single"/>
        </w:rPr>
        <w:t>TO BE STAV:</w:t>
      </w:r>
      <w:r w:rsidRPr="00B25F2B">
        <w:rPr>
          <w:rFonts w:ascii="Arial" w:eastAsia="Calibri" w:hAnsi="Arial" w:cs="Arial"/>
        </w:rPr>
        <w:t xml:space="preserve"> min. 300 000 proaktívne monitorovaných bodov „endpointov“ a to vieme dosiahnuť prostredníctvom:</w:t>
      </w:r>
    </w:p>
    <w:p w14:paraId="69F47481" w14:textId="77777777" w:rsidR="00247216" w:rsidRPr="00B25F2B" w:rsidRDefault="00247216" w:rsidP="0024721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22661C3" w14:textId="77777777" w:rsidR="00247216" w:rsidRPr="00B25F2B" w:rsidRDefault="00247216" w:rsidP="00247216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B25F2B">
        <w:rPr>
          <w:rFonts w:ascii="Arial" w:eastAsia="Calibri" w:hAnsi="Arial" w:cs="Arial"/>
        </w:rPr>
        <w:t xml:space="preserve">A: 300 000 endpointov = </w:t>
      </w:r>
      <w:r w:rsidRPr="00B25F2B">
        <w:rPr>
          <w:rFonts w:ascii="Arial" w:eastAsia="Calibri" w:hAnsi="Arial" w:cs="Arial"/>
          <w:b/>
          <w:bCs/>
          <w:u w:val="single"/>
        </w:rPr>
        <w:t>prijať cca 22,5 FTE</w:t>
      </w:r>
      <w:r>
        <w:rPr>
          <w:rFonts w:ascii="Arial" w:eastAsia="Calibri" w:hAnsi="Arial" w:cs="Arial"/>
          <w:b/>
          <w:bCs/>
          <w:u w:val="single"/>
        </w:rPr>
        <w:t>/ročne</w:t>
      </w:r>
      <w:r w:rsidRPr="00B25F2B">
        <w:rPr>
          <w:rFonts w:ascii="Arial" w:eastAsia="Calibri" w:hAnsi="Arial" w:cs="Arial"/>
        </w:rPr>
        <w:t xml:space="preserve"> na manuálne proaktívne monitorovanie (Štúdia uvádza 90 osobohodín/týždeň pri manuálnom monitorovaní 30 000 endpointov)</w:t>
      </w:r>
    </w:p>
    <w:p w14:paraId="75815B11" w14:textId="77777777" w:rsidR="00247216" w:rsidRDefault="00247216" w:rsidP="00247216">
      <w:pPr>
        <w:spacing w:after="0" w:line="240" w:lineRule="auto"/>
        <w:jc w:val="both"/>
        <w:rPr>
          <w:rFonts w:ascii="Arial" w:eastAsia="Calibri" w:hAnsi="Arial" w:cs="Arial"/>
        </w:rPr>
      </w:pPr>
    </w:p>
    <w:p w14:paraId="7E8F8439" w14:textId="77777777" w:rsidR="00247216" w:rsidRPr="00B25F2B" w:rsidRDefault="00247216" w:rsidP="00247216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B25F2B">
        <w:rPr>
          <w:rFonts w:ascii="Arial" w:eastAsia="Calibri" w:hAnsi="Arial" w:cs="Arial"/>
        </w:rPr>
        <w:t xml:space="preserve">B: 300 000 endpointov= monitorovanie vykonávané automatizovaným spôsobom, ktoré predstavuje „Detekcia zraniteľnosti koncových obslužných bodov“= </w:t>
      </w:r>
      <w:r w:rsidRPr="00B25F2B">
        <w:rPr>
          <w:rFonts w:ascii="Arial" w:eastAsia="Calibri" w:hAnsi="Arial" w:cs="Arial"/>
          <w:b/>
          <w:bCs/>
        </w:rPr>
        <w:t>prijať cca 3 FTE</w:t>
      </w:r>
      <w:r>
        <w:rPr>
          <w:rFonts w:ascii="Arial" w:eastAsia="Calibri" w:hAnsi="Arial" w:cs="Arial"/>
          <w:b/>
          <w:bCs/>
        </w:rPr>
        <w:t>/ročne</w:t>
      </w:r>
    </w:p>
    <w:p w14:paraId="1103D908" w14:textId="77777777" w:rsidR="00247216" w:rsidRDefault="00247216" w:rsidP="0085093D">
      <w:pPr>
        <w:rPr>
          <w:rFonts w:ascii="Arial" w:hAnsi="Arial" w:cs="Arial"/>
          <w:u w:val="single"/>
        </w:rPr>
      </w:pPr>
    </w:p>
    <w:p w14:paraId="74272435" w14:textId="6A671E57" w:rsidR="0085093D" w:rsidRPr="00014A7F" w:rsidRDefault="00172CDF" w:rsidP="0085093D">
      <w:pPr>
        <w:rPr>
          <w:rFonts w:ascii="Arial" w:hAnsi="Arial" w:cs="Arial"/>
          <w:u w:val="single"/>
        </w:rPr>
      </w:pPr>
      <w:r w:rsidRPr="00014A7F">
        <w:rPr>
          <w:rFonts w:ascii="Arial" w:hAnsi="Arial" w:cs="Arial"/>
          <w:u w:val="single"/>
        </w:rPr>
        <w:t>Vstupy:</w:t>
      </w:r>
    </w:p>
    <w:p w14:paraId="1CA4F1E7" w14:textId="6AC913C1" w:rsidR="00172CDF" w:rsidRDefault="00172CDF" w:rsidP="00172CD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Mzdová politika zamestnávateľa NASES (priemerná celková cena práce zamestnanca </w:t>
      </w:r>
      <w:r w:rsidR="00FD297A">
        <w:rPr>
          <w:rFonts w:ascii="Arial" w:hAnsi="Arial" w:cs="Arial"/>
        </w:rPr>
        <w:t xml:space="preserve">je </w:t>
      </w:r>
      <w:r w:rsidR="00B43A0C">
        <w:rPr>
          <w:rFonts w:ascii="Arial" w:hAnsi="Arial" w:cs="Arial"/>
        </w:rPr>
        <w:t xml:space="preserve">25 </w:t>
      </w:r>
      <w:r w:rsidR="00B43A0C" w:rsidRPr="00A1098F">
        <w:rPr>
          <w:rFonts w:ascii="Arial" w:hAnsi="Arial" w:cs="Arial"/>
        </w:rPr>
        <w:t>EUR</w:t>
      </w:r>
      <w:r w:rsidR="00B43A0C">
        <w:rPr>
          <w:rFonts w:ascii="Arial" w:hAnsi="Arial" w:cs="Arial"/>
        </w:rPr>
        <w:t>/hodina CCP</w:t>
      </w:r>
      <w:r w:rsidR="00B43A0C" w:rsidRPr="00172CDF" w:rsidDel="00B43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="00A1098F">
        <w:rPr>
          <w:rFonts w:ascii="Arial" w:hAnsi="Arial" w:cs="Arial"/>
        </w:rPr>
        <w:t>;</w:t>
      </w:r>
    </w:p>
    <w:p w14:paraId="7EE0ED13" w14:textId="11C1A900" w:rsidR="00172CDF" w:rsidRDefault="00172CDF" w:rsidP="00172CD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by chcel</w:t>
      </w:r>
      <w:r w:rsidR="00FD29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organizácia vykonávať proaktívny monitoring a vyhodnocovanie bezpečnostných incidentov bez</w:t>
      </w:r>
      <w:r w:rsidR="00FD297A">
        <w:rPr>
          <w:rFonts w:ascii="Arial" w:hAnsi="Arial" w:cs="Arial"/>
        </w:rPr>
        <w:t xml:space="preserve"> používania</w:t>
      </w:r>
      <w:r>
        <w:rPr>
          <w:rFonts w:ascii="Arial" w:hAnsi="Arial" w:cs="Arial"/>
        </w:rPr>
        <w:t xml:space="preserve"> riešenia „inappsecurity“</w:t>
      </w:r>
      <w:r w:rsidR="00FD29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len prostredníctvom svojich zamestnancov, tak štúdia uvádza, že je potrebných 90 hodín/týždenne</w:t>
      </w:r>
      <w:r w:rsidR="00FD297A">
        <w:rPr>
          <w:rFonts w:ascii="Arial" w:hAnsi="Arial" w:cs="Arial"/>
        </w:rPr>
        <w:t xml:space="preserve"> na monitorovanie bezpečnostných hrozieb zamestnancami </w:t>
      </w:r>
      <w:r>
        <w:rPr>
          <w:rFonts w:ascii="Arial" w:hAnsi="Arial" w:cs="Arial"/>
        </w:rPr>
        <w:t xml:space="preserve"> pri počte „endpointov“ 30 000. Realizáciou NP: </w:t>
      </w:r>
      <w:r w:rsidRPr="00172CDF">
        <w:rPr>
          <w:rFonts w:ascii="Arial" w:hAnsi="Arial" w:cs="Arial"/>
        </w:rPr>
        <w:t>Detekcia zraniteľnosti koncových obslužných bodov</w:t>
      </w:r>
      <w:r w:rsidR="00FD297A">
        <w:rPr>
          <w:rFonts w:ascii="Arial" w:hAnsi="Arial" w:cs="Arial"/>
        </w:rPr>
        <w:t xml:space="preserve"> plánujeme monitorovať </w:t>
      </w:r>
      <w:r w:rsidR="00F056EE">
        <w:rPr>
          <w:rFonts w:ascii="Arial" w:hAnsi="Arial" w:cs="Arial"/>
        </w:rPr>
        <w:t xml:space="preserve">minimálne </w:t>
      </w:r>
      <w:r w:rsidR="00FD297A">
        <w:rPr>
          <w:rFonts w:ascii="Arial" w:hAnsi="Arial" w:cs="Arial"/>
        </w:rPr>
        <w:t>300 000 „endpointov“, čo je 10-krát viac „endpoi</w:t>
      </w:r>
      <w:r w:rsidR="005846FE">
        <w:rPr>
          <w:rFonts w:ascii="Arial" w:hAnsi="Arial" w:cs="Arial"/>
        </w:rPr>
        <w:t>ntov“, ako sa pojednáva v štúdii</w:t>
      </w:r>
      <w:r w:rsidR="00FD297A">
        <w:rPr>
          <w:rFonts w:ascii="Arial" w:hAnsi="Arial" w:cs="Arial"/>
        </w:rPr>
        <w:t xml:space="preserve">, z toho dôvodu túto skutočnosť reflektujeme v rámci </w:t>
      </w:r>
      <w:r w:rsidR="00A1098F">
        <w:rPr>
          <w:rFonts w:ascii="Arial" w:hAnsi="Arial" w:cs="Arial"/>
        </w:rPr>
        <w:t>prepočtu nižšie;</w:t>
      </w:r>
    </w:p>
    <w:p w14:paraId="15F40105" w14:textId="77777777" w:rsidR="005D4D2E" w:rsidRDefault="00FD297A" w:rsidP="005D4D2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Štúdia uvádza, že implementovaním riešenia „inappsecurity“ dôjde k zníženiu času o 80% potrebného na</w:t>
      </w:r>
      <w:r w:rsidRPr="00FD297A">
        <w:t xml:space="preserve"> </w:t>
      </w:r>
      <w:r w:rsidRPr="00FD297A">
        <w:rPr>
          <w:rFonts w:ascii="Arial" w:hAnsi="Arial" w:cs="Arial"/>
        </w:rPr>
        <w:t>vykonávanie proaktívneho monitorovania a vyhodnocovania bezpečnostných incidentov</w:t>
      </w:r>
      <w:r>
        <w:rPr>
          <w:rFonts w:ascii="Arial" w:hAnsi="Arial" w:cs="Arial"/>
        </w:rPr>
        <w:t xml:space="preserve"> v treťom roku používania (1. rok: 60%; 2. rok: 70%; 3. rok: 80%)</w:t>
      </w:r>
      <w:r w:rsidR="00A1098F">
        <w:rPr>
          <w:rFonts w:ascii="Arial" w:hAnsi="Arial" w:cs="Arial"/>
        </w:rPr>
        <w:t>;</w:t>
      </w:r>
    </w:p>
    <w:p w14:paraId="4CD7CDE5" w14:textId="77777777" w:rsidR="00014A7F" w:rsidRPr="00014A7F" w:rsidRDefault="00014A7F" w:rsidP="00014A7F">
      <w:pPr>
        <w:jc w:val="both"/>
        <w:rPr>
          <w:rFonts w:ascii="Arial" w:hAnsi="Arial" w:cs="Arial"/>
          <w:u w:val="single"/>
        </w:rPr>
      </w:pPr>
      <w:r w:rsidRPr="00014A7F">
        <w:rPr>
          <w:rFonts w:ascii="Arial" w:hAnsi="Arial" w:cs="Arial"/>
          <w:u w:val="single"/>
        </w:rPr>
        <w:t>Výsledok:</w:t>
      </w:r>
    </w:p>
    <w:p w14:paraId="16363A43" w14:textId="44C54327" w:rsidR="00A21288" w:rsidRPr="00E93310" w:rsidRDefault="00014A7F" w:rsidP="00E93310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základe výpočtov uvedených nižšie v tabuľke č. 1 finančné vyčíslenie tohto benefitu predstavuje za referenčné obdobie troch rokov úsporu celkom </w:t>
      </w:r>
      <w:r w:rsidR="00B43A0C">
        <w:rPr>
          <w:rFonts w:ascii="Arial" w:hAnsi="Arial" w:cs="Arial"/>
          <w:b/>
        </w:rPr>
        <w:t>2 457 000,00</w:t>
      </w:r>
      <w:r w:rsidRPr="00014A7F">
        <w:rPr>
          <w:rFonts w:ascii="Arial" w:hAnsi="Arial" w:cs="Arial"/>
          <w:b/>
        </w:rPr>
        <w:t xml:space="preserve"> €</w:t>
      </w:r>
    </w:p>
    <w:p w14:paraId="3965DE94" w14:textId="77777777" w:rsidR="005D4D2E" w:rsidRDefault="005D4D2E" w:rsidP="005D4D2E">
      <w:pPr>
        <w:jc w:val="both"/>
        <w:rPr>
          <w:rFonts w:ascii="Arial" w:hAnsi="Arial" w:cs="Arial"/>
        </w:rPr>
      </w:pPr>
    </w:p>
    <w:p w14:paraId="14189D20" w14:textId="4A85ADA5" w:rsidR="001A4E67" w:rsidRDefault="001A4E67">
      <w:pPr>
        <w:rPr>
          <w:rFonts w:ascii="Arial" w:hAnsi="Arial" w:cs="Arial"/>
        </w:rPr>
        <w:sectPr w:rsidR="001A4E67" w:rsidSect="00C106D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213"/>
        <w:tblW w:w="13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510"/>
        <w:gridCol w:w="2868"/>
        <w:gridCol w:w="1561"/>
        <w:gridCol w:w="1561"/>
        <w:gridCol w:w="1561"/>
        <w:gridCol w:w="1801"/>
      </w:tblGrid>
      <w:tr w:rsidR="00A21288" w:rsidRPr="005D4D2E" w14:paraId="5A71D9F4" w14:textId="77777777" w:rsidTr="00014A7F">
        <w:trPr>
          <w:trHeight w:val="693"/>
        </w:trPr>
        <w:tc>
          <w:tcPr>
            <w:tcW w:w="69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</w:tcPr>
          <w:p w14:paraId="0F50816F" w14:textId="77777777" w:rsidR="00A21288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  <w:p w14:paraId="1E824AA1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ID</w:t>
            </w:r>
          </w:p>
        </w:tc>
        <w:tc>
          <w:tcPr>
            <w:tcW w:w="351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vAlign w:val="center"/>
            <w:hideMark/>
          </w:tcPr>
          <w:p w14:paraId="0775CB06" w14:textId="77777777" w:rsidR="00A21288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  <w:p w14:paraId="4CFA5210" w14:textId="77777777" w:rsidR="00A21288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Popis</w:t>
            </w:r>
          </w:p>
          <w:p w14:paraId="3A2B0216" w14:textId="77777777" w:rsidR="00A21288" w:rsidRPr="005D4D2E" w:rsidRDefault="00A21288" w:rsidP="00F75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</w:tc>
        <w:tc>
          <w:tcPr>
            <w:tcW w:w="2868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1EFBCA67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Prepočet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3C90A50A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1. r</w:t>
            </w: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ok 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14183F63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2. r</w:t>
            </w: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ok 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center"/>
            <w:hideMark/>
          </w:tcPr>
          <w:p w14:paraId="014468C6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3. r</w:t>
            </w: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ok </w:t>
            </w:r>
          </w:p>
        </w:tc>
        <w:tc>
          <w:tcPr>
            <w:tcW w:w="1801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center"/>
            <w:hideMark/>
          </w:tcPr>
          <w:p w14:paraId="3874230F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Spolu</w:t>
            </w:r>
          </w:p>
        </w:tc>
      </w:tr>
      <w:tr w:rsidR="00A21288" w:rsidRPr="005D4D2E" w14:paraId="5A483810" w14:textId="77777777" w:rsidTr="00A21288">
        <w:trPr>
          <w:trHeight w:val="1533"/>
        </w:trPr>
        <w:tc>
          <w:tcPr>
            <w:tcW w:w="69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</w:tcPr>
          <w:p w14:paraId="5CC35356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A1.1</w:t>
            </w:r>
          </w:p>
        </w:tc>
        <w:tc>
          <w:tcPr>
            <w:tcW w:w="351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E115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Počet hodín alokovaných na monitorovanie bezpečnosti a vyhodnocovania bezpečnostných rizík (pred nasadením "inappsecurity")</w:t>
            </w:r>
          </w:p>
        </w:tc>
        <w:tc>
          <w:tcPr>
            <w:tcW w:w="2868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D079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900 hodín*52 týždňov (rok)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96BD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8FE5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5014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800</w:t>
            </w:r>
          </w:p>
        </w:tc>
        <w:tc>
          <w:tcPr>
            <w:tcW w:w="1801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DA1443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21288" w:rsidRPr="005D4D2E" w14:paraId="518B76B2" w14:textId="77777777" w:rsidTr="00A21288">
        <w:trPr>
          <w:trHeight w:val="574"/>
        </w:trPr>
        <w:tc>
          <w:tcPr>
            <w:tcW w:w="69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</w:tcPr>
          <w:p w14:paraId="1F9BA2F8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A1.2</w:t>
            </w:r>
          </w:p>
        </w:tc>
        <w:tc>
          <w:tcPr>
            <w:tcW w:w="351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BFD0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Redukcia potrebného času prostredníctvom "inappsecurity"</w:t>
            </w:r>
          </w:p>
        </w:tc>
        <w:tc>
          <w:tcPr>
            <w:tcW w:w="2868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5F7B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Údaj zo štúdie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F87B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60%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57D4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70%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555B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80%</w:t>
            </w:r>
          </w:p>
        </w:tc>
        <w:tc>
          <w:tcPr>
            <w:tcW w:w="1801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8348C5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21288" w:rsidRPr="005D4D2E" w14:paraId="62596F9E" w14:textId="77777777" w:rsidTr="00A21288">
        <w:trPr>
          <w:trHeight w:val="766"/>
        </w:trPr>
        <w:tc>
          <w:tcPr>
            <w:tcW w:w="697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</w:tcPr>
          <w:p w14:paraId="6E556F4A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A1.3</w:t>
            </w:r>
          </w:p>
        </w:tc>
        <w:tc>
          <w:tcPr>
            <w:tcW w:w="351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67E9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>Priemerná hodinová mzda pracovníka bezpečnosti NASES (Celková cena práce)</w:t>
            </w:r>
          </w:p>
        </w:tc>
        <w:tc>
          <w:tcPr>
            <w:tcW w:w="2868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4391" w14:textId="181363FA" w:rsidR="00A21288" w:rsidRPr="005D4D2E" w:rsidRDefault="00B43A0C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CCP/hodina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D70F" w14:textId="3AEF2EA2" w:rsidR="00A21288" w:rsidRPr="005D4D2E" w:rsidRDefault="00B43A0C" w:rsidP="00DC2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  <w:r w:rsidR="00A21288"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3BEF" w14:textId="7F49D16C" w:rsidR="00A21288" w:rsidRPr="005D4D2E" w:rsidRDefault="00B43A0C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FF71" w14:textId="2924A42A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B43A0C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  <w:r w:rsidR="00B43A0C" w:rsidRPr="005D4D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1801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C84DB2" w14:textId="77777777" w:rsidR="00A21288" w:rsidRPr="005D4D2E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21288" w:rsidRPr="005D4D2E" w14:paraId="79CBD9E0" w14:textId="77777777" w:rsidTr="00A21288">
        <w:trPr>
          <w:trHeight w:val="191"/>
        </w:trPr>
        <w:tc>
          <w:tcPr>
            <w:tcW w:w="6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</w:tcPr>
          <w:p w14:paraId="1C1BE4F4" w14:textId="77777777" w:rsidR="00A21288" w:rsidRPr="00A12532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A1253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Arg</w:t>
            </w:r>
          </w:p>
          <w:p w14:paraId="752B3556" w14:textId="77777777" w:rsidR="00A21288" w:rsidRPr="00A12532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A1253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A1</w:t>
            </w:r>
          </w:p>
        </w:tc>
        <w:tc>
          <w:tcPr>
            <w:tcW w:w="35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vAlign w:val="center"/>
            <w:hideMark/>
          </w:tcPr>
          <w:p w14:paraId="15AA1623" w14:textId="77777777" w:rsidR="00A21288" w:rsidRPr="00A12532" w:rsidRDefault="00A21288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A1253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Výsledok</w:t>
            </w:r>
          </w:p>
        </w:tc>
        <w:tc>
          <w:tcPr>
            <w:tcW w:w="286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391FF3CA" w14:textId="77777777" w:rsidR="00A21288" w:rsidRPr="00A12532" w:rsidRDefault="00014A7F" w:rsidP="00F7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A1253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A1.1*A1.2*A1.3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9D85345" w14:textId="7DBA98F3" w:rsidR="00A21288" w:rsidRPr="00A12532" w:rsidRDefault="00B43A0C" w:rsidP="00F75D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702 000,00</w:t>
            </w:r>
            <w:r w:rsidR="00A21288" w:rsidRPr="00A1253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€ 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AFF2B1A" w14:textId="7A8A9D3B" w:rsidR="00A21288" w:rsidRPr="00A12532" w:rsidRDefault="00B43A0C" w:rsidP="00F75D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819 000,00</w:t>
            </w:r>
            <w:r w:rsidR="00A21288" w:rsidRPr="00A1253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€ </w:t>
            </w:r>
          </w:p>
        </w:tc>
        <w:tc>
          <w:tcPr>
            <w:tcW w:w="15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4A253E4A" w14:textId="32BEE37C" w:rsidR="00A21288" w:rsidRPr="00A12532" w:rsidRDefault="00B43A0C" w:rsidP="00F75D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936 000,00</w:t>
            </w:r>
            <w:r w:rsidR="00A21288" w:rsidRPr="00A1253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€ </w:t>
            </w:r>
          </w:p>
        </w:tc>
        <w:tc>
          <w:tcPr>
            <w:tcW w:w="180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D37F6B" w14:textId="6029DA0C" w:rsidR="00A21288" w:rsidRPr="00A12532" w:rsidRDefault="00B43A0C" w:rsidP="00F75D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2 457 000,00</w:t>
            </w:r>
            <w:r w:rsidR="00A21288" w:rsidRPr="00A1253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€ </w:t>
            </w:r>
          </w:p>
        </w:tc>
      </w:tr>
    </w:tbl>
    <w:p w14:paraId="1C725472" w14:textId="77777777" w:rsidR="00014A7F" w:rsidRDefault="00A21288" w:rsidP="00014A7F">
      <w:pPr>
        <w:pStyle w:val="Nadpis2"/>
        <w:sectPr w:rsidR="00014A7F" w:rsidSect="00A212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6" w:name="_Toc77856821"/>
      <w:r>
        <w:t xml:space="preserve">Tabuľka č. 1 - </w:t>
      </w:r>
      <w:r w:rsidRPr="00A21288">
        <w:t>Zníženie času a úsilia potrebného na vykonávanie proaktívneho monitorovania a vyhodnocovania bezpečnostných incidentov</w:t>
      </w:r>
      <w:bookmarkEnd w:id="6"/>
      <w:r w:rsidRPr="00A21288">
        <w:t xml:space="preserve"> </w:t>
      </w:r>
    </w:p>
    <w:p w14:paraId="691E6CCF" w14:textId="77777777" w:rsidR="00F442AE" w:rsidRDefault="00F442AE" w:rsidP="00D50D5C">
      <w:pPr>
        <w:pStyle w:val="Nadpis1"/>
        <w:numPr>
          <w:ilvl w:val="0"/>
          <w:numId w:val="2"/>
        </w:numPr>
        <w:jc w:val="both"/>
      </w:pPr>
      <w:bookmarkStart w:id="7" w:name="_Toc77856822"/>
      <w:r w:rsidRPr="00F442AE">
        <w:lastRenderedPageBreak/>
        <w:t>Zníženie času a úsilia na odstránenie vzniknutého bezpečnostného incidentu</w:t>
      </w:r>
      <w:bookmarkEnd w:id="7"/>
      <w:r w:rsidRPr="00F442AE">
        <w:t xml:space="preserve"> </w:t>
      </w:r>
    </w:p>
    <w:p w14:paraId="75433B4D" w14:textId="77777777" w:rsidR="00247216" w:rsidRDefault="00247216" w:rsidP="00247216">
      <w:pPr>
        <w:jc w:val="both"/>
        <w:rPr>
          <w:rFonts w:ascii="Arial" w:hAnsi="Arial" w:cs="Arial"/>
        </w:rPr>
      </w:pPr>
    </w:p>
    <w:p w14:paraId="013F832C" w14:textId="6D767A6B" w:rsidR="00247216" w:rsidRPr="00E93310" w:rsidRDefault="00247216" w:rsidP="00247216">
      <w:pPr>
        <w:jc w:val="both"/>
        <w:rPr>
          <w:rFonts w:ascii="Arial" w:hAnsi="Arial" w:cs="Arial"/>
          <w:u w:val="single"/>
        </w:rPr>
      </w:pPr>
      <w:r w:rsidRPr="00E93310">
        <w:rPr>
          <w:rFonts w:ascii="Arial" w:hAnsi="Arial" w:cs="Arial"/>
          <w:u w:val="single"/>
        </w:rPr>
        <w:t>Predpokladom pre  výpočet tohto prínosu je nasledovná premisa:</w:t>
      </w:r>
    </w:p>
    <w:p w14:paraId="7C97D8A4" w14:textId="1310BEF4" w:rsidR="00247216" w:rsidRPr="00B25F2B" w:rsidRDefault="00247216" w:rsidP="00247216">
      <w:pPr>
        <w:pStyle w:val="Odsekzoznamu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</w:rPr>
      </w:pPr>
      <w:r w:rsidRPr="00B25F2B">
        <w:rPr>
          <w:rFonts w:ascii="Arial" w:eastAsia="Calibri" w:hAnsi="Arial" w:cs="Arial"/>
          <w:u w:val="single"/>
        </w:rPr>
        <w:t>AS IS STAV:</w:t>
      </w:r>
      <w:r w:rsidRPr="00B25F2B">
        <w:rPr>
          <w:rFonts w:ascii="Arial" w:eastAsia="Calibri" w:hAnsi="Arial" w:cs="Arial"/>
        </w:rPr>
        <w:t xml:space="preserve"> 0 proaktívne monitorovaných koncových bodov „endpointov“, 0 FTE, v tomto momente nevieme definovať koľko bezpečnostných incidentov môže byť identifikovaných mimo  infraštruktúry</w:t>
      </w:r>
      <w:r>
        <w:rPr>
          <w:rFonts w:ascii="Arial" w:eastAsia="Calibri" w:hAnsi="Arial" w:cs="Arial"/>
        </w:rPr>
        <w:t xml:space="preserve"> NASES</w:t>
      </w:r>
      <w:r w:rsidRPr="00B25F2B">
        <w:rPr>
          <w:rFonts w:ascii="Arial" w:eastAsia="Calibri" w:hAnsi="Arial" w:cs="Arial"/>
        </w:rPr>
        <w:t xml:space="preserve">. „Sme hluchí a slepí“. </w:t>
      </w:r>
    </w:p>
    <w:p w14:paraId="685F0B7B" w14:textId="77777777" w:rsidR="00247216" w:rsidRPr="00B25F2B" w:rsidRDefault="00247216" w:rsidP="00247216">
      <w:pPr>
        <w:pStyle w:val="Odsekzoznamu"/>
        <w:spacing w:line="256" w:lineRule="auto"/>
        <w:jc w:val="both"/>
        <w:rPr>
          <w:rFonts w:ascii="Arial" w:eastAsia="Calibri" w:hAnsi="Arial" w:cs="Arial"/>
        </w:rPr>
      </w:pPr>
    </w:p>
    <w:p w14:paraId="21485576" w14:textId="77777777" w:rsidR="00247216" w:rsidRPr="00B25F2B" w:rsidRDefault="00247216" w:rsidP="00247216">
      <w:pPr>
        <w:pStyle w:val="Odsekzoznamu"/>
        <w:numPr>
          <w:ilvl w:val="0"/>
          <w:numId w:val="6"/>
        </w:numPr>
        <w:spacing w:line="256" w:lineRule="auto"/>
        <w:jc w:val="both"/>
        <w:rPr>
          <w:rFonts w:ascii="Arial" w:eastAsia="Calibri" w:hAnsi="Arial" w:cs="Arial"/>
        </w:rPr>
      </w:pPr>
      <w:r w:rsidRPr="00B25F2B">
        <w:rPr>
          <w:rFonts w:ascii="Arial" w:eastAsia="Calibri" w:hAnsi="Arial" w:cs="Arial"/>
          <w:u w:val="single"/>
        </w:rPr>
        <w:t>TO BE STAV:</w:t>
      </w:r>
      <w:r w:rsidRPr="00B25F2B">
        <w:rPr>
          <w:rFonts w:ascii="Arial" w:eastAsia="Calibri" w:hAnsi="Arial" w:cs="Arial"/>
        </w:rPr>
        <w:t xml:space="preserve"> minimálne 300 000 proaktívne monitorovaných bodov „endpointov“, pričom predpokladáme minimálne 2 000 bezpečnostných incidentov (rok) a podľa Štúdie odstránenie takéhoto bezpečnostného incidentu, ktorý je mimo „našu“ infraštruktúru trvá  96 hodín, a to vieme dosiahnuť prostredníctvom:</w:t>
      </w:r>
    </w:p>
    <w:p w14:paraId="6F03594B" w14:textId="77777777" w:rsidR="00247216" w:rsidRPr="00B25F2B" w:rsidRDefault="00247216" w:rsidP="00247216">
      <w:pPr>
        <w:pStyle w:val="Odsekzoznamu"/>
        <w:spacing w:line="256" w:lineRule="auto"/>
        <w:jc w:val="both"/>
        <w:rPr>
          <w:rFonts w:ascii="Arial" w:eastAsia="Calibri" w:hAnsi="Arial" w:cs="Arial"/>
        </w:rPr>
      </w:pPr>
    </w:p>
    <w:p w14:paraId="6E8592BF" w14:textId="77777777" w:rsidR="00247216" w:rsidRPr="00B25F2B" w:rsidRDefault="00247216" w:rsidP="00247216">
      <w:pPr>
        <w:pStyle w:val="Odsekzoznamu"/>
        <w:numPr>
          <w:ilvl w:val="1"/>
          <w:numId w:val="6"/>
        </w:numPr>
        <w:spacing w:line="256" w:lineRule="auto"/>
        <w:jc w:val="both"/>
        <w:rPr>
          <w:rFonts w:ascii="Arial" w:eastAsia="Calibri" w:hAnsi="Arial" w:cs="Arial"/>
        </w:rPr>
      </w:pPr>
      <w:r w:rsidRPr="00B25F2B">
        <w:rPr>
          <w:rFonts w:ascii="Arial" w:eastAsia="Calibri" w:hAnsi="Arial" w:cs="Arial"/>
        </w:rPr>
        <w:t xml:space="preserve">A: min. 300 000 endpointov =  </w:t>
      </w:r>
      <w:bookmarkStart w:id="8" w:name="_Hlk77771959"/>
      <w:r w:rsidRPr="00B25F2B">
        <w:rPr>
          <w:rFonts w:ascii="Arial" w:eastAsia="Calibri" w:hAnsi="Arial" w:cs="Arial"/>
        </w:rPr>
        <w:t xml:space="preserve">min. 2000 incidentov </w:t>
      </w:r>
      <w:bookmarkEnd w:id="8"/>
      <w:r w:rsidRPr="00B25F2B">
        <w:rPr>
          <w:rFonts w:ascii="Arial" w:eastAsia="Calibri" w:hAnsi="Arial" w:cs="Arial"/>
        </w:rPr>
        <w:t xml:space="preserve">= 96 hodín per incident = </w:t>
      </w:r>
      <w:r w:rsidRPr="00B25F2B">
        <w:rPr>
          <w:rFonts w:ascii="Arial" w:eastAsia="Calibri" w:hAnsi="Arial" w:cs="Arial"/>
          <w:b/>
          <w:bCs/>
        </w:rPr>
        <w:t>prijať cca 100 FTE/ročne</w:t>
      </w:r>
      <w:r w:rsidRPr="00B25F2B">
        <w:rPr>
          <w:rFonts w:ascii="Arial" w:eastAsia="Calibri" w:hAnsi="Arial" w:cs="Arial"/>
        </w:rPr>
        <w:t xml:space="preserve"> na manuálne odstránenie/eliminovanie incidentu </w:t>
      </w:r>
    </w:p>
    <w:p w14:paraId="155B9702" w14:textId="77777777" w:rsidR="00247216" w:rsidRPr="00B25F2B" w:rsidRDefault="00247216" w:rsidP="00247216">
      <w:pPr>
        <w:pStyle w:val="Odsekzoznamu"/>
        <w:spacing w:line="256" w:lineRule="auto"/>
        <w:ind w:left="1440"/>
        <w:jc w:val="both"/>
        <w:rPr>
          <w:rFonts w:ascii="Arial" w:eastAsia="Calibri" w:hAnsi="Arial" w:cs="Arial"/>
        </w:rPr>
      </w:pPr>
    </w:p>
    <w:p w14:paraId="75BCF7AC" w14:textId="77777777" w:rsidR="00247216" w:rsidRPr="00B25F2B" w:rsidRDefault="00247216" w:rsidP="00247216">
      <w:pPr>
        <w:pStyle w:val="Odsekzoznamu"/>
        <w:numPr>
          <w:ilvl w:val="1"/>
          <w:numId w:val="6"/>
        </w:numPr>
        <w:spacing w:line="256" w:lineRule="auto"/>
        <w:jc w:val="both"/>
        <w:rPr>
          <w:rFonts w:ascii="Arial" w:eastAsia="Calibri" w:hAnsi="Arial" w:cs="Arial"/>
        </w:rPr>
      </w:pPr>
      <w:r w:rsidRPr="00B25F2B">
        <w:rPr>
          <w:rFonts w:ascii="Arial" w:eastAsia="Calibri" w:hAnsi="Arial" w:cs="Arial"/>
        </w:rPr>
        <w:t xml:space="preserve">B: min. 300 000 endpointov= min. 2000 incidentov = 75% eliminovaných automatizovaným spôsobom, ktoré predstavuje „Detekcia zraniteľnosti koncových obslužných bodov “, 25% eliminovaných prostredníctvom FTE, pričom v prípade používania „Detekcia zraniteľnosti koncových obslužných bodov “ je zníženie času na elimináciu nedetegovaného incidentu nižšia o 80 % = potreba </w:t>
      </w:r>
      <w:r w:rsidRPr="00B25F2B">
        <w:rPr>
          <w:rFonts w:ascii="Arial" w:eastAsia="Calibri" w:hAnsi="Arial" w:cs="Arial"/>
          <w:b/>
          <w:bCs/>
          <w:u w:val="single"/>
        </w:rPr>
        <w:t>cca 3 FTE/ročne</w:t>
      </w:r>
    </w:p>
    <w:p w14:paraId="4E44A585" w14:textId="77777777" w:rsidR="00247216" w:rsidRDefault="00247216" w:rsidP="00F442AE">
      <w:pPr>
        <w:rPr>
          <w:rFonts w:ascii="Arial" w:hAnsi="Arial" w:cs="Arial"/>
          <w:u w:val="single"/>
        </w:rPr>
      </w:pPr>
    </w:p>
    <w:p w14:paraId="10AB7551" w14:textId="71225C87" w:rsidR="00F442AE" w:rsidRPr="00014A7F" w:rsidRDefault="00F442AE" w:rsidP="00F442AE">
      <w:pPr>
        <w:rPr>
          <w:rFonts w:ascii="Arial" w:hAnsi="Arial" w:cs="Arial"/>
          <w:u w:val="single"/>
        </w:rPr>
      </w:pPr>
      <w:r w:rsidRPr="00014A7F">
        <w:rPr>
          <w:rFonts w:ascii="Arial" w:hAnsi="Arial" w:cs="Arial"/>
          <w:u w:val="single"/>
        </w:rPr>
        <w:t>Vstupy:</w:t>
      </w:r>
    </w:p>
    <w:p w14:paraId="1CC0526F" w14:textId="409EDB92" w:rsidR="00F442AE" w:rsidRDefault="00A1098F" w:rsidP="0060015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1098F">
        <w:rPr>
          <w:rFonts w:ascii="Arial" w:hAnsi="Arial" w:cs="Arial"/>
        </w:rPr>
        <w:t xml:space="preserve">Mzdová politika zamestnávateľa NASES (priemerná celková cena práce zamestnanca je </w:t>
      </w:r>
      <w:r w:rsidR="00B43A0C">
        <w:rPr>
          <w:rFonts w:ascii="Arial" w:hAnsi="Arial" w:cs="Arial"/>
        </w:rPr>
        <w:t xml:space="preserve">25 </w:t>
      </w:r>
      <w:r w:rsidRPr="00A1098F">
        <w:rPr>
          <w:rFonts w:ascii="Arial" w:hAnsi="Arial" w:cs="Arial"/>
        </w:rPr>
        <w:t>EUR</w:t>
      </w:r>
      <w:r w:rsidR="00B43A0C">
        <w:rPr>
          <w:rFonts w:ascii="Arial" w:hAnsi="Arial" w:cs="Arial"/>
        </w:rPr>
        <w:t>/hodina CCP</w:t>
      </w:r>
      <w:r w:rsidRPr="00A1098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19273409" w14:textId="5CA265B8" w:rsidR="00A1098F" w:rsidRDefault="00DC772C" w:rsidP="0060015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Expertným odhadom predpokladáme, že počet incidentov </w:t>
      </w:r>
      <w:r w:rsidR="007042FD">
        <w:rPr>
          <w:rFonts w:ascii="Arial" w:hAnsi="Arial" w:cs="Arial"/>
        </w:rPr>
        <w:t>v</w:t>
      </w:r>
      <w:r w:rsidR="00B43A0C">
        <w:rPr>
          <w:rFonts w:ascii="Arial" w:hAnsi="Arial" w:cs="Arial"/>
        </w:rPr>
        <w:t> </w:t>
      </w:r>
      <w:r w:rsidR="007042FD">
        <w:rPr>
          <w:rFonts w:ascii="Arial" w:hAnsi="Arial" w:cs="Arial"/>
        </w:rPr>
        <w:t>rámci</w:t>
      </w:r>
      <w:r w:rsidR="00B43A0C">
        <w:rPr>
          <w:rFonts w:ascii="Arial" w:hAnsi="Arial" w:cs="Arial"/>
        </w:rPr>
        <w:t xml:space="preserve"> minimálne</w:t>
      </w:r>
      <w:r w:rsidR="007042FD">
        <w:rPr>
          <w:rFonts w:ascii="Arial" w:hAnsi="Arial" w:cs="Arial"/>
        </w:rPr>
        <w:t xml:space="preserve"> 300 tis. endpointov </w:t>
      </w:r>
      <w:r>
        <w:rPr>
          <w:rFonts w:ascii="Arial" w:hAnsi="Arial" w:cs="Arial"/>
        </w:rPr>
        <w:t xml:space="preserve">bude približne </w:t>
      </w:r>
      <w:r w:rsidR="00A1098F">
        <w:rPr>
          <w:rFonts w:ascii="Arial" w:hAnsi="Arial" w:cs="Arial"/>
        </w:rPr>
        <w:t xml:space="preserve"> </w:t>
      </w:r>
      <w:r w:rsidR="00B43A0C">
        <w:rPr>
          <w:rFonts w:ascii="Arial" w:hAnsi="Arial" w:cs="Arial"/>
        </w:rPr>
        <w:t xml:space="preserve">minimálne </w:t>
      </w:r>
      <w:r>
        <w:rPr>
          <w:rFonts w:ascii="Arial" w:hAnsi="Arial" w:cs="Arial"/>
        </w:rPr>
        <w:t>2</w:t>
      </w:r>
      <w:r w:rsidR="00A1098F">
        <w:rPr>
          <w:rFonts w:ascii="Arial" w:hAnsi="Arial" w:cs="Arial"/>
        </w:rPr>
        <w:t> 000 bezpečnostných incidentov/ročne</w:t>
      </w:r>
      <w:r>
        <w:rPr>
          <w:rFonts w:ascii="Arial" w:hAnsi="Arial" w:cs="Arial"/>
        </w:rPr>
        <w:t>;</w:t>
      </w:r>
    </w:p>
    <w:p w14:paraId="1003EA3B" w14:textId="77777777" w:rsidR="002207C8" w:rsidRDefault="00A1098F" w:rsidP="0060015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Štúdia uvádza, že identifikácia a odstránenie </w:t>
      </w:r>
      <w:r w:rsidR="002207C8">
        <w:rPr>
          <w:rFonts w:ascii="Arial" w:hAnsi="Arial" w:cs="Arial"/>
        </w:rPr>
        <w:t>„</w:t>
      </w:r>
      <w:r>
        <w:rPr>
          <w:rFonts w:ascii="Arial" w:hAnsi="Arial" w:cs="Arial"/>
        </w:rPr>
        <w:t>cloud</w:t>
      </w:r>
      <w:r w:rsidR="002207C8">
        <w:rPr>
          <w:rFonts w:ascii="Arial" w:hAnsi="Arial" w:cs="Arial"/>
        </w:rPr>
        <w:t>ového“</w:t>
      </w:r>
      <w:r>
        <w:rPr>
          <w:rFonts w:ascii="Arial" w:hAnsi="Arial" w:cs="Arial"/>
        </w:rPr>
        <w:t xml:space="preserve"> incidentu trvá </w:t>
      </w:r>
      <w:r w:rsidR="002207C8">
        <w:rPr>
          <w:rFonts w:ascii="Arial" w:hAnsi="Arial" w:cs="Arial"/>
        </w:rPr>
        <w:t xml:space="preserve">približne </w:t>
      </w:r>
      <w:r>
        <w:rPr>
          <w:rFonts w:ascii="Arial" w:hAnsi="Arial" w:cs="Arial"/>
        </w:rPr>
        <w:t>96 osobohodín</w:t>
      </w:r>
      <w:r w:rsidR="002207C8">
        <w:rPr>
          <w:rFonts w:ascii="Arial" w:hAnsi="Arial" w:cs="Arial"/>
        </w:rPr>
        <w:t>;</w:t>
      </w:r>
    </w:p>
    <w:p w14:paraId="013D8C50" w14:textId="77777777" w:rsidR="002207C8" w:rsidRDefault="002207C8" w:rsidP="00600154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Štúdia uvádza, že „inappsecurity“ </w:t>
      </w:r>
      <w:r w:rsidR="00A10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automaticky eliminuje až 75% bezpečnostných hrozieb;</w:t>
      </w:r>
    </w:p>
    <w:p w14:paraId="7CD3E5B0" w14:textId="5EAE01BD" w:rsidR="00014A7F" w:rsidRPr="00E93310" w:rsidRDefault="002207C8" w:rsidP="00E93310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73EEE">
        <w:rPr>
          <w:rFonts w:ascii="Arial" w:hAnsi="Arial" w:cs="Arial"/>
        </w:rPr>
        <w:t>Štúdia uvádza, že „</w:t>
      </w:r>
      <w:r w:rsidR="00C73EEE">
        <w:rPr>
          <w:rFonts w:ascii="Arial" w:hAnsi="Arial" w:cs="Arial"/>
        </w:rPr>
        <w:t xml:space="preserve">inappsecurity“ zníži potrebný čas </w:t>
      </w:r>
      <w:r w:rsidR="00C73EEE" w:rsidRPr="00C73EEE">
        <w:rPr>
          <w:rFonts w:ascii="Arial" w:hAnsi="Arial" w:cs="Arial"/>
        </w:rPr>
        <w:t xml:space="preserve">o 80% </w:t>
      </w:r>
      <w:r w:rsidR="00C73EEE">
        <w:rPr>
          <w:rFonts w:ascii="Arial" w:hAnsi="Arial" w:cs="Arial"/>
        </w:rPr>
        <w:t>ohľadne</w:t>
      </w:r>
      <w:r w:rsidR="00600154">
        <w:rPr>
          <w:rFonts w:ascii="Arial" w:hAnsi="Arial" w:cs="Arial"/>
        </w:rPr>
        <w:t xml:space="preserve"> identifikácie a odstránenia bezpečnostného incidentu</w:t>
      </w:r>
      <w:r w:rsidR="00C73EEE" w:rsidRPr="00C73EEE">
        <w:rPr>
          <w:rFonts w:ascii="Arial" w:hAnsi="Arial" w:cs="Arial"/>
        </w:rPr>
        <w:t xml:space="preserve"> v treťom roku používania (1. rok: 60%; 2. rok: 70%; 3. rok: 80%);</w:t>
      </w:r>
    </w:p>
    <w:p w14:paraId="681F8E07" w14:textId="77777777" w:rsidR="00014A7F" w:rsidRPr="00014A7F" w:rsidRDefault="00014A7F" w:rsidP="00014A7F">
      <w:pPr>
        <w:jc w:val="both"/>
        <w:rPr>
          <w:rFonts w:ascii="Arial" w:hAnsi="Arial" w:cs="Arial"/>
          <w:u w:val="single"/>
        </w:rPr>
      </w:pPr>
      <w:r w:rsidRPr="00014A7F">
        <w:rPr>
          <w:rFonts w:ascii="Arial" w:hAnsi="Arial" w:cs="Arial"/>
          <w:u w:val="single"/>
        </w:rPr>
        <w:t>Výsledok:</w:t>
      </w:r>
    </w:p>
    <w:p w14:paraId="1334A183" w14:textId="2594FBE5" w:rsidR="001A4E67" w:rsidRPr="00E93310" w:rsidRDefault="00014A7F" w:rsidP="00E93310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50D5C">
        <w:rPr>
          <w:rFonts w:ascii="Arial" w:hAnsi="Arial" w:cs="Arial"/>
        </w:rPr>
        <w:t>Na základe výpočtov uvedených nižšie v tabuľke č. 2 finančné vyčíslenie tohto benefitu predstavuje za referenčné obdobie troch rokov úsporu cel</w:t>
      </w:r>
      <w:r w:rsidR="00211E58">
        <w:rPr>
          <w:rFonts w:ascii="Arial" w:hAnsi="Arial" w:cs="Arial"/>
        </w:rPr>
        <w:t xml:space="preserve">kom </w:t>
      </w:r>
      <w:r w:rsidR="00B43A0C">
        <w:rPr>
          <w:rFonts w:ascii="Arial" w:hAnsi="Arial" w:cs="Arial"/>
          <w:b/>
          <w:bCs/>
        </w:rPr>
        <w:t>13 320 000,00</w:t>
      </w:r>
      <w:r w:rsidR="00211E58" w:rsidRPr="00211E58">
        <w:rPr>
          <w:rFonts w:ascii="Arial" w:hAnsi="Arial" w:cs="Arial"/>
        </w:rPr>
        <w:t xml:space="preserve"> </w:t>
      </w:r>
      <w:r w:rsidR="00D50D5C" w:rsidRPr="00D50D5C">
        <w:rPr>
          <w:rFonts w:ascii="Arial" w:hAnsi="Arial" w:cs="Arial"/>
          <w:b/>
        </w:rPr>
        <w:t>€</w:t>
      </w:r>
      <w:r w:rsidR="00D50D5C">
        <w:rPr>
          <w:rFonts w:ascii="Arial" w:hAnsi="Arial" w:cs="Arial"/>
          <w:b/>
        </w:rPr>
        <w:t>.</w:t>
      </w:r>
    </w:p>
    <w:p w14:paraId="1D989928" w14:textId="74CE1DFC" w:rsidR="00982F7F" w:rsidRPr="00E93310" w:rsidRDefault="00982F7F" w:rsidP="00E93310">
      <w:pPr>
        <w:jc w:val="both"/>
        <w:rPr>
          <w:rFonts w:ascii="Arial" w:hAnsi="Arial" w:cs="Arial"/>
        </w:rPr>
        <w:sectPr w:rsidR="00982F7F" w:rsidRPr="00E93310" w:rsidSect="00014A7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2385B9E" w14:textId="77777777" w:rsidR="00A1098F" w:rsidRDefault="00014A7F" w:rsidP="00014A7F">
      <w:pPr>
        <w:pStyle w:val="Nadpis2"/>
      </w:pPr>
      <w:bookmarkStart w:id="9" w:name="_Toc77856823"/>
      <w:r>
        <w:lastRenderedPageBreak/>
        <w:t xml:space="preserve">Tabuľka č. 2 – </w:t>
      </w:r>
      <w:r w:rsidRPr="00014A7F">
        <w:t>Zníženie času a úsilia na odstránenie vzniknutého bezpečnostného incidentu</w:t>
      </w:r>
      <w:bookmarkEnd w:id="9"/>
      <w:r w:rsidRPr="00014A7F">
        <w:t xml:space="preserve"> </w:t>
      </w:r>
    </w:p>
    <w:p w14:paraId="471F65D5" w14:textId="77777777" w:rsidR="00014A7F" w:rsidRPr="00014A7F" w:rsidRDefault="00014A7F" w:rsidP="00014A7F"/>
    <w:tbl>
      <w:tblPr>
        <w:tblW w:w="14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651"/>
        <w:gridCol w:w="4628"/>
        <w:gridCol w:w="1687"/>
        <w:gridCol w:w="1687"/>
        <w:gridCol w:w="1687"/>
        <w:gridCol w:w="1946"/>
      </w:tblGrid>
      <w:tr w:rsidR="00F36773" w:rsidRPr="00014A7F" w14:paraId="1BDAB47A" w14:textId="77777777" w:rsidTr="00014A7F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hideMark/>
          </w:tcPr>
          <w:p w14:paraId="1A928762" w14:textId="77777777" w:rsid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  <w:p w14:paraId="02606D68" w14:textId="77777777" w:rsidR="00014A7F" w:rsidRPr="005D4D2E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ID</w:t>
            </w:r>
          </w:p>
        </w:tc>
        <w:tc>
          <w:tcPr>
            <w:tcW w:w="1651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4851E81A" w14:textId="77777777" w:rsid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  <w:p w14:paraId="09420591" w14:textId="77777777" w:rsid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Popis</w:t>
            </w:r>
          </w:p>
          <w:p w14:paraId="44DC472B" w14:textId="77777777" w:rsidR="00014A7F" w:rsidRPr="005D4D2E" w:rsidRDefault="00014A7F" w:rsidP="00014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</w:tc>
        <w:tc>
          <w:tcPr>
            <w:tcW w:w="4628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51A31F00" w14:textId="77777777" w:rsidR="00014A7F" w:rsidRPr="005D4D2E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Prepočet</w:t>
            </w:r>
          </w:p>
        </w:tc>
        <w:tc>
          <w:tcPr>
            <w:tcW w:w="1687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79E92FCB" w14:textId="77777777" w:rsidR="00014A7F" w:rsidRPr="005D4D2E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1. r</w:t>
            </w: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ok </w:t>
            </w:r>
          </w:p>
        </w:tc>
        <w:tc>
          <w:tcPr>
            <w:tcW w:w="1687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01DB7510" w14:textId="77777777" w:rsidR="00014A7F" w:rsidRPr="005D4D2E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2. r</w:t>
            </w: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ok </w:t>
            </w:r>
          </w:p>
        </w:tc>
        <w:tc>
          <w:tcPr>
            <w:tcW w:w="1687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5B269318" w14:textId="77777777" w:rsidR="00014A7F" w:rsidRPr="005D4D2E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3. r</w:t>
            </w: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ok </w:t>
            </w:r>
          </w:p>
        </w:tc>
        <w:tc>
          <w:tcPr>
            <w:tcW w:w="1946" w:type="dxa"/>
            <w:tcBorders>
              <w:top w:val="single" w:sz="4" w:space="0" w:color="5B9BD5"/>
              <w:left w:val="nil"/>
              <w:bottom w:val="single" w:sz="4" w:space="0" w:color="9BC2E6"/>
              <w:right w:val="single" w:sz="4" w:space="0" w:color="5B9BD5"/>
            </w:tcBorders>
            <w:shd w:val="clear" w:color="5B9BD5" w:fill="5B9BD5"/>
            <w:noWrap/>
            <w:vAlign w:val="center"/>
            <w:hideMark/>
          </w:tcPr>
          <w:p w14:paraId="71E5E6F8" w14:textId="77777777" w:rsidR="00014A7F" w:rsidRPr="005D4D2E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Spolu</w:t>
            </w:r>
          </w:p>
        </w:tc>
      </w:tr>
      <w:tr w:rsidR="00014A7F" w:rsidRPr="00014A7F" w14:paraId="6A030488" w14:textId="77777777" w:rsidTr="00014A7F">
        <w:trPr>
          <w:trHeight w:val="12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04A73E1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B2.1</w:t>
            </w:r>
          </w:p>
        </w:tc>
        <w:tc>
          <w:tcPr>
            <w:tcW w:w="15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34C441F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Počet chránených endpointov</w:t>
            </w:r>
          </w:p>
        </w:tc>
        <w:tc>
          <w:tcPr>
            <w:tcW w:w="45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FDE3ABF" w14:textId="24245C2E" w:rsidR="00014A7F" w:rsidRPr="00014A7F" w:rsidRDefault="00B43A0C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Minimálny p</w:t>
            </w:r>
            <w:r w:rsidR="00014A7F"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lánovaný počet endpointov vyplývajúci z NP: Detekcia zraniteľnosti koncových obslužných bodov 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B8070ED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300 000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9790F22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300 000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4467FCA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300 000</w:t>
            </w:r>
          </w:p>
        </w:tc>
        <w:tc>
          <w:tcPr>
            <w:tcW w:w="194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7FA14C8F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4A7F" w:rsidRPr="00014A7F" w14:paraId="064DB88D" w14:textId="77777777" w:rsidTr="00014A7F">
        <w:trPr>
          <w:trHeight w:val="6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0D1B58B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B2.2</w:t>
            </w:r>
          </w:p>
        </w:tc>
        <w:tc>
          <w:tcPr>
            <w:tcW w:w="15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82E4AB2" w14:textId="21F10C48" w:rsidR="00014A7F" w:rsidRPr="00014A7F" w:rsidRDefault="00B43A0C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Minimálny p</w:t>
            </w:r>
            <w:r w:rsidR="00DC772C">
              <w:rPr>
                <w:rFonts w:ascii="Calibri" w:eastAsia="Times New Roman" w:hAnsi="Calibri" w:cs="Calibri"/>
                <w:color w:val="000000"/>
                <w:lang w:eastAsia="sk-SK"/>
              </w:rPr>
              <w:t>redpokladaný</w:t>
            </w:r>
            <w:r w:rsidR="00DC772C"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014A7F"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počet incidentov/rok</w:t>
            </w:r>
          </w:p>
        </w:tc>
        <w:tc>
          <w:tcPr>
            <w:tcW w:w="45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8B3F015" w14:textId="3770E925" w:rsidR="00F056EE" w:rsidRDefault="00DC772C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Expertný odhad</w:t>
            </w:r>
            <w:r w:rsidR="00014A7F"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(incidenty/rok)</w:t>
            </w:r>
            <w:r w:rsidR="00F056EE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02F46729" w14:textId="3187FAF9" w:rsidR="00014A7F" w:rsidRPr="00014A7F" w:rsidRDefault="00F056EE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Údaj zo štúdie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2630DC" w14:textId="01ACF2C2" w:rsidR="00014A7F" w:rsidRPr="00014A7F" w:rsidRDefault="00DC772C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014A7F"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52D6521" w14:textId="62E9A66F" w:rsidR="00014A7F" w:rsidRPr="00014A7F" w:rsidRDefault="00DC772C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014A7F"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8D8179" w14:textId="38A2E5BD" w:rsidR="00014A7F" w:rsidRPr="00014A7F" w:rsidRDefault="00DC772C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014A7F"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000</w:t>
            </w:r>
          </w:p>
        </w:tc>
        <w:tc>
          <w:tcPr>
            <w:tcW w:w="194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4ACDAAB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4A7F" w:rsidRPr="00014A7F" w14:paraId="45DE8B14" w14:textId="77777777" w:rsidTr="00014A7F">
        <w:trPr>
          <w:trHeight w:val="9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EADB84F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B2.3</w:t>
            </w:r>
          </w:p>
        </w:tc>
        <w:tc>
          <w:tcPr>
            <w:tcW w:w="15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984ACA8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Incidenty eliminované automaticky "inappsecurity"</w:t>
            </w:r>
          </w:p>
        </w:tc>
        <w:tc>
          <w:tcPr>
            <w:tcW w:w="45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1E0698C" w14:textId="5C546657" w:rsidR="00014A7F" w:rsidRPr="00014A7F" w:rsidRDefault="00F056EE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014A7F"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000incidentov*75%automatická eliminácia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93DE265" w14:textId="2CE6F9EA" w:rsidR="00014A7F" w:rsidRPr="00014A7F" w:rsidRDefault="00857DDD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1500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62321EC" w14:textId="340E4579" w:rsidR="00014A7F" w:rsidRPr="00014A7F" w:rsidRDefault="00857DDD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1500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CD91D6D" w14:textId="228C0707" w:rsidR="00014A7F" w:rsidRPr="00014A7F" w:rsidRDefault="00857DDD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1500</w:t>
            </w:r>
          </w:p>
        </w:tc>
        <w:tc>
          <w:tcPr>
            <w:tcW w:w="194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004A850A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4A7F" w:rsidRPr="00014A7F" w14:paraId="1B384F27" w14:textId="77777777" w:rsidTr="00014A7F">
        <w:trPr>
          <w:trHeight w:val="9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58A4BD2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B2.4</w:t>
            </w:r>
          </w:p>
        </w:tc>
        <w:tc>
          <w:tcPr>
            <w:tcW w:w="15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58B7914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Nedetekované incidenty "inappsecurity"</w:t>
            </w:r>
          </w:p>
        </w:tc>
        <w:tc>
          <w:tcPr>
            <w:tcW w:w="45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2B0BA2C" w14:textId="70F669BD" w:rsidR="00014A7F" w:rsidRPr="00014A7F" w:rsidRDefault="00F056EE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014A7F"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000incidentov*25%nedetekovaných incidentov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E315E3" w14:textId="38435B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857DD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2CB4829" w14:textId="0B18BBFA" w:rsidR="00014A7F" w:rsidRPr="00014A7F" w:rsidRDefault="00857DDD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B9C0431" w14:textId="4EF00DD5" w:rsidR="00014A7F" w:rsidRPr="00014A7F" w:rsidRDefault="00857DDD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94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5B59B317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4A7F" w:rsidRPr="00014A7F" w14:paraId="6972CDC9" w14:textId="77777777" w:rsidTr="00014A7F">
        <w:trPr>
          <w:trHeight w:val="12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A413DD1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B2.5</w:t>
            </w:r>
          </w:p>
        </w:tc>
        <w:tc>
          <w:tcPr>
            <w:tcW w:w="15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3ED730A" w14:textId="1A98B4ED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hodín na </w:t>
            </w:r>
            <w:r w:rsidR="00DC772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zistenie a </w:t>
            </w: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odstránenie nedetekovaných incidentov</w:t>
            </w:r>
          </w:p>
        </w:tc>
        <w:tc>
          <w:tcPr>
            <w:tcW w:w="45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76300A1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Údaj zo štúdie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C1BEA98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96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6039558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96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2853FCA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96</w:t>
            </w:r>
          </w:p>
        </w:tc>
        <w:tc>
          <w:tcPr>
            <w:tcW w:w="194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3CECF4A9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4A7F" w:rsidRPr="00014A7F" w14:paraId="095BF35E" w14:textId="77777777" w:rsidTr="00014A7F">
        <w:trPr>
          <w:trHeight w:val="15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4D826A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B2.6</w:t>
            </w:r>
          </w:p>
        </w:tc>
        <w:tc>
          <w:tcPr>
            <w:tcW w:w="15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C911A03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Zníženie času na elimináciu nedetekovaného incidentu "inappsecurity"</w:t>
            </w:r>
          </w:p>
        </w:tc>
        <w:tc>
          <w:tcPr>
            <w:tcW w:w="45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59FC885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Údaj zo štúdie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DDC7195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60%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CFE1DBF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70%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BC80034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80%</w:t>
            </w:r>
          </w:p>
        </w:tc>
        <w:tc>
          <w:tcPr>
            <w:tcW w:w="194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2BCA03C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4A7F" w:rsidRPr="00014A7F" w14:paraId="586FB6D4" w14:textId="77777777" w:rsidTr="00014A7F">
        <w:trPr>
          <w:trHeight w:val="12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7942143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B2.7</w:t>
            </w:r>
          </w:p>
        </w:tc>
        <w:tc>
          <w:tcPr>
            <w:tcW w:w="15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8CCBF15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>Priemerná hodinová mzda pracovníka bezpečnosti NASES (Celková cena práce)</w:t>
            </w:r>
          </w:p>
        </w:tc>
        <w:tc>
          <w:tcPr>
            <w:tcW w:w="45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1CB8E39" w14:textId="6A4F7E11" w:rsidR="00014A7F" w:rsidRPr="00014A7F" w:rsidRDefault="00B43A0C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CCP/hodina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91C1BD0" w14:textId="06A43C4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</w:t>
            </w: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B43A0C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 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663E51D" w14:textId="65A92B0F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</w:t>
            </w:r>
            <w:r w:rsidR="00B43A0C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 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1594840" w14:textId="25E5D24A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</w:t>
            </w:r>
            <w:r w:rsidR="00B43A0C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  <w:r w:rsidRPr="00014A7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 </w:t>
            </w:r>
          </w:p>
        </w:tc>
        <w:tc>
          <w:tcPr>
            <w:tcW w:w="194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39359A5D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14A7F" w:rsidRPr="00014A7F" w14:paraId="560550FD" w14:textId="77777777" w:rsidTr="00014A7F">
        <w:trPr>
          <w:trHeight w:val="12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0C5C313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Arg B2</w:t>
            </w:r>
          </w:p>
        </w:tc>
        <w:tc>
          <w:tcPr>
            <w:tcW w:w="15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DD9847F" w14:textId="7777777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Výsledok</w:t>
            </w:r>
          </w:p>
        </w:tc>
        <w:tc>
          <w:tcPr>
            <w:tcW w:w="451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CBCD8C0" w14:textId="1AE8690A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(750incidentov*96hodín*</w:t>
            </w:r>
            <w:r w:rsidR="00B43A0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25</w:t>
            </w: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EUR) + (250incidentov*96hodín*60%redukcia*</w:t>
            </w:r>
            <w:r w:rsidR="00B43A0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25</w:t>
            </w: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EUR)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3D404B5" w14:textId="61125B67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    </w:t>
            </w:r>
            <w:r w:rsidR="00B43A0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4 320 000,00</w:t>
            </w: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€ 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7C56E1E" w14:textId="18497628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    </w:t>
            </w:r>
            <w:r w:rsidR="00B43A0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4 440 000,00</w:t>
            </w: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€ </w:t>
            </w:r>
          </w:p>
        </w:tc>
        <w:tc>
          <w:tcPr>
            <w:tcW w:w="16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6B371F0" w14:textId="55469A0C" w:rsidR="00DC772C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    </w:t>
            </w:r>
            <w:r w:rsidR="00B43A0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4 560 000,00</w:t>
            </w: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</w:p>
          <w:p w14:paraId="4C1E50FC" w14:textId="57AB0389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€ </w:t>
            </w:r>
          </w:p>
        </w:tc>
        <w:tc>
          <w:tcPr>
            <w:tcW w:w="194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3A4FBEF3" w14:textId="10909D12" w:rsidR="00B43A0C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           </w:t>
            </w:r>
            <w:r w:rsidR="00B43A0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13 320 000</w:t>
            </w:r>
          </w:p>
          <w:p w14:paraId="4215B674" w14:textId="55E7D7D4" w:rsidR="00014A7F" w:rsidRPr="00014A7F" w:rsidRDefault="00014A7F" w:rsidP="0001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14A7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€ </w:t>
            </w:r>
          </w:p>
        </w:tc>
      </w:tr>
    </w:tbl>
    <w:p w14:paraId="2500D360" w14:textId="77777777" w:rsidR="00D50D5C" w:rsidRDefault="00D50D5C" w:rsidP="00014A7F">
      <w:pPr>
        <w:sectPr w:rsidR="00D50D5C" w:rsidSect="00014A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BB9DF12" w14:textId="77777777" w:rsidR="00D50D5C" w:rsidRDefault="00D50D5C" w:rsidP="00D50D5C">
      <w:pPr>
        <w:pStyle w:val="Nadpis1"/>
        <w:numPr>
          <w:ilvl w:val="0"/>
          <w:numId w:val="2"/>
        </w:numPr>
      </w:pPr>
      <w:bookmarkStart w:id="10" w:name="_Toc77856824"/>
      <w:r w:rsidRPr="00D50D5C">
        <w:lastRenderedPageBreak/>
        <w:t>Zníženie pravdepodobnosti úniku dát</w:t>
      </w:r>
      <w:bookmarkEnd w:id="10"/>
      <w:r w:rsidRPr="00D50D5C">
        <w:t xml:space="preserve"> </w:t>
      </w:r>
    </w:p>
    <w:p w14:paraId="14AF7D2C" w14:textId="77777777" w:rsidR="00A12532" w:rsidRPr="00A12532" w:rsidRDefault="00A12532" w:rsidP="00A12532"/>
    <w:p w14:paraId="2B61CD56" w14:textId="77777777" w:rsidR="00D50D5C" w:rsidRDefault="00D50D5C" w:rsidP="00D50D5C">
      <w:pPr>
        <w:rPr>
          <w:rFonts w:ascii="Arial" w:hAnsi="Arial" w:cs="Arial"/>
          <w:u w:val="single"/>
        </w:rPr>
      </w:pPr>
      <w:r w:rsidRPr="00D50D5C">
        <w:rPr>
          <w:rFonts w:ascii="Arial" w:hAnsi="Arial" w:cs="Arial"/>
          <w:u w:val="single"/>
        </w:rPr>
        <w:t>Vstupy:</w:t>
      </w:r>
    </w:p>
    <w:p w14:paraId="620F399A" w14:textId="026F6536" w:rsidR="00D50D5C" w:rsidRDefault="00D50D5C" w:rsidP="005C350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50D5C">
        <w:rPr>
          <w:rFonts w:ascii="Arial" w:hAnsi="Arial" w:cs="Arial"/>
        </w:rPr>
        <w:t>Štúdia uvádza,</w:t>
      </w:r>
      <w:r>
        <w:rPr>
          <w:rFonts w:ascii="Arial" w:hAnsi="Arial" w:cs="Arial"/>
        </w:rPr>
        <w:t xml:space="preserve"> ž</w:t>
      </w:r>
      <w:r w:rsidR="006113B0">
        <w:rPr>
          <w:rFonts w:ascii="Arial" w:hAnsi="Arial" w:cs="Arial"/>
        </w:rPr>
        <w:t>e priemerná finančná hodnota dáta</w:t>
      </w:r>
      <w:r>
        <w:rPr>
          <w:rFonts w:ascii="Arial" w:hAnsi="Arial" w:cs="Arial"/>
        </w:rPr>
        <w:t xml:space="preserve"> je 10 $ (</w:t>
      </w:r>
      <w:r w:rsidR="006113B0">
        <w:rPr>
          <w:rFonts w:ascii="Arial" w:hAnsi="Arial" w:cs="Arial"/>
        </w:rPr>
        <w:t xml:space="preserve">Kurz NBS ku dňu 18.3.2021 je </w:t>
      </w:r>
      <w:r w:rsidR="006113B0" w:rsidRPr="006113B0">
        <w:rPr>
          <w:rFonts w:ascii="Arial" w:hAnsi="Arial" w:cs="Arial"/>
        </w:rPr>
        <w:t>1.1907</w:t>
      </w:r>
      <w:r w:rsidR="00611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</w:t>
      </w:r>
      <w:r w:rsidR="006113B0">
        <w:rPr>
          <w:rFonts w:ascii="Arial" w:hAnsi="Arial" w:cs="Arial"/>
        </w:rPr>
        <w:t>/USD; Prepočet: 10</w:t>
      </w:r>
      <w:r w:rsidR="00F515F8">
        <w:rPr>
          <w:rFonts w:ascii="Arial" w:hAnsi="Arial" w:cs="Arial"/>
        </w:rPr>
        <w:t>/</w:t>
      </w:r>
      <w:r w:rsidR="006113B0">
        <w:rPr>
          <w:rFonts w:ascii="Arial" w:hAnsi="Arial" w:cs="Arial"/>
        </w:rPr>
        <w:t>1.1907=</w:t>
      </w:r>
      <w:r w:rsidR="00F515F8">
        <w:rPr>
          <w:rFonts w:ascii="Arial" w:hAnsi="Arial" w:cs="Arial"/>
        </w:rPr>
        <w:t>8,40</w:t>
      </w:r>
      <w:r w:rsidR="006113B0">
        <w:rPr>
          <w:rFonts w:ascii="Arial" w:hAnsi="Arial" w:cs="Arial"/>
        </w:rPr>
        <w:t xml:space="preserve"> EUR);</w:t>
      </w:r>
    </w:p>
    <w:p w14:paraId="7D21AF38" w14:textId="77777777" w:rsidR="006113B0" w:rsidRDefault="006113B0" w:rsidP="005C350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50D5C">
        <w:rPr>
          <w:rFonts w:ascii="Arial" w:hAnsi="Arial" w:cs="Arial"/>
        </w:rPr>
        <w:t>Štúdia uvádza,</w:t>
      </w:r>
      <w:r>
        <w:rPr>
          <w:rFonts w:ascii="Arial" w:hAnsi="Arial" w:cs="Arial"/>
        </w:rPr>
        <w:t xml:space="preserve"> že pravdepodobnosť</w:t>
      </w:r>
      <w:r w:rsidR="005C350B">
        <w:rPr>
          <w:rFonts w:ascii="Arial" w:hAnsi="Arial" w:cs="Arial"/>
        </w:rPr>
        <w:t xml:space="preserve"> objemu</w:t>
      </w:r>
      <w:r>
        <w:rPr>
          <w:rFonts w:ascii="Arial" w:hAnsi="Arial" w:cs="Arial"/>
        </w:rPr>
        <w:t xml:space="preserve"> úniku dát je 1,5%;</w:t>
      </w:r>
    </w:p>
    <w:p w14:paraId="104BF53A" w14:textId="77777777" w:rsidR="006113B0" w:rsidRDefault="006113B0" w:rsidP="005C350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D50D5C">
        <w:rPr>
          <w:rFonts w:ascii="Arial" w:hAnsi="Arial" w:cs="Arial"/>
        </w:rPr>
        <w:t>Štúdia uvádza,</w:t>
      </w:r>
      <w:r>
        <w:rPr>
          <w:rFonts w:ascii="Arial" w:hAnsi="Arial" w:cs="Arial"/>
        </w:rPr>
        <w:t xml:space="preserve"> že „inappsecurity“ dokáže znížiť pravdepodobnosť úniku dát o 40% v treťom roku používania (1. rok 30%; 2. rok 35%; 3. rok 40%);</w:t>
      </w:r>
    </w:p>
    <w:p w14:paraId="4D0B6B8A" w14:textId="71E829B0" w:rsidR="005C350B" w:rsidRDefault="006113B0" w:rsidP="005C350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biznis transakcií za rok 2020 v rámci </w:t>
      </w:r>
      <w:r w:rsidR="005C350B">
        <w:rPr>
          <w:rFonts w:ascii="Arial" w:hAnsi="Arial" w:cs="Arial"/>
        </w:rPr>
        <w:t>ÚPVS bolo v objeme 3</w:t>
      </w:r>
      <w:r w:rsidR="00F515F8">
        <w:rPr>
          <w:rFonts w:ascii="Arial" w:hAnsi="Arial" w:cs="Arial"/>
        </w:rPr>
        <w:t>2 116 163</w:t>
      </w:r>
      <w:r w:rsidR="005C350B">
        <w:rPr>
          <w:rFonts w:ascii="Arial" w:hAnsi="Arial" w:cs="Arial"/>
        </w:rPr>
        <w:t xml:space="preserve"> dát (Oznámenia, Podania, Rozhodnutia,  Rozpracované, Odoslané)</w:t>
      </w:r>
      <w:r w:rsidR="005C350B">
        <w:rPr>
          <w:rStyle w:val="Odkaznapoznmkupodiarou"/>
          <w:rFonts w:ascii="Arial" w:hAnsi="Arial" w:cs="Arial"/>
        </w:rPr>
        <w:footnoteReference w:id="2"/>
      </w:r>
    </w:p>
    <w:p w14:paraId="4A29732F" w14:textId="77777777" w:rsidR="006113B0" w:rsidRDefault="005C350B" w:rsidP="005C350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aktivovaných el. schránok k 31.12.2020 bolo v celkovom počte 584 722 (FO, PO a OVM)</w:t>
      </w:r>
      <w:r>
        <w:rPr>
          <w:rStyle w:val="Odkaznapoznmkupodiarou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</w:p>
    <w:p w14:paraId="58A16DDE" w14:textId="77777777" w:rsidR="00163817" w:rsidRPr="00E93310" w:rsidRDefault="00163817" w:rsidP="00163817">
      <w:pPr>
        <w:jc w:val="both"/>
        <w:rPr>
          <w:rFonts w:ascii="Arial" w:hAnsi="Arial" w:cs="Arial"/>
          <w:u w:val="single"/>
        </w:rPr>
      </w:pPr>
      <w:r w:rsidRPr="00E93310">
        <w:rPr>
          <w:rFonts w:ascii="Arial" w:hAnsi="Arial" w:cs="Arial"/>
          <w:u w:val="single"/>
        </w:rPr>
        <w:t>Relevancia vstupu jednotlivých biznis transakcií do výpočtu prínosov:</w:t>
      </w:r>
    </w:p>
    <w:p w14:paraId="4400CDF7" w14:textId="77777777" w:rsidR="00163817" w:rsidRDefault="00163817" w:rsidP="0016381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D2FE3">
        <w:rPr>
          <w:rFonts w:ascii="Arial" w:hAnsi="Arial" w:cs="Arial"/>
          <w:b/>
          <w:bCs/>
          <w:u w:val="single"/>
        </w:rPr>
        <w:t>Oznámenia</w:t>
      </w:r>
      <w:r>
        <w:rPr>
          <w:rFonts w:ascii="Arial" w:hAnsi="Arial" w:cs="Arial"/>
        </w:rPr>
        <w:t xml:space="preserve"> – elektronické správy, ktoré sa nedoručujú do vlastných, rúk, typické podnety alebo elektronické správy, ktoré sú zasielané OVM a nemajú charakter rozhodnutia,  obsahujú citlivé a osobné údaje;</w:t>
      </w:r>
    </w:p>
    <w:p w14:paraId="6DEA6148" w14:textId="77777777" w:rsidR="00163817" w:rsidRDefault="00163817" w:rsidP="0016381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D2FE3">
        <w:rPr>
          <w:rFonts w:ascii="Arial" w:hAnsi="Arial" w:cs="Arial"/>
          <w:b/>
          <w:bCs/>
          <w:u w:val="single"/>
        </w:rPr>
        <w:t>Podanie</w:t>
      </w:r>
      <w:r>
        <w:rPr>
          <w:rFonts w:ascii="Arial" w:hAnsi="Arial" w:cs="Arial"/>
        </w:rPr>
        <w:t xml:space="preserve"> - el. správ, ktoré posielajú prostredníctvom el. služby fyzické alebo právnické osoby, (väčšinou ide o návrh začatia konania respektíve využívanie el. služieb, v momente, keď sa PO a FO vyskytnú v určitých životných situáciách), obsahujú citlivé a osobné údaje; </w:t>
      </w:r>
    </w:p>
    <w:p w14:paraId="53A2FE37" w14:textId="77777777" w:rsidR="00163817" w:rsidRDefault="00163817" w:rsidP="0016381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D2FE3">
        <w:rPr>
          <w:rFonts w:ascii="Arial" w:hAnsi="Arial" w:cs="Arial"/>
          <w:b/>
          <w:bCs/>
          <w:u w:val="single"/>
        </w:rPr>
        <w:t>Rozhodnutia</w:t>
      </w:r>
      <w:r>
        <w:rPr>
          <w:rFonts w:ascii="Arial" w:hAnsi="Arial" w:cs="Arial"/>
        </w:rPr>
        <w:t xml:space="preserve"> – el. správy zasielane OVM, ktoré ukladajú práva a povinnosti pre FO a PO a sú vynútiteľné štátnou mocou, obsahujú citlivé a osobné údaje;</w:t>
      </w:r>
    </w:p>
    <w:p w14:paraId="2EFF75F3" w14:textId="77777777" w:rsidR="00163817" w:rsidRDefault="00163817" w:rsidP="0016381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D2FE3">
        <w:rPr>
          <w:rFonts w:ascii="Arial" w:hAnsi="Arial" w:cs="Arial"/>
          <w:b/>
          <w:bCs/>
          <w:u w:val="single"/>
        </w:rPr>
        <w:t>Rozpracovan</w:t>
      </w:r>
      <w:r>
        <w:rPr>
          <w:rFonts w:ascii="Arial" w:hAnsi="Arial" w:cs="Arial"/>
          <w:b/>
          <w:bCs/>
          <w:u w:val="single"/>
        </w:rPr>
        <w:t>é</w:t>
      </w:r>
      <w:r>
        <w:rPr>
          <w:rFonts w:ascii="Arial" w:hAnsi="Arial" w:cs="Arial"/>
        </w:rPr>
        <w:t xml:space="preserve"> – el. správy, ktoré môžu byť Podania, Oznámenia a Rozhodnutia a sú uložené priebežne v el. schránke ešte pred odoslaním, obsahujú citlivé a osobné údaje;</w:t>
      </w:r>
    </w:p>
    <w:p w14:paraId="195CA952" w14:textId="6F28DD89" w:rsidR="00163817" w:rsidRPr="00CD2FE3" w:rsidRDefault="00163817" w:rsidP="00163817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CD2FE3">
        <w:rPr>
          <w:rFonts w:ascii="Arial" w:hAnsi="Arial" w:cs="Arial"/>
          <w:b/>
          <w:bCs/>
          <w:u w:val="single"/>
        </w:rPr>
        <w:t>Odoslan</w:t>
      </w:r>
      <w:r>
        <w:rPr>
          <w:rFonts w:ascii="Arial" w:hAnsi="Arial" w:cs="Arial"/>
          <w:b/>
          <w:bCs/>
          <w:u w:val="single"/>
        </w:rPr>
        <w:t>é</w:t>
      </w:r>
      <w:r>
        <w:rPr>
          <w:rFonts w:ascii="Arial" w:hAnsi="Arial" w:cs="Arial"/>
        </w:rPr>
        <w:t xml:space="preserve"> – uloženie odoslaných el. správ v rámci integrácie do „sent to outbox“, elektronická služba integračného rozhrania, obsahujú citlivé a osobné údaje;</w:t>
      </w:r>
    </w:p>
    <w:p w14:paraId="6C926EF0" w14:textId="77777777" w:rsidR="00163817" w:rsidRDefault="00163817" w:rsidP="00251C72">
      <w:pPr>
        <w:jc w:val="both"/>
        <w:rPr>
          <w:rFonts w:ascii="Arial" w:hAnsi="Arial" w:cs="Arial"/>
          <w:u w:val="single"/>
        </w:rPr>
      </w:pPr>
    </w:p>
    <w:p w14:paraId="3334BB0D" w14:textId="267834E8" w:rsidR="00251C72" w:rsidRPr="005846FE" w:rsidRDefault="00251C72" w:rsidP="00251C72">
      <w:pPr>
        <w:jc w:val="both"/>
        <w:rPr>
          <w:rFonts w:ascii="Arial" w:hAnsi="Arial" w:cs="Arial"/>
          <w:u w:val="single"/>
        </w:rPr>
      </w:pPr>
      <w:r w:rsidRPr="005846FE">
        <w:rPr>
          <w:rFonts w:ascii="Arial" w:hAnsi="Arial" w:cs="Arial"/>
          <w:u w:val="single"/>
        </w:rPr>
        <w:t>Výsledok:</w:t>
      </w:r>
    </w:p>
    <w:p w14:paraId="08F8A78F" w14:textId="72944162" w:rsidR="00251C72" w:rsidRPr="00E93310" w:rsidRDefault="00251C72" w:rsidP="00251C72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251C72">
        <w:rPr>
          <w:rFonts w:ascii="Arial" w:hAnsi="Arial" w:cs="Arial"/>
        </w:rPr>
        <w:t xml:space="preserve">Na základe výpočtov uvedených nižšie v tabuľke č. </w:t>
      </w:r>
      <w:r>
        <w:rPr>
          <w:rFonts w:ascii="Arial" w:hAnsi="Arial" w:cs="Arial"/>
        </w:rPr>
        <w:t>3</w:t>
      </w:r>
      <w:r w:rsidRPr="00251C72">
        <w:rPr>
          <w:rFonts w:ascii="Arial" w:hAnsi="Arial" w:cs="Arial"/>
        </w:rPr>
        <w:t xml:space="preserve"> finančné vyčíslenie tohto benefitu predstavuje za referenčné obdobie troch rokov úsporu celkom</w:t>
      </w:r>
      <w:r>
        <w:rPr>
          <w:rFonts w:ascii="Arial" w:hAnsi="Arial" w:cs="Arial"/>
        </w:rPr>
        <w:t xml:space="preserve"> </w:t>
      </w:r>
      <w:r w:rsidR="00F515F8" w:rsidRPr="00E93310">
        <w:rPr>
          <w:rFonts w:ascii="Arial" w:hAnsi="Arial" w:cs="Arial"/>
          <w:b/>
          <w:bCs/>
        </w:rPr>
        <w:t xml:space="preserve">2 142 857,14 </w:t>
      </w:r>
      <w:r w:rsidRPr="00E93310">
        <w:rPr>
          <w:rFonts w:ascii="Arial" w:hAnsi="Arial" w:cs="Arial"/>
          <w:b/>
          <w:bCs/>
        </w:rPr>
        <w:t>€.</w:t>
      </w:r>
    </w:p>
    <w:p w14:paraId="4640D784" w14:textId="74D14F6E" w:rsidR="005C350B" w:rsidRDefault="005C350B" w:rsidP="00EE42D8">
      <w:pPr>
        <w:pStyle w:val="Odsekzoznamu"/>
        <w:jc w:val="both"/>
        <w:rPr>
          <w:rFonts w:ascii="Arial" w:hAnsi="Arial" w:cs="Arial"/>
        </w:rPr>
      </w:pPr>
    </w:p>
    <w:p w14:paraId="3CA9BF46" w14:textId="77777777" w:rsidR="00EE42D8" w:rsidRDefault="00EE42D8" w:rsidP="00EE42D8">
      <w:pPr>
        <w:pStyle w:val="Odsekzoznamu"/>
        <w:jc w:val="both"/>
        <w:rPr>
          <w:rFonts w:ascii="Arial" w:hAnsi="Arial" w:cs="Arial"/>
        </w:rPr>
      </w:pPr>
    </w:p>
    <w:p w14:paraId="2037DF96" w14:textId="77777777" w:rsidR="00EE42D8" w:rsidRPr="00E93310" w:rsidRDefault="00EE42D8" w:rsidP="00E93310">
      <w:pPr>
        <w:jc w:val="both"/>
        <w:rPr>
          <w:rFonts w:ascii="Arial" w:hAnsi="Arial" w:cs="Arial"/>
        </w:rPr>
      </w:pPr>
    </w:p>
    <w:p w14:paraId="1A8946C6" w14:textId="77777777" w:rsidR="00EE42D8" w:rsidRDefault="00EE42D8" w:rsidP="00EE42D8">
      <w:pPr>
        <w:pStyle w:val="Odsekzoznamu"/>
        <w:jc w:val="both"/>
        <w:rPr>
          <w:rFonts w:ascii="Arial" w:hAnsi="Arial" w:cs="Arial"/>
        </w:rPr>
      </w:pPr>
    </w:p>
    <w:p w14:paraId="1F6CE622" w14:textId="77777777" w:rsidR="00251C72" w:rsidRPr="00251C72" w:rsidRDefault="00251C72" w:rsidP="00251C72">
      <w:pPr>
        <w:jc w:val="both"/>
        <w:rPr>
          <w:rFonts w:ascii="Arial" w:hAnsi="Arial" w:cs="Arial"/>
        </w:rPr>
        <w:sectPr w:rsidR="00251C72" w:rsidRPr="00251C72" w:rsidSect="00D50D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C575C7" w14:textId="77777777" w:rsidR="00EE42D8" w:rsidRDefault="00251C72" w:rsidP="00251C72">
      <w:pPr>
        <w:pStyle w:val="Nadpis2"/>
      </w:pPr>
      <w:bookmarkStart w:id="11" w:name="_Toc77856825"/>
      <w:r>
        <w:lastRenderedPageBreak/>
        <w:t xml:space="preserve">Tabuľka č. 3 - </w:t>
      </w:r>
      <w:r w:rsidRPr="00251C72">
        <w:t>Zníženie pravdepodobnosti úniku dát</w:t>
      </w:r>
      <w:bookmarkEnd w:id="11"/>
      <w:r w:rsidRPr="00251C72">
        <w:t xml:space="preserve"> </w:t>
      </w:r>
    </w:p>
    <w:p w14:paraId="45441B73" w14:textId="77777777" w:rsidR="00251C72" w:rsidRDefault="00251C72" w:rsidP="00251C72"/>
    <w:tbl>
      <w:tblPr>
        <w:tblW w:w="1431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539"/>
        <w:gridCol w:w="2552"/>
        <w:gridCol w:w="1984"/>
        <w:gridCol w:w="2126"/>
        <w:gridCol w:w="1990"/>
        <w:gridCol w:w="2126"/>
      </w:tblGrid>
      <w:tr w:rsidR="00251C72" w:rsidRPr="00251C72" w14:paraId="203EC864" w14:textId="77777777" w:rsidTr="00251C72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hideMark/>
          </w:tcPr>
          <w:p w14:paraId="60DDE18B" w14:textId="77777777" w:rsidR="00251C72" w:rsidRDefault="00251C72" w:rsidP="0025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  <w:p w14:paraId="3B227860" w14:textId="77777777" w:rsidR="00251C72" w:rsidRPr="005D4D2E" w:rsidRDefault="00251C72" w:rsidP="0025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ID</w:t>
            </w:r>
          </w:p>
        </w:tc>
        <w:tc>
          <w:tcPr>
            <w:tcW w:w="253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3470BD6A" w14:textId="77777777" w:rsidR="00251C72" w:rsidRDefault="00251C72" w:rsidP="0025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  <w:p w14:paraId="641F4A5F" w14:textId="77777777" w:rsidR="00251C72" w:rsidRDefault="00251C72" w:rsidP="0025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Popis</w:t>
            </w:r>
          </w:p>
          <w:p w14:paraId="1F750790" w14:textId="77777777" w:rsidR="00251C72" w:rsidRPr="005D4D2E" w:rsidRDefault="00251C72" w:rsidP="00251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67AFEC1D" w14:textId="77777777" w:rsidR="00251C72" w:rsidRPr="005D4D2E" w:rsidRDefault="00251C72" w:rsidP="0025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Prepočet</w:t>
            </w:r>
          </w:p>
        </w:tc>
        <w:tc>
          <w:tcPr>
            <w:tcW w:w="1984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6301F557" w14:textId="77777777" w:rsidR="00251C72" w:rsidRPr="005D4D2E" w:rsidRDefault="00251C72" w:rsidP="0025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1. r</w:t>
            </w: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ok </w:t>
            </w:r>
          </w:p>
        </w:tc>
        <w:tc>
          <w:tcPr>
            <w:tcW w:w="2126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5D2DFE85" w14:textId="77777777" w:rsidR="00251C72" w:rsidRPr="005D4D2E" w:rsidRDefault="00251C72" w:rsidP="0025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2. r</w:t>
            </w: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ok </w:t>
            </w:r>
          </w:p>
        </w:tc>
        <w:tc>
          <w:tcPr>
            <w:tcW w:w="1990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488A0E15" w14:textId="77777777" w:rsidR="00251C72" w:rsidRPr="005D4D2E" w:rsidRDefault="00251C72" w:rsidP="0025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3. r</w:t>
            </w: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ok </w:t>
            </w:r>
          </w:p>
        </w:tc>
        <w:tc>
          <w:tcPr>
            <w:tcW w:w="2126" w:type="dxa"/>
            <w:tcBorders>
              <w:top w:val="single" w:sz="4" w:space="0" w:color="5B9BD5"/>
              <w:left w:val="nil"/>
              <w:bottom w:val="single" w:sz="4" w:space="0" w:color="9BC2E6"/>
              <w:right w:val="single" w:sz="4" w:space="0" w:color="5B9BD5"/>
            </w:tcBorders>
            <w:shd w:val="clear" w:color="5B9BD5" w:fill="5B9BD5"/>
            <w:noWrap/>
            <w:vAlign w:val="center"/>
            <w:hideMark/>
          </w:tcPr>
          <w:p w14:paraId="734B0654" w14:textId="77777777" w:rsidR="00251C72" w:rsidRPr="005D4D2E" w:rsidRDefault="00251C72" w:rsidP="0025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5D4D2E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Spolu</w:t>
            </w:r>
          </w:p>
        </w:tc>
      </w:tr>
      <w:tr w:rsidR="00F515F8" w:rsidRPr="00251C72" w14:paraId="07E08F9C" w14:textId="77777777" w:rsidTr="00251C72">
        <w:trPr>
          <w:trHeight w:val="15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39A722E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C3.1</w:t>
            </w:r>
          </w:p>
        </w:tc>
        <w:tc>
          <w:tcPr>
            <w:tcW w:w="25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71B1DFB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Počet chránených dát</w:t>
            </w:r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65A2D21" w14:textId="759EBA5C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Cca 5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dát na používateľa ÚPVS (</w:t>
            </w:r>
            <w:r w:rsidRPr="00F515F8">
              <w:rPr>
                <w:rFonts w:ascii="Calibri" w:eastAsia="Times New Roman" w:hAnsi="Calibri" w:cs="Calibri"/>
                <w:color w:val="000000"/>
                <w:lang w:eastAsia="sk-SK"/>
              </w:rPr>
              <w:t>32 116 163</w:t>
            </w:r>
            <w:r w:rsidRPr="00F515F8" w:rsidDel="00F515F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biznis transakcií(dát)/ 584 722aktívnych el. schránok)*</w:t>
            </w: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>300 000 endpointov</w:t>
            </w:r>
          </w:p>
        </w:tc>
        <w:tc>
          <w:tcPr>
            <w:tcW w:w="19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C822A13" w14:textId="65606331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16 200 000,00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894E1A3" w14:textId="3DCA2DBC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16 200 000,00 </w:t>
            </w:r>
          </w:p>
        </w:tc>
        <w:tc>
          <w:tcPr>
            <w:tcW w:w="19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2A0EFAD" w14:textId="10496476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16 200 000,00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131781F0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515F8" w:rsidRPr="00251C72" w14:paraId="388A5BA6" w14:textId="77777777" w:rsidTr="00251C72">
        <w:trPr>
          <w:trHeight w:val="6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CF208B8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C3.2</w:t>
            </w:r>
          </w:p>
        </w:tc>
        <w:tc>
          <w:tcPr>
            <w:tcW w:w="25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C456BC2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Priemerná hodnota dáta (data asset)</w:t>
            </w:r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E43E76B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Údaj zo štúdie</w:t>
            </w:r>
          </w:p>
        </w:tc>
        <w:tc>
          <w:tcPr>
            <w:tcW w:w="19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11A3C0" w14:textId="0A517498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8,40 €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5C3D936" w14:textId="71F2ADAD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8,40 € </w:t>
            </w:r>
          </w:p>
        </w:tc>
        <w:tc>
          <w:tcPr>
            <w:tcW w:w="19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570CC01" w14:textId="05FDCA7A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8,40 €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34EFE9A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515F8" w:rsidRPr="00251C72" w14:paraId="6345FE92" w14:textId="77777777" w:rsidTr="00251C72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EEAB2F7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C3.3</w:t>
            </w:r>
          </w:p>
        </w:tc>
        <w:tc>
          <w:tcPr>
            <w:tcW w:w="25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CE08864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Celková hodnota dát</w:t>
            </w:r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CDD5C4A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C3.1*C3.2</w:t>
            </w:r>
          </w:p>
        </w:tc>
        <w:tc>
          <w:tcPr>
            <w:tcW w:w="19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32A5561" w14:textId="744D4AE9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136 054 421,77 €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A1A438D" w14:textId="2EB691C0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136 054 421,77 € </w:t>
            </w:r>
          </w:p>
        </w:tc>
        <w:tc>
          <w:tcPr>
            <w:tcW w:w="19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C9E65D9" w14:textId="2D023D3B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136 054 421,77 €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33B5DF58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515F8" w:rsidRPr="00251C72" w14:paraId="67EBED05" w14:textId="77777777" w:rsidTr="00251C72">
        <w:trPr>
          <w:trHeight w:val="6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F440B72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C3.4</w:t>
            </w:r>
          </w:p>
        </w:tc>
        <w:tc>
          <w:tcPr>
            <w:tcW w:w="25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077D72D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Pravdepodobnosť úniku dát bez "inappsecurity"</w:t>
            </w:r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086AD1E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Údaj zo štúdie</w:t>
            </w:r>
          </w:p>
        </w:tc>
        <w:tc>
          <w:tcPr>
            <w:tcW w:w="19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9AC3495" w14:textId="49F3C90A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1,50%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E6A2C6B" w14:textId="28745ED9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1,50%</w:t>
            </w:r>
          </w:p>
        </w:tc>
        <w:tc>
          <w:tcPr>
            <w:tcW w:w="19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A36DB1E" w14:textId="136778FC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1,50%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580C3FE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515F8" w:rsidRPr="00251C72" w14:paraId="5850CC01" w14:textId="77777777" w:rsidTr="00251C72">
        <w:trPr>
          <w:trHeight w:val="9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0F0BB7F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C3.5</w:t>
            </w:r>
          </w:p>
        </w:tc>
        <w:tc>
          <w:tcPr>
            <w:tcW w:w="25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E55D972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Potencionálny finančný dopad na únik dát </w:t>
            </w:r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E83A9E2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C3.3*C3.4</w:t>
            </w:r>
          </w:p>
        </w:tc>
        <w:tc>
          <w:tcPr>
            <w:tcW w:w="19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C18F0CE" w14:textId="247A2CFB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2 040 816,33 €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3DB0766" w14:textId="7E1C5353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2 040 816,33 € </w:t>
            </w:r>
          </w:p>
        </w:tc>
        <w:tc>
          <w:tcPr>
            <w:tcW w:w="19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4B79192" w14:textId="1FB5958F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2 040 816,33 €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21586CC0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515F8" w:rsidRPr="00251C72" w14:paraId="07309072" w14:textId="77777777" w:rsidTr="00251C72">
        <w:trPr>
          <w:trHeight w:val="15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EAF1C6E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C3.6</w:t>
            </w:r>
          </w:p>
        </w:tc>
        <w:tc>
          <w:tcPr>
            <w:tcW w:w="25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EE2682E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Zníženie pravdepodobnosti úniku dát implementovaním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"inappsecurity"</w:t>
            </w:r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C35360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Údaj zo štúdie</w:t>
            </w:r>
          </w:p>
        </w:tc>
        <w:tc>
          <w:tcPr>
            <w:tcW w:w="19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625939" w14:textId="143752EA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05C742" w14:textId="297484D2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9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6BA09DD" w14:textId="76182D66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0A1949CA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515F8" w:rsidRPr="00251C72" w14:paraId="259C6C8E" w14:textId="77777777" w:rsidTr="00251C72">
        <w:trPr>
          <w:trHeight w:val="15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D221285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C3.7</w:t>
            </w:r>
          </w:p>
        </w:tc>
        <w:tc>
          <w:tcPr>
            <w:tcW w:w="25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F2D5F7E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Zníženie potencionálneho finančného dopadu na únik dát s "inappsecurity"</w:t>
            </w:r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AB54343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color w:val="000000"/>
                <w:lang w:eastAsia="sk-SK"/>
              </w:rPr>
              <w:t>C3.5*C3.6</w:t>
            </w:r>
          </w:p>
        </w:tc>
        <w:tc>
          <w:tcPr>
            <w:tcW w:w="19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6E216B1" w14:textId="18929C5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612 244,90 €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A8D445E" w14:textId="4B8479DD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714 285,71 € </w:t>
            </w:r>
          </w:p>
        </w:tc>
        <w:tc>
          <w:tcPr>
            <w:tcW w:w="19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884893D" w14:textId="3443FF55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816 326,53 €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4F91C0C0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515F8" w:rsidRPr="00251C72" w14:paraId="121D1B3B" w14:textId="77777777" w:rsidTr="00251C72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CFD3F27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Arg C3</w:t>
            </w:r>
          </w:p>
        </w:tc>
        <w:tc>
          <w:tcPr>
            <w:tcW w:w="25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A6CA485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Výsledok</w:t>
            </w:r>
          </w:p>
        </w:tc>
        <w:tc>
          <w:tcPr>
            <w:tcW w:w="25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4F044C7" w14:textId="77777777" w:rsidR="00F515F8" w:rsidRPr="00251C72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51C7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C3.7 </w:t>
            </w:r>
          </w:p>
        </w:tc>
        <w:tc>
          <w:tcPr>
            <w:tcW w:w="19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08B648E" w14:textId="3CF0DE6E" w:rsidR="00F515F8" w:rsidRPr="00E93310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93310">
              <w:rPr>
                <w:rFonts w:ascii="Calibri" w:hAnsi="Calibri" w:cs="Calibri"/>
                <w:b/>
                <w:bCs/>
                <w:color w:val="000000"/>
              </w:rPr>
              <w:t xml:space="preserve">             612 244,90 €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E9D6265" w14:textId="7F91FE7E" w:rsidR="00F515F8" w:rsidRPr="00E93310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93310">
              <w:rPr>
                <w:rFonts w:ascii="Calibri" w:hAnsi="Calibri" w:cs="Calibri"/>
                <w:b/>
                <w:bCs/>
                <w:color w:val="000000"/>
              </w:rPr>
              <w:t xml:space="preserve">             714 285,71 € </w:t>
            </w:r>
          </w:p>
        </w:tc>
        <w:tc>
          <w:tcPr>
            <w:tcW w:w="19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6D4891F" w14:textId="1EDD347E" w:rsidR="00F515F8" w:rsidRPr="00E93310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93310">
              <w:rPr>
                <w:rFonts w:ascii="Calibri" w:hAnsi="Calibri" w:cs="Calibri"/>
                <w:b/>
                <w:bCs/>
                <w:color w:val="000000"/>
              </w:rPr>
              <w:t xml:space="preserve">           816 326,53 € </w:t>
            </w:r>
          </w:p>
        </w:tc>
        <w:tc>
          <w:tcPr>
            <w:tcW w:w="21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29D283A" w14:textId="7D7755A4" w:rsidR="00F515F8" w:rsidRPr="00E93310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93310">
              <w:rPr>
                <w:rFonts w:ascii="Calibri" w:hAnsi="Calibri" w:cs="Calibri"/>
                <w:b/>
                <w:bCs/>
                <w:color w:val="000000"/>
              </w:rPr>
              <w:t xml:space="preserve">            2 142 857,14 € </w:t>
            </w:r>
          </w:p>
        </w:tc>
      </w:tr>
    </w:tbl>
    <w:p w14:paraId="01AA581D" w14:textId="77777777" w:rsidR="00A12532" w:rsidRDefault="00A12532" w:rsidP="00251C72">
      <w:pPr>
        <w:sectPr w:rsidR="00A12532" w:rsidSect="00251C7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F03146B" w14:textId="77777777" w:rsidR="00251C72" w:rsidRDefault="00A12532" w:rsidP="000D015C">
      <w:pPr>
        <w:pStyle w:val="Nadpis1"/>
      </w:pPr>
      <w:bookmarkStart w:id="12" w:name="_Toc77856826"/>
      <w:r>
        <w:lastRenderedPageBreak/>
        <w:t>Zhrnutie/Sumár</w:t>
      </w:r>
      <w:bookmarkEnd w:id="12"/>
    </w:p>
    <w:p w14:paraId="34333C71" w14:textId="77777777" w:rsidR="00A12532" w:rsidRDefault="00A12532" w:rsidP="00A12532">
      <w:pPr>
        <w:jc w:val="both"/>
      </w:pPr>
    </w:p>
    <w:p w14:paraId="1322D920" w14:textId="3AF06470" w:rsidR="00D910B7" w:rsidRDefault="00A12532" w:rsidP="00A12532">
      <w:pPr>
        <w:jc w:val="both"/>
        <w:rPr>
          <w:rFonts w:ascii="Arial" w:hAnsi="Arial" w:cs="Arial"/>
        </w:rPr>
      </w:pPr>
      <w:r w:rsidRPr="00A12532">
        <w:rPr>
          <w:rFonts w:ascii="Arial" w:hAnsi="Arial" w:cs="Arial"/>
        </w:rPr>
        <w:t>Na základe vyššie uvedených</w:t>
      </w:r>
      <w:r w:rsidR="007C5C1C">
        <w:rPr>
          <w:rFonts w:ascii="Arial" w:hAnsi="Arial" w:cs="Arial"/>
        </w:rPr>
        <w:t xml:space="preserve"> prepočtov</w:t>
      </w:r>
      <w:r w:rsidRPr="00A12532">
        <w:rPr>
          <w:rFonts w:ascii="Arial" w:hAnsi="Arial" w:cs="Arial"/>
        </w:rPr>
        <w:t xml:space="preserve"> benefitov</w:t>
      </w:r>
      <w:r>
        <w:rPr>
          <w:rFonts w:ascii="Arial" w:hAnsi="Arial" w:cs="Arial"/>
        </w:rPr>
        <w:t xml:space="preserve">: </w:t>
      </w:r>
      <w:r w:rsidRPr="007C5C1C">
        <w:rPr>
          <w:rFonts w:ascii="Arial" w:hAnsi="Arial" w:cs="Arial"/>
          <w:i/>
        </w:rPr>
        <w:t xml:space="preserve">Zníženie času a úsilia potrebného na vykonávanie proaktívneho monitorovania a vyhodnocovania bezpečnostných incidentov (Arg A1), Zníženie času a úsilia na odstránenie vzniknutého bezpečnostného incidentu (Arg B2), Zníženie pravdepodobnosti úniku dát (Arg C3) </w:t>
      </w:r>
      <w:r>
        <w:rPr>
          <w:rFonts w:ascii="Arial" w:hAnsi="Arial" w:cs="Arial"/>
        </w:rPr>
        <w:t xml:space="preserve">sme finančne vyčíslili </w:t>
      </w:r>
      <w:r w:rsidR="007C5C1C">
        <w:rPr>
          <w:rFonts w:ascii="Arial" w:hAnsi="Arial" w:cs="Arial"/>
        </w:rPr>
        <w:t xml:space="preserve">celkový prínos </w:t>
      </w:r>
      <w:r w:rsidR="007C5C1C" w:rsidRPr="007C5C1C">
        <w:rPr>
          <w:rFonts w:ascii="Arial" w:hAnsi="Arial" w:cs="Arial"/>
        </w:rPr>
        <w:t>NP: Detekcia zraniteľnosti koncových obslužných bodov</w:t>
      </w:r>
      <w:r w:rsidR="007C5C1C">
        <w:rPr>
          <w:rFonts w:ascii="Arial" w:hAnsi="Arial" w:cs="Arial"/>
        </w:rPr>
        <w:t xml:space="preserve"> v období troch rokov na celkovú sumu</w:t>
      </w:r>
      <w:r w:rsidR="00D910B7">
        <w:rPr>
          <w:rFonts w:ascii="Arial" w:hAnsi="Arial" w:cs="Arial"/>
        </w:rPr>
        <w:t>:</w:t>
      </w:r>
      <w:r w:rsidR="007C5C1C">
        <w:rPr>
          <w:rFonts w:ascii="Arial" w:hAnsi="Arial" w:cs="Arial"/>
        </w:rPr>
        <w:t xml:space="preserve"> </w:t>
      </w:r>
    </w:p>
    <w:p w14:paraId="2CA28BE6" w14:textId="13BCA6E8" w:rsidR="00A12532" w:rsidRDefault="00F515F8" w:rsidP="00A12532">
      <w:pPr>
        <w:jc w:val="both"/>
        <w:rPr>
          <w:rFonts w:ascii="Arial" w:hAnsi="Arial" w:cs="Arial"/>
        </w:rPr>
      </w:pPr>
      <w:r w:rsidRPr="00E93310">
        <w:rPr>
          <w:rFonts w:ascii="Arial" w:hAnsi="Arial" w:cs="Arial"/>
          <w:b/>
          <w:bCs/>
          <w:color w:val="000000"/>
        </w:rPr>
        <w:t>17</w:t>
      </w:r>
      <w:r w:rsidRPr="00B25F2B">
        <w:rPr>
          <w:rFonts w:ascii="Calibri" w:hAnsi="Calibri" w:cs="Calibri"/>
          <w:b/>
          <w:bCs/>
          <w:color w:val="000000"/>
        </w:rPr>
        <w:t xml:space="preserve"> </w:t>
      </w:r>
      <w:r w:rsidRPr="00E93310">
        <w:rPr>
          <w:rFonts w:ascii="Arial" w:hAnsi="Arial" w:cs="Arial"/>
          <w:b/>
          <w:bCs/>
          <w:color w:val="000000"/>
        </w:rPr>
        <w:t>919 857,14</w:t>
      </w:r>
      <w:r w:rsidRPr="00B25F2B">
        <w:rPr>
          <w:rFonts w:ascii="Calibri" w:hAnsi="Calibri" w:cs="Calibri"/>
          <w:b/>
          <w:bCs/>
          <w:color w:val="000000"/>
        </w:rPr>
        <w:t xml:space="preserve"> </w:t>
      </w:r>
      <w:r w:rsidR="007C5C1C" w:rsidRPr="007C5C1C">
        <w:rPr>
          <w:rFonts w:ascii="Arial" w:hAnsi="Arial" w:cs="Arial"/>
          <w:b/>
        </w:rPr>
        <w:t>EUR</w:t>
      </w:r>
      <w:r w:rsidR="007C5C1C">
        <w:rPr>
          <w:rFonts w:ascii="Arial" w:hAnsi="Arial" w:cs="Arial"/>
        </w:rPr>
        <w:t>.</w:t>
      </w:r>
    </w:p>
    <w:p w14:paraId="72DDD004" w14:textId="77777777" w:rsidR="007C5C1C" w:rsidRPr="00A12532" w:rsidRDefault="007C5C1C" w:rsidP="007C5C1C">
      <w:pPr>
        <w:pStyle w:val="Nadpis2"/>
      </w:pPr>
      <w:bookmarkStart w:id="13" w:name="_Toc77856827"/>
      <w:r>
        <w:t>Tabuľka č. 4 – Sumár vyčíslených benefitov</w:t>
      </w:r>
      <w:bookmarkEnd w:id="13"/>
    </w:p>
    <w:p w14:paraId="42822503" w14:textId="77777777" w:rsidR="00A12532" w:rsidRDefault="00A12532" w:rsidP="00A12532">
      <w:pPr>
        <w:rPr>
          <w:rFonts w:ascii="Arial" w:hAnsi="Arial" w:cs="Arial"/>
        </w:rPr>
      </w:pP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43"/>
        <w:gridCol w:w="1560"/>
        <w:gridCol w:w="1559"/>
        <w:gridCol w:w="1559"/>
        <w:gridCol w:w="2026"/>
      </w:tblGrid>
      <w:tr w:rsidR="007C5C1C" w:rsidRPr="007C5C1C" w14:paraId="02C42F0F" w14:textId="77777777" w:rsidTr="00B43A0C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5D2ABCD" w14:textId="77777777" w:rsidR="007C5C1C" w:rsidRPr="007C5C1C" w:rsidRDefault="007C5C1C" w:rsidP="007C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ID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E15846E" w14:textId="77777777" w:rsidR="007C5C1C" w:rsidRPr="007C5C1C" w:rsidRDefault="007C5C1C" w:rsidP="007C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Názov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A864934" w14:textId="77777777" w:rsidR="007C5C1C" w:rsidRPr="007C5C1C" w:rsidRDefault="007C5C1C" w:rsidP="007C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1. rok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CB3102D" w14:textId="77777777" w:rsidR="007C5C1C" w:rsidRPr="007C5C1C" w:rsidRDefault="007C5C1C" w:rsidP="007C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2. rok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C8088B4" w14:textId="77777777" w:rsidR="007C5C1C" w:rsidRPr="007C5C1C" w:rsidRDefault="007C5C1C" w:rsidP="007C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3. rok</w:t>
            </w:r>
          </w:p>
        </w:tc>
        <w:tc>
          <w:tcPr>
            <w:tcW w:w="20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A09530E" w14:textId="77777777" w:rsidR="007C5C1C" w:rsidRPr="007C5C1C" w:rsidRDefault="007C5C1C" w:rsidP="007C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Spolu</w:t>
            </w:r>
          </w:p>
        </w:tc>
      </w:tr>
      <w:tr w:rsidR="00B43A0C" w:rsidRPr="007C5C1C" w14:paraId="25AD3372" w14:textId="77777777" w:rsidTr="00B43A0C">
        <w:trPr>
          <w:trHeight w:val="12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B4E064D" w14:textId="77777777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color w:val="000000"/>
                <w:lang w:eastAsia="sk-SK"/>
              </w:rPr>
              <w:t>Arg A1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B548620" w14:textId="77777777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Zníženie času a úsilia potrebného na vykonávanie proaktívneho monitorovania a vyhodnocovania bezpečnostných incidentov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4AA556A" w14:textId="24A796D0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702 000,00 €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59B8A8B" w14:textId="4C5169C7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819 000,00 €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B1EB177" w14:textId="6A53C451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936 000,00 €</w:t>
            </w:r>
          </w:p>
        </w:tc>
        <w:tc>
          <w:tcPr>
            <w:tcW w:w="20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238AFA33" w14:textId="2A9F4D24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2 457 000,00 €</w:t>
            </w:r>
          </w:p>
        </w:tc>
      </w:tr>
      <w:tr w:rsidR="00B43A0C" w:rsidRPr="007C5C1C" w14:paraId="74EDF9D2" w14:textId="77777777" w:rsidTr="00DC27D4">
        <w:trPr>
          <w:trHeight w:val="9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09B69BF" w14:textId="77777777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color w:val="000000"/>
                <w:lang w:eastAsia="sk-SK"/>
              </w:rPr>
              <w:t>Arg B2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53462E1" w14:textId="77777777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color w:val="000000"/>
                <w:lang w:eastAsia="sk-SK"/>
              </w:rPr>
              <w:t>Zníženie času a úsilia na odstránenie vzniknutého bezpečnostného incidentu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5C24F2C" w14:textId="3C5F1F44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4 320 000,00 €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A640C79" w14:textId="283F4E98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4 440 000,00 €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B3F4E5B" w14:textId="1FB6DD5C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4 560 000,00 €</w:t>
            </w:r>
          </w:p>
        </w:tc>
        <w:tc>
          <w:tcPr>
            <w:tcW w:w="20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6ADCF14" w14:textId="4556D87B" w:rsidR="00B43A0C" w:rsidRPr="007C5C1C" w:rsidRDefault="00B43A0C" w:rsidP="00B4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13 320 000,00 €</w:t>
            </w:r>
          </w:p>
        </w:tc>
      </w:tr>
      <w:tr w:rsidR="00F515F8" w:rsidRPr="007C5C1C" w14:paraId="4D8F4C31" w14:textId="77777777" w:rsidTr="00B43A0C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895D909" w14:textId="77777777" w:rsidR="00F515F8" w:rsidRPr="007C5C1C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color w:val="000000"/>
                <w:lang w:eastAsia="sk-SK"/>
              </w:rPr>
              <w:t>Arg C3</w:t>
            </w: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7B40FE6" w14:textId="77777777" w:rsidR="00F515F8" w:rsidRPr="007C5C1C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C5C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Zníženie pravdepodobnosti úniku dát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1D2DE65" w14:textId="475BC36F" w:rsidR="00F515F8" w:rsidRPr="007C5C1C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612 244,90 €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1AA9B7E" w14:textId="26655929" w:rsidR="00F515F8" w:rsidRPr="007C5C1C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714 285,71 €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91BD93D" w14:textId="191A3996" w:rsidR="00F515F8" w:rsidRPr="007C5C1C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816 326,53 €</w:t>
            </w:r>
          </w:p>
        </w:tc>
        <w:tc>
          <w:tcPr>
            <w:tcW w:w="20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0C69AFF0" w14:textId="1E1FF21B" w:rsidR="00F515F8" w:rsidRPr="007C5C1C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2 142 857,14 €</w:t>
            </w:r>
          </w:p>
        </w:tc>
      </w:tr>
      <w:tr w:rsidR="00F515F8" w:rsidRPr="007C5C1C" w14:paraId="0B439056" w14:textId="77777777" w:rsidTr="00B43A0C">
        <w:trPr>
          <w:trHeight w:val="300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D6ABF5C" w14:textId="77777777" w:rsidR="00F515F8" w:rsidRPr="007C5C1C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33BEAE9" w14:textId="77777777" w:rsidR="00F515F8" w:rsidRPr="007C5C1C" w:rsidRDefault="00F515F8" w:rsidP="00F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AFD937" w14:textId="104EFEE5" w:rsidR="00F515F8" w:rsidRPr="00E93310" w:rsidRDefault="00F515F8" w:rsidP="00F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93310">
              <w:rPr>
                <w:rFonts w:ascii="Calibri" w:hAnsi="Calibri" w:cs="Calibri"/>
                <w:b/>
                <w:bCs/>
                <w:color w:val="000000"/>
              </w:rPr>
              <w:t>5 634 244,90 €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12CF463" w14:textId="419544D3" w:rsidR="00F515F8" w:rsidRPr="00E93310" w:rsidRDefault="00F515F8" w:rsidP="00F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93310">
              <w:rPr>
                <w:rFonts w:ascii="Calibri" w:hAnsi="Calibri" w:cs="Calibri"/>
                <w:b/>
                <w:bCs/>
                <w:color w:val="000000"/>
              </w:rPr>
              <w:t>5 973 285,71 €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4A858E5" w14:textId="167E1DE2" w:rsidR="00F515F8" w:rsidRPr="00E93310" w:rsidRDefault="00F515F8" w:rsidP="00F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93310">
              <w:rPr>
                <w:rFonts w:ascii="Calibri" w:hAnsi="Calibri" w:cs="Calibri"/>
                <w:b/>
                <w:bCs/>
                <w:color w:val="000000"/>
              </w:rPr>
              <w:t>6 312 326,53 €</w:t>
            </w:r>
          </w:p>
        </w:tc>
        <w:tc>
          <w:tcPr>
            <w:tcW w:w="20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9674EB6" w14:textId="4A97BBA4" w:rsidR="00F515F8" w:rsidRPr="00E93310" w:rsidRDefault="00F515F8" w:rsidP="00F51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93310">
              <w:rPr>
                <w:rFonts w:ascii="Calibri" w:hAnsi="Calibri" w:cs="Calibri"/>
                <w:b/>
                <w:bCs/>
                <w:color w:val="000000"/>
              </w:rPr>
              <w:t>17 919 857,14 €</w:t>
            </w:r>
          </w:p>
        </w:tc>
      </w:tr>
    </w:tbl>
    <w:p w14:paraId="3A04DC3B" w14:textId="5BD881BF" w:rsidR="007C5C1C" w:rsidRDefault="007C5C1C" w:rsidP="00A12532">
      <w:pPr>
        <w:rPr>
          <w:rFonts w:ascii="Arial" w:hAnsi="Arial" w:cs="Arial"/>
        </w:rPr>
      </w:pPr>
    </w:p>
    <w:p w14:paraId="3A49FFBC" w14:textId="43E4AC35" w:rsidR="00375933" w:rsidRDefault="00375933" w:rsidP="00A12532">
      <w:pPr>
        <w:rPr>
          <w:rFonts w:ascii="Arial" w:hAnsi="Arial" w:cs="Arial"/>
        </w:rPr>
      </w:pPr>
    </w:p>
    <w:p w14:paraId="36AF5016" w14:textId="529BB861" w:rsidR="00375933" w:rsidRDefault="00375933" w:rsidP="00A12532">
      <w:pPr>
        <w:rPr>
          <w:rFonts w:ascii="Arial" w:hAnsi="Arial" w:cs="Arial"/>
          <w:b/>
          <w:bCs/>
          <w:u w:val="single"/>
        </w:rPr>
      </w:pPr>
      <w:r w:rsidRPr="00375933">
        <w:rPr>
          <w:rFonts w:ascii="Arial" w:hAnsi="Arial" w:cs="Arial"/>
          <w:b/>
          <w:bCs/>
          <w:u w:val="single"/>
        </w:rPr>
        <w:t>Prílohy:</w:t>
      </w:r>
    </w:p>
    <w:p w14:paraId="3AFD41BF" w14:textId="20D0146E" w:rsidR="00375933" w:rsidRDefault="00375933" w:rsidP="00A12532">
      <w:pPr>
        <w:rPr>
          <w:rFonts w:ascii="Arial" w:hAnsi="Arial" w:cs="Arial"/>
          <w:b/>
          <w:bCs/>
          <w:u w:val="single"/>
        </w:rPr>
      </w:pPr>
    </w:p>
    <w:p w14:paraId="69AC83D8" w14:textId="3A066782" w:rsidR="00375933" w:rsidRPr="00375933" w:rsidRDefault="00F515F8" w:rsidP="00A12532">
      <w:pPr>
        <w:rPr>
          <w:rFonts w:ascii="Arial" w:hAnsi="Arial" w:cs="Arial"/>
        </w:rPr>
      </w:pPr>
      <w:r>
        <w:rPr>
          <w:rFonts w:ascii="Arial" w:hAnsi="Arial" w:cs="Arial"/>
        </w:rPr>
        <w:object w:dxaOrig="1534" w:dyaOrig="997" w14:anchorId="2AB616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0.4pt" o:ole="">
            <v:imagedata r:id="rId10" o:title=""/>
          </v:shape>
          <o:OLEObject Type="Embed" ProgID="Excel.Sheet.12" ShapeID="_x0000_i1025" DrawAspect="Icon" ObjectID="_1698754463" r:id="rId11"/>
        </w:object>
      </w:r>
    </w:p>
    <w:sectPr w:rsidR="00375933" w:rsidRPr="00375933" w:rsidSect="00A125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F3284" w14:textId="77777777" w:rsidR="00F6711E" w:rsidRDefault="00F6711E" w:rsidP="00536A8C">
      <w:pPr>
        <w:spacing w:after="0" w:line="240" w:lineRule="auto"/>
      </w:pPr>
      <w:r>
        <w:separator/>
      </w:r>
    </w:p>
  </w:endnote>
  <w:endnote w:type="continuationSeparator" w:id="0">
    <w:p w14:paraId="58BBEFE3" w14:textId="77777777" w:rsidR="00F6711E" w:rsidRDefault="00F6711E" w:rsidP="0053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CF99" w14:textId="77777777" w:rsidR="00F75D59" w:rsidRPr="009B413B" w:rsidRDefault="00F75D59" w:rsidP="00DD4D8A">
    <w:pPr>
      <w:pStyle w:val="Pta"/>
      <w:rPr>
        <w:rFonts w:ascii="Arial" w:hAnsi="Arial" w:cs="Arial"/>
        <w:sz w:val="16"/>
        <w:szCs w:val="18"/>
      </w:rPr>
    </w:pPr>
    <w:r w:rsidRPr="009B413B">
      <w:rPr>
        <w:rFonts w:ascii="Arial" w:hAnsi="Arial" w:cs="Arial"/>
        <w:b/>
        <w:sz w:val="16"/>
        <w:szCs w:val="18"/>
      </w:rPr>
      <w:t>Národná agentúra pre sieťové a elektronické služby</w:t>
    </w:r>
    <w:r w:rsidRPr="009B413B">
      <w:rPr>
        <w:rFonts w:ascii="Arial" w:hAnsi="Arial" w:cs="Arial"/>
        <w:b/>
        <w:sz w:val="16"/>
        <w:szCs w:val="18"/>
      </w:rPr>
      <w:tab/>
      <w:t xml:space="preserve">         </w:t>
    </w:r>
    <w:r>
      <w:rPr>
        <w:rFonts w:ascii="Arial" w:hAnsi="Arial" w:cs="Arial"/>
        <w:b/>
        <w:sz w:val="16"/>
        <w:szCs w:val="18"/>
      </w:rPr>
      <w:t xml:space="preserve">    </w:t>
    </w:r>
    <w:r w:rsidRPr="009B413B">
      <w:rPr>
        <w:rFonts w:ascii="Arial" w:hAnsi="Arial" w:cs="Arial"/>
        <w:b/>
        <w:sz w:val="16"/>
        <w:szCs w:val="18"/>
      </w:rPr>
      <w:t xml:space="preserve">  tel: </w:t>
    </w:r>
    <w:r w:rsidRPr="009B413B">
      <w:rPr>
        <w:rFonts w:ascii="Arial" w:hAnsi="Arial" w:cs="Arial"/>
        <w:sz w:val="16"/>
        <w:szCs w:val="18"/>
      </w:rPr>
      <w:t xml:space="preserve">+421 2 3278 0700                </w:t>
    </w:r>
  </w:p>
  <w:p w14:paraId="181E03CA" w14:textId="77777777" w:rsidR="00F75D59" w:rsidRPr="00DD4D8A" w:rsidRDefault="00F75D59">
    <w:pPr>
      <w:pStyle w:val="Pta"/>
      <w:rPr>
        <w:rFonts w:ascii="Montserrat Light" w:hAnsi="Montserrat Light" w:cstheme="minorHAnsi"/>
        <w:sz w:val="16"/>
        <w:szCs w:val="18"/>
      </w:rPr>
    </w:pPr>
    <w:r w:rsidRPr="009B413B">
      <w:rPr>
        <w:rFonts w:ascii="Arial" w:hAnsi="Arial" w:cs="Arial"/>
        <w:sz w:val="16"/>
        <w:szCs w:val="18"/>
      </w:rPr>
      <w:t>BC Omnipolis, Trnavská cesta 100/II, 821 01 Bratislava</w:t>
    </w:r>
    <w:r w:rsidRPr="009B413B">
      <w:rPr>
        <w:rFonts w:ascii="Arial" w:hAnsi="Arial" w:cs="Arial"/>
        <w:sz w:val="16"/>
        <w:szCs w:val="18"/>
      </w:rPr>
      <w:tab/>
      <w:t xml:space="preserve">               </w:t>
    </w:r>
    <w:r w:rsidRPr="009B413B">
      <w:rPr>
        <w:rFonts w:ascii="Arial" w:hAnsi="Arial" w:cs="Arial"/>
        <w:b/>
        <w:sz w:val="16"/>
        <w:szCs w:val="18"/>
      </w:rPr>
      <w:t xml:space="preserve">e-mail: </w:t>
    </w:r>
    <w:r w:rsidRPr="009B413B">
      <w:rPr>
        <w:rFonts w:ascii="Arial" w:hAnsi="Arial" w:cs="Arial"/>
        <w:sz w:val="16"/>
        <w:szCs w:val="18"/>
      </w:rPr>
      <w:t xml:space="preserve">info@nases.gov.sk          </w:t>
    </w:r>
    <w:r w:rsidRPr="009B413B">
      <w:rPr>
        <w:rFonts w:ascii="Arial" w:hAnsi="Arial" w:cs="Arial"/>
        <w:b/>
        <w:sz w:val="16"/>
        <w:szCs w:val="18"/>
      </w:rPr>
      <w:t xml:space="preserve">web: </w:t>
    </w:r>
    <w:r w:rsidRPr="009B413B">
      <w:rPr>
        <w:rFonts w:ascii="Arial" w:hAnsi="Arial" w:cs="Arial"/>
        <w:sz w:val="16"/>
        <w:szCs w:val="18"/>
      </w:rPr>
      <w:t>www.nases.gov.sk</w:t>
    </w:r>
    <w:r w:rsidRPr="00DD4D8A">
      <w:rPr>
        <w:rFonts w:ascii="Montserrat Light" w:hAnsi="Montserrat Light"/>
        <w:noProof/>
        <w:sz w:val="20"/>
        <w:lang w:eastAsia="sk-SK"/>
      </w:rPr>
      <w:drawing>
        <wp:anchor distT="0" distB="0" distL="114300" distR="114300" simplePos="0" relativeHeight="251660288" behindDoc="0" locked="0" layoutInCell="1" allowOverlap="1" wp14:anchorId="3D547BA7" wp14:editId="6D189713">
          <wp:simplePos x="0" y="0"/>
          <wp:positionH relativeFrom="page">
            <wp:align>right</wp:align>
          </wp:positionH>
          <wp:positionV relativeFrom="paragraph">
            <wp:posOffset>-546735</wp:posOffset>
          </wp:positionV>
          <wp:extent cx="2398763" cy="390994"/>
          <wp:effectExtent l="0" t="0" r="1905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čkový papi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6" t="67499" b="21278"/>
                  <a:stretch/>
                </pic:blipFill>
                <pic:spPr bwMode="auto">
                  <a:xfrm>
                    <a:off x="0" y="0"/>
                    <a:ext cx="2398763" cy="390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ABFCD" w14:textId="77777777" w:rsidR="00F6711E" w:rsidRDefault="00F6711E" w:rsidP="00536A8C">
      <w:pPr>
        <w:spacing w:after="0" w:line="240" w:lineRule="auto"/>
      </w:pPr>
      <w:r>
        <w:separator/>
      </w:r>
    </w:p>
  </w:footnote>
  <w:footnote w:type="continuationSeparator" w:id="0">
    <w:p w14:paraId="21043349" w14:textId="77777777" w:rsidR="00F6711E" w:rsidRDefault="00F6711E" w:rsidP="00536A8C">
      <w:pPr>
        <w:spacing w:after="0" w:line="240" w:lineRule="auto"/>
      </w:pPr>
      <w:r>
        <w:continuationSeparator/>
      </w:r>
    </w:p>
  </w:footnote>
  <w:footnote w:id="1">
    <w:p w14:paraId="636892D6" w14:textId="77777777" w:rsidR="00F75D59" w:rsidRDefault="00F75D59">
      <w:pPr>
        <w:pStyle w:val="Textpoznmkypodiarou"/>
      </w:pPr>
      <w:r>
        <w:rPr>
          <w:rStyle w:val="Odkaznapoznmkupodiarou"/>
        </w:rPr>
        <w:footnoteRef/>
      </w:r>
      <w:r>
        <w:t xml:space="preserve"> Zdroj: </w:t>
      </w:r>
      <w:r w:rsidRPr="006A6B80">
        <w:t>https://tools.totaleconomicimpact.com/go/microsoft/CloudAppSecurity/</w:t>
      </w:r>
    </w:p>
  </w:footnote>
  <w:footnote w:id="2">
    <w:p w14:paraId="3DD5FAFA" w14:textId="77777777" w:rsidR="00F75D59" w:rsidRDefault="00F75D59">
      <w:pPr>
        <w:pStyle w:val="Textpoznmkypodiarou"/>
      </w:pPr>
      <w:r>
        <w:rPr>
          <w:rStyle w:val="Odkaznapoznmkupodiarou"/>
        </w:rPr>
        <w:footnoteRef/>
      </w:r>
      <w:r>
        <w:t xml:space="preserve"> Zdroj: </w:t>
      </w:r>
      <w:r w:rsidRPr="005C350B">
        <w:t>https://www.slovensko.sk/sk/statistika-slovensko-sk</w:t>
      </w:r>
    </w:p>
  </w:footnote>
  <w:footnote w:id="3">
    <w:p w14:paraId="550A1D7D" w14:textId="77777777" w:rsidR="00F75D59" w:rsidRDefault="00F75D59">
      <w:pPr>
        <w:pStyle w:val="Textpoznmkypodiarou"/>
      </w:pPr>
      <w:r>
        <w:rPr>
          <w:rStyle w:val="Odkaznapoznmkupodiarou"/>
        </w:rPr>
        <w:footnoteRef/>
      </w:r>
      <w:r>
        <w:t xml:space="preserve"> Zdroj: </w:t>
      </w:r>
      <w:r w:rsidRPr="005C350B">
        <w:t>https://data.gov.sk/dataset/upvs-schranky-aktivovane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77D3" w14:textId="77777777" w:rsidR="00F75D59" w:rsidRDefault="00F75D59" w:rsidP="00536A8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4DAEA90E" wp14:editId="40985DFF">
          <wp:simplePos x="0" y="0"/>
          <wp:positionH relativeFrom="rightMargin">
            <wp:posOffset>-623611</wp:posOffset>
          </wp:positionH>
          <wp:positionV relativeFrom="paragraph">
            <wp:posOffset>-532580</wp:posOffset>
          </wp:positionV>
          <wp:extent cx="1446530" cy="473075"/>
          <wp:effectExtent l="0" t="8573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čkový papier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6787" r="40207" b="49916"/>
                  <a:stretch/>
                </pic:blipFill>
                <pic:spPr bwMode="auto">
                  <a:xfrm rot="5400000">
                    <a:off x="0" y="0"/>
                    <a:ext cx="1446530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05AC64C" wp14:editId="2576101A">
          <wp:simplePos x="0" y="0"/>
          <wp:positionH relativeFrom="page">
            <wp:posOffset>464024</wp:posOffset>
          </wp:positionH>
          <wp:positionV relativeFrom="paragraph">
            <wp:posOffset>-436567</wp:posOffset>
          </wp:positionV>
          <wp:extent cx="2592705" cy="159194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SE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05" cy="159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5AF85" w14:textId="77777777" w:rsidR="00F75D59" w:rsidRDefault="00F75D59" w:rsidP="00536A8C">
    <w:pPr>
      <w:pStyle w:val="Hlavika"/>
    </w:pPr>
  </w:p>
  <w:p w14:paraId="148B614D" w14:textId="77777777" w:rsidR="00F75D59" w:rsidRDefault="00F75D59" w:rsidP="00536A8C">
    <w:pPr>
      <w:pStyle w:val="Hlavika"/>
    </w:pPr>
  </w:p>
  <w:p w14:paraId="42209499" w14:textId="77777777" w:rsidR="00F75D59" w:rsidRDefault="00F75D59" w:rsidP="00536A8C">
    <w:pPr>
      <w:pStyle w:val="Hlavika"/>
    </w:pPr>
  </w:p>
  <w:p w14:paraId="76F19250" w14:textId="77777777" w:rsidR="00F75D59" w:rsidRDefault="00F75D59" w:rsidP="00536A8C">
    <w:pPr>
      <w:pStyle w:val="Hlavika"/>
    </w:pPr>
  </w:p>
  <w:p w14:paraId="2C86F402" w14:textId="77777777" w:rsidR="00F75D59" w:rsidRDefault="00F75D59" w:rsidP="00536A8C">
    <w:pPr>
      <w:pStyle w:val="Hlavika"/>
    </w:pPr>
  </w:p>
  <w:p w14:paraId="504BCEC3" w14:textId="77777777" w:rsidR="00F75D59" w:rsidRPr="009B413B" w:rsidRDefault="00F75D59" w:rsidP="00536A8C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667"/>
    <w:multiLevelType w:val="hybridMultilevel"/>
    <w:tmpl w:val="010A3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8E4"/>
    <w:multiLevelType w:val="hybridMultilevel"/>
    <w:tmpl w:val="D0F4B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73519"/>
    <w:multiLevelType w:val="hybridMultilevel"/>
    <w:tmpl w:val="54C44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4032"/>
    <w:multiLevelType w:val="hybridMultilevel"/>
    <w:tmpl w:val="D966D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3022B"/>
    <w:multiLevelType w:val="hybridMultilevel"/>
    <w:tmpl w:val="86BEB282"/>
    <w:lvl w:ilvl="0" w:tplc="111A72F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075D"/>
    <w:multiLevelType w:val="hybridMultilevel"/>
    <w:tmpl w:val="7902C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DF"/>
    <w:rsid w:val="00014A7F"/>
    <w:rsid w:val="00084EEB"/>
    <w:rsid w:val="000D015C"/>
    <w:rsid w:val="00163817"/>
    <w:rsid w:val="00172CDF"/>
    <w:rsid w:val="001A4E67"/>
    <w:rsid w:val="001D715E"/>
    <w:rsid w:val="001F58E7"/>
    <w:rsid w:val="00204D2E"/>
    <w:rsid w:val="00211E58"/>
    <w:rsid w:val="0021227D"/>
    <w:rsid w:val="002207C8"/>
    <w:rsid w:val="00247216"/>
    <w:rsid w:val="00251C72"/>
    <w:rsid w:val="0029081C"/>
    <w:rsid w:val="002B75C2"/>
    <w:rsid w:val="002C074B"/>
    <w:rsid w:val="00354FAB"/>
    <w:rsid w:val="00375933"/>
    <w:rsid w:val="003B03B5"/>
    <w:rsid w:val="003E6AF3"/>
    <w:rsid w:val="003E702D"/>
    <w:rsid w:val="0045379F"/>
    <w:rsid w:val="0046644D"/>
    <w:rsid w:val="00492C99"/>
    <w:rsid w:val="004944CC"/>
    <w:rsid w:val="004B76FA"/>
    <w:rsid w:val="004D2472"/>
    <w:rsid w:val="0051706A"/>
    <w:rsid w:val="00536A8C"/>
    <w:rsid w:val="005374E0"/>
    <w:rsid w:val="00560DEC"/>
    <w:rsid w:val="005846FE"/>
    <w:rsid w:val="005C350B"/>
    <w:rsid w:val="005D4D2E"/>
    <w:rsid w:val="00600154"/>
    <w:rsid w:val="006113B0"/>
    <w:rsid w:val="00627B63"/>
    <w:rsid w:val="006A6B80"/>
    <w:rsid w:val="006E607F"/>
    <w:rsid w:val="00702883"/>
    <w:rsid w:val="007042FD"/>
    <w:rsid w:val="007324CF"/>
    <w:rsid w:val="00743315"/>
    <w:rsid w:val="00797FD8"/>
    <w:rsid w:val="007B1158"/>
    <w:rsid w:val="007B2DB4"/>
    <w:rsid w:val="007C5C1C"/>
    <w:rsid w:val="007F28DF"/>
    <w:rsid w:val="00803101"/>
    <w:rsid w:val="008333F2"/>
    <w:rsid w:val="0085093D"/>
    <w:rsid w:val="00857DDD"/>
    <w:rsid w:val="00861002"/>
    <w:rsid w:val="00892754"/>
    <w:rsid w:val="0089284F"/>
    <w:rsid w:val="008D0308"/>
    <w:rsid w:val="009104D6"/>
    <w:rsid w:val="00910FCD"/>
    <w:rsid w:val="0091280D"/>
    <w:rsid w:val="009251B1"/>
    <w:rsid w:val="0096183F"/>
    <w:rsid w:val="00982F7F"/>
    <w:rsid w:val="009B413B"/>
    <w:rsid w:val="00A1098F"/>
    <w:rsid w:val="00A12532"/>
    <w:rsid w:val="00A21288"/>
    <w:rsid w:val="00A274B5"/>
    <w:rsid w:val="00A85438"/>
    <w:rsid w:val="00B43A0C"/>
    <w:rsid w:val="00B639E3"/>
    <w:rsid w:val="00BB20D5"/>
    <w:rsid w:val="00BE7D40"/>
    <w:rsid w:val="00BF2434"/>
    <w:rsid w:val="00C106D8"/>
    <w:rsid w:val="00C73280"/>
    <w:rsid w:val="00C73EEE"/>
    <w:rsid w:val="00CA0EB1"/>
    <w:rsid w:val="00CA1CD4"/>
    <w:rsid w:val="00CE25FD"/>
    <w:rsid w:val="00D50D5C"/>
    <w:rsid w:val="00D54A33"/>
    <w:rsid w:val="00D602AD"/>
    <w:rsid w:val="00D910B7"/>
    <w:rsid w:val="00DC27D4"/>
    <w:rsid w:val="00DC7640"/>
    <w:rsid w:val="00DC772C"/>
    <w:rsid w:val="00DD39DE"/>
    <w:rsid w:val="00DD4D8A"/>
    <w:rsid w:val="00DE3360"/>
    <w:rsid w:val="00E243B0"/>
    <w:rsid w:val="00E4173D"/>
    <w:rsid w:val="00E75C70"/>
    <w:rsid w:val="00E8588C"/>
    <w:rsid w:val="00E93310"/>
    <w:rsid w:val="00EB2677"/>
    <w:rsid w:val="00EC5BFA"/>
    <w:rsid w:val="00ED5D78"/>
    <w:rsid w:val="00EE42D8"/>
    <w:rsid w:val="00EF1842"/>
    <w:rsid w:val="00EF4493"/>
    <w:rsid w:val="00F056EE"/>
    <w:rsid w:val="00F36773"/>
    <w:rsid w:val="00F442AE"/>
    <w:rsid w:val="00F515F8"/>
    <w:rsid w:val="00F6711E"/>
    <w:rsid w:val="00F75D59"/>
    <w:rsid w:val="00F772DF"/>
    <w:rsid w:val="00FC400A"/>
    <w:rsid w:val="00FD297A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D52EA"/>
  <w15:chartTrackingRefBased/>
  <w15:docId w15:val="{11587FFE-5A9F-413B-A314-2DA39D16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72DF"/>
  </w:style>
  <w:style w:type="paragraph" w:styleId="Nadpis1">
    <w:name w:val="heading 1"/>
    <w:basedOn w:val="Normlny"/>
    <w:next w:val="Normlny"/>
    <w:link w:val="Nadpis1Char"/>
    <w:uiPriority w:val="9"/>
    <w:qFormat/>
    <w:rsid w:val="00F77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1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A8C"/>
  </w:style>
  <w:style w:type="paragraph" w:styleId="Pta">
    <w:name w:val="footer"/>
    <w:basedOn w:val="Normlny"/>
    <w:link w:val="PtaChar"/>
    <w:uiPriority w:val="99"/>
    <w:unhideWhenUsed/>
    <w:rsid w:val="0053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A8C"/>
  </w:style>
  <w:style w:type="character" w:styleId="Hypertextovprepojenie">
    <w:name w:val="Hyperlink"/>
    <w:basedOn w:val="Predvolenpsmoodseku"/>
    <w:uiPriority w:val="99"/>
    <w:unhideWhenUsed/>
    <w:rsid w:val="008D0308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77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A6B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A6B8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6B80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7FD8"/>
    <w:pPr>
      <w:ind w:left="720"/>
      <w:contextualSpacing/>
    </w:pPr>
  </w:style>
  <w:style w:type="paragraph" w:customStyle="1" w:styleId="DecimalAligned">
    <w:name w:val="Decimal Aligned"/>
    <w:basedOn w:val="Normlny"/>
    <w:uiPriority w:val="40"/>
    <w:qFormat/>
    <w:rsid w:val="005D4D2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k-SK"/>
    </w:rPr>
  </w:style>
  <w:style w:type="character" w:styleId="Jemnzvraznenie">
    <w:name w:val="Subtle Emphasis"/>
    <w:basedOn w:val="Predvolenpsmoodseku"/>
    <w:uiPriority w:val="19"/>
    <w:qFormat/>
    <w:rsid w:val="005D4D2E"/>
    <w:rPr>
      <w:i/>
      <w:iCs/>
    </w:rPr>
  </w:style>
  <w:style w:type="table" w:styleId="Svetlpodfarbeniezvraznenie1">
    <w:name w:val="Light Shading Accent 1"/>
    <w:basedOn w:val="Normlnatabuka"/>
    <w:uiPriority w:val="60"/>
    <w:rsid w:val="005D4D2E"/>
    <w:pPr>
      <w:spacing w:after="0" w:line="240" w:lineRule="auto"/>
    </w:pPr>
    <w:rPr>
      <w:rFonts w:eastAsiaTheme="minorEastAsia"/>
      <w:color w:val="2E74B5" w:themeColor="accent1" w:themeShade="BF"/>
      <w:lang w:eastAsia="sk-S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Nadpis2Char">
    <w:name w:val="Nadpis 2 Char"/>
    <w:basedOn w:val="Predvolenpsmoodseku"/>
    <w:link w:val="Nadpis2"/>
    <w:uiPriority w:val="9"/>
    <w:rsid w:val="00A212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CE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3">
    <w:name w:val="Plain Table 3"/>
    <w:basedOn w:val="Normlnatabuka"/>
    <w:uiPriority w:val="43"/>
    <w:rsid w:val="004537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lavikaobsahu">
    <w:name w:val="TOC Heading"/>
    <w:basedOn w:val="Nadpis1"/>
    <w:next w:val="Normlny"/>
    <w:uiPriority w:val="39"/>
    <w:unhideWhenUsed/>
    <w:qFormat/>
    <w:rsid w:val="000D015C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D015C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D015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9C17-392A-4143-B98D-4240FA53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Michalíková</dc:creator>
  <cp:keywords/>
  <dc:description/>
  <cp:lastModifiedBy>Michal Seliga</cp:lastModifiedBy>
  <cp:revision>3</cp:revision>
  <dcterms:created xsi:type="dcterms:W3CDTF">2021-11-18T13:16:00Z</dcterms:created>
  <dcterms:modified xsi:type="dcterms:W3CDTF">2021-11-18T14:28:00Z</dcterms:modified>
</cp:coreProperties>
</file>