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013EF" w:rsidRDefault="004013EF" w:rsidP="00C579E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4013EF">
        <w:trPr>
          <w:divId w:val="64200818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územnom plánovaní</w:t>
            </w: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vlády Slovenskej republiky - podpredseda vlády Slovenskej republiky</w:t>
            </w:r>
          </w:p>
        </w:tc>
      </w:tr>
      <w:tr w:rsidR="004013EF">
        <w:trPr>
          <w:divId w:val="64200818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013EF">
        <w:trPr>
          <w:divId w:val="64200818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013EF">
        <w:trPr>
          <w:divId w:val="64200818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013EF">
        <w:trPr>
          <w:divId w:val="64200818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19.4.2021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3.5.2021</w:t>
            </w:r>
          </w:p>
        </w:tc>
      </w:tr>
      <w:tr w:rsidR="004013EF">
        <w:trPr>
          <w:divId w:val="64200818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2021</w:t>
            </w:r>
          </w:p>
        </w:tc>
      </w:tr>
      <w:tr w:rsidR="004013EF">
        <w:trPr>
          <w:divId w:val="64200818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2021</w:t>
            </w:r>
          </w:p>
        </w:tc>
      </w:tr>
    </w:tbl>
    <w:p w:rsidR="00325440" w:rsidRDefault="00325440" w:rsidP="00C579E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4013EF" w:rsidRDefault="004013EF" w:rsidP="00C579E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Odstránenie nedostatkov, ktoré vyplynuli z aplikačnej praxe zákona č. 50/1976 Zb. o územnom plánovaní a stavebnom poriadku (stavebný zákon) a o zmene a doplnení niektorých zákonov v znení neskorších predpisov.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právnej úpravy na úseku územného plánovania je zjednodušenie, zrýchlenie, skvalitnenie a transparentnosť procesov na úseku územného plánovania.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Právnou úpravou sa: </w:t>
            </w: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br/>
              <w:t>- zavádza jednotný proces pre získavanie, zhromažďovanie, spracúvanie, sprístupňovanie, poskytovanie, prenos, ukladanie, archivácia a likvidácia údajov, umožnenie poskytovania súvisiacich elektronických služieb používateľom s príslušným oprávnením na zabezpečenie a skvalitnenie výkonu verejnej moci na úseku správy v oblasti územného plánovania, výstavby a správy stavby; predpokladom je podpora informačným systémom,</w:t>
            </w: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br/>
              <w:t>- zavádza informačný model stavby ako digitálnu reprezentáciu fyzickej a/alebo funkčnej časti projektovaného územia alebo stavby v štruktúrovanej forme.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Očakávaným výsledkom je: </w:t>
            </w:r>
            <w:r>
              <w:rPr>
                <w:rFonts w:ascii="Times" w:hAnsi="Times" w:cs="Times"/>
                <w:sz w:val="20"/>
                <w:szCs w:val="20"/>
              </w:rPr>
              <w:br/>
              <w:t>- zjednotenie a predvídateľnosť postupov pri výkone verejnej moci na úrovni štátnej správy a samosprávy, zvýšenie disciplíny a vymáhateľnosti, skrátenie trvania konaní,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zlepšenie kvality rozhodovania a kontroly, </w:t>
            </w:r>
            <w:r>
              <w:rPr>
                <w:rFonts w:ascii="Times" w:hAnsi="Times" w:cs="Times"/>
                <w:sz w:val="20"/>
                <w:szCs w:val="20"/>
              </w:rPr>
              <w:br/>
              <w:t>Zriadenie Úradu pre územné plánovanie a výstavbu Slovenskej republiky – v návrhu kompetenčného zákona - je nasledované návrhmi zákonov o územnom plánovaní a o výstavbe. Táto trojica návrhov zákonov je navzájom prepojená – je vecne, časovo, prevádzkovo aj finančne podporujúca a tak tvorí jeden ucelený programový rámec zmeny v oblasti stavebníctva SR.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Predkladateľ mal za cieľ o.i. aj vyhnúť sa v maximálnej možnej miere duplicitám (v popisoch, výpočtoch pri analýzach vplyvov apod.), preto pre celkové porozumenie rozsahu, prínosu a časovania zmeny je potrebné všetky tri návrhy zákonov vnímať ako celok. 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Dotknuté subjekty sú: </w:t>
            </w:r>
            <w:r>
              <w:rPr>
                <w:rFonts w:ascii="Times" w:hAnsi="Times" w:cs="Times"/>
                <w:sz w:val="20"/>
                <w:szCs w:val="20"/>
              </w:rPr>
              <w:br/>
              <w:t>- novo navrhovaný Úrad pre územné plánovanie a výstavbu SR, ktorý má byť ústredným orgánom štátnej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okresný úrad v sídle kraja, ako orgán štátnej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orgány územnej samosprávy, ktorými sú obce a samosprávne kraje 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lastRenderedPageBreak/>
              <w:t>Alternatíva krátky popis popisA1 as is Žiadna zmena legislatívy. Žiadny IS. (tj ponechanie procesov územného plánovania a procesov výstavby úpravou doterajšieho zákona č. 50/1976 Zb. o územnom plánovaní a stavebnom poriadku (stavebný zákon).A2 MDV2019 bez IS Zmena legislatívy bez elektronizácie procesov prostredníctvom IS.A3 ISVS - VS Zmena legislatívy s podporou elektronizácie procesov prostredníctvom IS. Nový inf. systém financovaný prostredníctvom št. rozpočtu - Úradu pre územné plánovanie a výstavbu SRA4 ISVS - a.s. Zmena legislatívy s podporou elektronizácie procesov prostredníctvom IS. Nový inf. systém financovaný prostredníctvom a.s. Funkčný SaaS dostupný skôr ako pri A5. A5 ISVS - PPP Zmena legislatívy s podporou elektronizácie procesov prostredníctvom IS. Nový inf. systém financovaný prostredníctvom PPP. Funkčný SaaS dostupný neskôr ako pri A4.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Vyhláška Úradu pre územné plánovanie a výstavbu Slovenskej republiky, ktorou sa upravujú podrobnosti o všeobecných požiadavkách na obsah a formu žiadosti o zápis do registra odborne spôsobilých osôb a o spôsobe overenia odbornej spôsobilosti, Vyhláška Úradu pre územné plánovanie a výstavbu Slovenskej republiky o územnoplánovacích podkladoch a územnoplánovacej dokumentácii, Vyhláška Úradu pre územné plánovanie a výstavbu Slovenskej republiky o všeobecných požiadavkách na priestorové usporiadanie a funkčné využívanie územia a územnotechnických požiadavkách na výstavbu. Vyhláška Úradu pre územné plánovanie a výstavbu Slovenskej republiky o spôsobe výpočtu a výšky náhrady za obmedzenie vlastníckeho práva pri stavebnej uzávere, Vyhláška Úradu pre územné plánovanie a výstavbu Slovenskej republiky o výške odplaty za služby spojené s prevádzkou informačného systému ÚPaV. </w:t>
            </w: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Vyhláška Úradu pre územné plánovanie a výstavbu Slovenskej republiky, ktorou sa ustanovujú vzory formulárov používaných informačným systémom ÚPaV, Vyhláška Úradu pre územné plánovanie a výstavbu Slovenskej republiky, ktorou sa ustanovujú podrobnosti o podobe štruktúrovaných údajov evidovaných v informačnom systéme územného plánovania a výstavby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nedochádza k transpozícii práva EÚ.</w:t>
            </w:r>
          </w:p>
        </w:tc>
      </w:tr>
      <w:tr w:rsidR="004013EF">
        <w:trPr>
          <w:divId w:val="1569197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013EF">
        <w:trPr>
          <w:divId w:val="1569197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013EF" w:rsidRDefault="004013EF" w:rsidP="00543B8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4013EF">
        <w:trPr>
          <w:divId w:val="92268483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013EF">
        <w:trPr>
          <w:divId w:val="9226848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013EF" w:rsidRDefault="004013EF" w:rsidP="00543B8E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013EF">
        <w:trPr>
          <w:divId w:val="17616382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013EF">
        <w:trPr>
          <w:divId w:val="17616382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lastRenderedPageBreak/>
              <w:t>Analýza vplyvov na podnikateľské prostredie je zahrnutá v materiáli k súbežne pozmeňovanom zákone o výstavbe.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Tab. nižšie popisuje,  v ktorom z trojice zákonov je hlavná zmena ukotvená („Kmeňový“) a ktoré návrhy zákonov zmenu už predpokladajú: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1695"/>
              <w:gridCol w:w="2115"/>
              <w:gridCol w:w="1560"/>
            </w:tblGrid>
            <w:tr w:rsidR="004013EF">
              <w:trPr>
                <w:tblCellSpacing w:w="0" w:type="dxa"/>
              </w:trPr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Hlavná zmena / návrh Zákona: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 xml:space="preserve">kompetenčný (KoZ) 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>o územnom plánovaní (ZoUP)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>o výstavbe (ZoV)</w:t>
                  </w:r>
                </w:p>
              </w:tc>
            </w:tr>
            <w:tr w:rsidR="004013EF">
              <w:trPr>
                <w:tblCellSpacing w:w="0" w:type="dxa"/>
              </w:trPr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Zriadenie Úradu pre územné plánovanie a výstavbu Slovenskej republiky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>Kmeňový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</w:tr>
            <w:tr w:rsidR="004013EF">
              <w:trPr>
                <w:tblCellSpacing w:w="0" w:type="dxa"/>
              </w:trPr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1422B9" w:rsidRDefault="004013EF">
                  <w:pPr>
                    <w:pStyle w:val="NormalWeb"/>
                    <w:rPr>
                      <w:highlight w:val="yellow"/>
                    </w:rPr>
                  </w:pPr>
                  <w:r w:rsidRPr="001422B9">
                    <w:rPr>
                      <w:highlight w:val="yellow"/>
                    </w:rPr>
                    <w:t>Zavedenie nového informačného systému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1422B9" w:rsidRDefault="004013EF">
                  <w:pPr>
                    <w:pStyle w:val="NormalWeb"/>
                    <w:rPr>
                      <w:highlight w:val="yellow"/>
                    </w:rPr>
                  </w:pPr>
                  <w:r w:rsidRPr="001422B9">
                    <w:rPr>
                      <w:highlight w:val="yellow"/>
                    </w:rPr>
                    <w:t>predpokladá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1422B9" w:rsidRDefault="004013EF">
                  <w:pPr>
                    <w:pStyle w:val="NormalWeb"/>
                    <w:rPr>
                      <w:highlight w:val="yellow"/>
                    </w:rPr>
                  </w:pPr>
                  <w:r w:rsidRPr="001422B9">
                    <w:rPr>
                      <w:rStyle w:val="Strong"/>
                      <w:highlight w:val="yellow"/>
                    </w:rPr>
                    <w:t>Kmeňový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1422B9" w:rsidRDefault="004013EF">
                  <w:pPr>
                    <w:pStyle w:val="NormalWeb"/>
                    <w:rPr>
                      <w:highlight w:val="yellow"/>
                    </w:rPr>
                  </w:pPr>
                  <w:r w:rsidRPr="001422B9">
                    <w:rPr>
                      <w:highlight w:val="yellow"/>
                    </w:rPr>
                    <w:t>predpokladá</w:t>
                  </w:r>
                </w:p>
              </w:tc>
            </w:tr>
            <w:tr w:rsidR="004013EF">
              <w:trPr>
                <w:tblCellSpacing w:w="0" w:type="dxa"/>
              </w:trPr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Procesy územného plánovania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>Kmeňový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</w:tr>
            <w:tr w:rsidR="004013EF">
              <w:trPr>
                <w:tblCellSpacing w:w="0" w:type="dxa"/>
              </w:trPr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Procesy výstavby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t>predpokladá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13EF" w:rsidRPr="00BF0FEB" w:rsidRDefault="004013EF">
                  <w:pPr>
                    <w:pStyle w:val="NormalWeb"/>
                  </w:pPr>
                  <w:r w:rsidRPr="00BF0FEB">
                    <w:rPr>
                      <w:rStyle w:val="Strong"/>
                    </w:rPr>
                    <w:t>Kmeňový</w:t>
                  </w:r>
                </w:p>
              </w:tc>
            </w:tr>
          </w:tbl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013EF">
        <w:trPr>
          <w:divId w:val="17616382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013EF">
        <w:trPr>
          <w:divId w:val="17616382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Pr="00BF0FEB" w:rsidRDefault="00E20DEA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="004013EF" w:rsidRPr="00BF0FEB">
                <w:rPr>
                  <w:rStyle w:val="Emphasis"/>
                  <w:rFonts w:ascii="Times" w:hAnsi="Times" w:cs="Times"/>
                  <w:color w:val="0000FF"/>
                  <w:sz w:val="20"/>
                  <w:szCs w:val="20"/>
                  <w:u w:val="single"/>
                </w:rPr>
                <w:t>drahosova.silvia@gmail.com</w:t>
              </w:r>
            </w:hyperlink>
          </w:p>
          <w:p w:rsidR="004013EF" w:rsidRPr="00BF0FEB" w:rsidRDefault="00E20DEA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4013EF" w:rsidRPr="00BF0FEB">
                <w:rPr>
                  <w:rStyle w:val="Emphasis"/>
                  <w:rFonts w:ascii="Times" w:hAnsi="Times" w:cs="Times"/>
                  <w:color w:val="0000FF"/>
                  <w:sz w:val="20"/>
                  <w:szCs w:val="20"/>
                  <w:u w:val="single"/>
                </w:rPr>
                <w:t>marian.vaniak@vlada.gov.sk</w:t>
              </w:r>
            </w:hyperlink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slavomira.salajova@vlada.gov.sk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4013EF">
        <w:trPr>
          <w:divId w:val="17616382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013EF">
        <w:trPr>
          <w:divId w:val="176163828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Default="004013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spracúvaní návrhu zákona ako aj doložky a jednotlivých analýz vplyvov boli za účelom získania relevantných údajov a informácií podľa možností použité všetky zdroje – predchádzajúce návrhy dokumentácie z roku 2019, dostupné štatistiky, výstupy z procesnej analýzy a z návrhov efektivizácie štátnej správy,  relevantné smernice EÚ, výsledky prieskumov, konzultácie s dotknutými subjektmi, spolupráca s odborníkmi ako aj metódy odhadu. Všetky použité zdroje sú bližšie popísané v častiach, kde sa s príslušnými informáciami pracuje, uvažuje a pod.</w:t>
            </w:r>
          </w:p>
        </w:tc>
      </w:tr>
      <w:tr w:rsidR="004013EF">
        <w:trPr>
          <w:divId w:val="176163828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013EF" w:rsidRDefault="004013E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013EF">
        <w:trPr>
          <w:divId w:val="176163828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 </w:t>
            </w: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t xml:space="preserve">I. Úvod: </w:t>
            </w:r>
            <w:r w:rsidRPr="00BF0FEB">
              <w:rPr>
                <w:rFonts w:ascii="Times" w:hAnsi="Times" w:cs="Times"/>
                <w:sz w:val="20"/>
                <w:szCs w:val="20"/>
              </w:rPr>
              <w:t xml:space="preserve">Úrad vlády SR dňa 19. apríla 2021 predložil na PPK materiál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„Návrh zákona o územnom plánovaní a o zmene a doplnení niektorých zákonov“</w:t>
            </w:r>
            <w:r w:rsidRPr="00BF0FEB">
              <w:rPr>
                <w:rFonts w:ascii="Times" w:hAnsi="Times" w:cs="Times"/>
                <w:sz w:val="20"/>
                <w:szCs w:val="20"/>
              </w:rPr>
              <w:t>. Materiál predpokladá pozitívno-negatívne vplyvy na rozpočet verejnej správy, ktoré sú čiastočne rozpočtovo zabezpečené, pozitívne vplyvy na podnikateľské prostredie, vrátane pozitívnych vplyvov na malé a stredné podniky, pozitívne vplyvy na informatizáciu, pozitívne vplyvy služieb verejnej správy na občana a pozitívne vplyvy na procesy služieb vo verejnej správe.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BF0FEB">
              <w:rPr>
                <w:rFonts w:ascii="Times" w:hAnsi="Times" w:cs="Times"/>
                <w:sz w:val="20"/>
                <w:szCs w:val="20"/>
              </w:rPr>
              <w:t>Komisia uplatňuje k materiálu nasledovné pripomienky a odporúčania: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odporúča predkladateľovi dopracovať bod 5. „alternatívne riešenia“, či pri príprave nového konceptu boli zvažované iné alternatívne návrhy a v čom. Ponechanie pôvodného zákona č. 50/1976 Zb. o územnom plánovaní a stavebnom poriadku (stavebný zákon) je možné považovať za nulový variant.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(doplnené)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o vyznačenie aj negatívnych vplyvov na podnikateľské prostredie v časti 9 „vplyvy navrhovaného materiálu“.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(doplnené a upravené v zmysle  pripomienok nižšie: do bodu 10 bola doplnená informácia: „Analýza vplyvov na podnikateľské prostredie je zahrnutá v materiáli k súbežne pozmeňovanom zákone o výstavbe.“)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Orgánmi územného plánovania majú byť: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-          novo navrhovaný Úrad pre územné plánovanie a výstavbu SR, ktorý má byť ústredným orgánom štátnej </w:t>
            </w:r>
            <w:r w:rsidRPr="00BF0FEB">
              <w:rPr>
                <w:rFonts w:ascii="Times" w:hAnsi="Times" w:cs="Times"/>
                <w:sz w:val="20"/>
                <w:szCs w:val="20"/>
              </w:rPr>
              <w:lastRenderedPageBreak/>
              <w:t>správy,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-          okresný úrad v sídle kraja, ako orgán štátnej správy,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-          orgány územnej samosprávy, ktorými sú obce.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(upravené a doplnené : a samosprávne kraje.)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vyhodnotiť konkrétne, ktoré existujúce orgány sa zlúčia, zaniknú alebo zredukujú a v nadväznosti na uvedené sprehľadniť, v čom bude spočívať zjednodušenie procesov pre podnikateľské prostredie v časti 10 Poznámky. (V  organizačnom grafe je  zmienka o počte 844 zamestnancov a z toho 516 nových.)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(doplnené - v analýze vplyvov na rozpočet verejnej správy pri Kompetenčnom zákone za org. štruktúrou v poznámkach ad Obce).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odporúča predkladateľovi dopracovanie schémy fungovania, kvôli prehľadnosti pre lepšie pochopenie súvislostí a kompetencií, nakoľko sa jedná o nový systémový prístup.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(vysvetlenie: schéma fungovania je predmetom prípravy  a bude prezentovaná verejnosti)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o doplnenie odvolávky, že Analýza vplyvov na podnikateľské prostredie je zahrnutá v materiáli k súbežne pozmeňovanom zákone o výstavbe.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(doplnené)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o zosúladenie vplyvov predloženého materiálu na podnikateľské prostredie, keďže predkladateľ v Dôvodovej správe – všeobecná časť uviedol, že materiál bude mať pozitívne aj negatívne vplyvy na podnikateľské prostredie a v Doložke vybraných vplyvov vyznačil len pozitívne vplyvy na podnikateľské prostredie, vrátane MSP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(zosúladené)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t>K vplyvom na podnikateľské prostredie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Návrh predpokladá vznik Urbionu. Plánovaný systém má obsahovať, spracovávať a používať zásadné dáta štátu ako sú údaje o vodách, nerastných bohatstvách, bezpečnostnej a inej infraštruktúre, ako aj údaje občanov a podnikateľov. Preto je potrebné venovať zvýšenú pozornosť bezpečnosti a rizikám zneužitia.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Komisia žiada dôslednú analýzu predpokladaných nákladov na vybudovanie systému URBION.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(vysvetlenie: analýza prebieha v zmysle Vyhlášky č. 85/2020, ktorá detaile špecifikuje metodiku a formu odhadu celkových nákladov vlastníctva tzv. TCO)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rádovo znížiť výšku plánovaného poplatku 2,5% a zvážiť efektivitu PPP projektu. Celá finančná záťaž je prenesená na podnikateľov, stavebníkov  v neúmernej výške.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(akceptované a zvážené, poplatok je navrhovaný vo výške 1,25%, PPP je zvažovaná ako alternatíva, finančná záťaž bude uplatnená pre všetkých stavebníkov)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Z predložených kalkulácií nákladov predložených predkladateľom je príjem PPP a.s. v rokoch 2023 -2024 vo výške 101.343.600 Eur, čo je predpokladaný výber na poplatkoch 2,5% za stavebné povolenia.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Z toho sa odvedie štátu - Úradu (účelovo viazaný odvod) vo výške 19% v roku 2023 a 21% z vybratých poplatkov v roku 2024.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Z vybratých poplatkov si PPP a.s. ponechá 81% (t.j. 82.111.545 Eur) v roku 2023 a 79% (80.403.521) v roku 2024.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Účelovo viazaný odvod pokryje rožné náklady Úradu na 176% v roku 2023 a na 121% v roku 2024.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Celková štruktúra financovania je nejasná.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(zapracované, obrázok schémy finančného toku je doplnený pre lepšiu názornosť v časti 3.3.1 Priame finančné náklady. Vysvetlenie: ide o poplatok za službu poskytovanú v IS prevádzkovateľom IS. Časť poplatku sa odvádza so štátneho rozpočtu, ktorý je alokovaný pre nový Úrad „CSU“, ktorý stanovuje výšku poplatku vo vyhláške, ktorú vydáva)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lastRenderedPageBreak/>
              <w:t xml:space="preserve">Nový systém s výhodnými podmienkami pre súkromného investora, zaplatia podnikatelia.  Celá finančná záťaž je prenesená na podnikateľov, stavebníkov v neúmernej výške.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(upravené, finančná záťaž bude uplatnená pre všetkých stavebníkov)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Bod 3.5 Analýzy uvádza, že návrh predpokladá spolufinancovanie SIH a „neštátnych“ investorov.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Komisia žiada predkladateľa o vyčíslenie predpokladaného spolufinancovania neštátnych investorov.  Je potrebné podrobne vysvetliť, ako by mal byť systém financovaný zo súkromných zdrojov a spôsob začlenenia do PPP projektu.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(zapracované v časti 2.1.1)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Komisia žiada predkladateľa o započítanie nákladov v súvislosti s výškou odplaty za služby spojené s prevádzkou informačného systému ÚPaV (pripravovaný vykonávací predpis). (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zapracované, tab. 3)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Slovenská komora architektov je odborným garantom a vykonáva prenesený výkon štátnej správy  podľa </w:t>
            </w:r>
            <w:hyperlink r:id="rId9" w:history="1">
              <w:r w:rsidRPr="00BF0FEB">
                <w:rPr>
                  <w:rStyle w:val="Hyperlink"/>
                  <w:rFonts w:ascii="Times" w:hAnsi="Times" w:cs="Times"/>
                  <w:sz w:val="20"/>
                  <w:szCs w:val="20"/>
                </w:rPr>
                <w:t>138/1992 Zb.</w:t>
              </w:r>
            </w:hyperlink>
            <w:r w:rsidRPr="00BF0FEB">
              <w:rPr>
                <w:rFonts w:ascii="Times" w:hAnsi="Times" w:cs="Times"/>
                <w:sz w:val="20"/>
                <w:szCs w:val="20"/>
              </w:rPr>
              <w:t xml:space="preserve"> podmienky prístupu k povolaniam architekt, krajinný architekt a stavebný inžinier, oprávnenia, vedie zoznamy. Architekti a krajinní architekti podľa tohoto zákona majú všetky oprávnenie, komora ich autorizuje, dohliada na minimálne požiadavky na vzdelanie a prax, uznáva doklady o vzdelaní,...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Aby sa predišlo duplicite a rozporom v kompetencií úradov, zvyšovaniu administratívnej záťaže a nákladom, súčasný register komory by  mal Úrad len preberať, evidovať, sprístupňovať. Podmienky zápisu do registra by zostali podľa súčasného zákona o autorizovaných architektoch a autorizovaných stavebných inžinieroch so zohľadnením nových požiadaviek vyplývajúcich z potrieb realizácie činností podľa tohoto ZoÚP.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Zložité a paralelné vytváranie, definovanie a vedenie nových registrov je nadbytočné a komplikuje zaužívaný systém. Už dnes je pre určité odbornosti architektov a krajinných architektov a/alebo určité lokality nájsť spracovateľa.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Vytvorenie ešte užšej skupiny „licencovaných“ zúži výber a bude skôr na škodu konkurenčnému prostrediu, termíny sa predĺžia a ceny porastú.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Komisia žiada predkladateľa o zhodnotenie vplyvov z hľadiska možnej duplicity a zvyšovania administratívnej záťaže vo vzťahu k ustanoveniu § 10,...rovnako k ustanoveniu § 11, vzhľadom k certifikácii a Registru licencovaných spracovateľov, ktoré má byť v kompetencii úradu.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(vysvetlenie: nejde o duplicitu, ostáva zachovaný status quo -  správcom ostáva Komora architektov, nový Úrad bude len preberať údaje.)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V súvislosti s predloženým zákonom Komisia upozorňuje na programové vyhlásenie vlády PVV 2020-2024 z 19.4.2020: „Zavedieme povinnosť predkladateľov nových regulácií v prvej fáze nezvyšovať a následne znižovať regulačné zaťaženie v ich kompetencii. S účinnosťou od 1. 1. 2021 vláda zavedie princíp „1 in – 1 out“  a s účinnosťou od 1. 1. 2022 princíp „1 in - 2 out“. Každá novo zavádzaná regulácia v oblasti hospodárskej politiky bude mať vyčíslený finančný vplyv nárastu administratívnej záťaže na podniky aj na občanov a zároveň navrhnutý ekvivalentný pokles (1 in 1 out), respektíve dvojnásobný pokles (1 in 2 out) administratívnej záťaže.“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Cieľom je systémovým spôsobom zastaviť nárast a následne dosiahnuť znižovanie regulačných povinností.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(vysvetlenie: návrh odbúrava administratívnu záťaž pre občanov a podnikateľov a v návrhu je uvedené aj jej vyčíslenie</w:t>
            </w:r>
            <w:r w:rsidRPr="00BF0FEB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Style w:val="Strong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Predkladateľ v doložke vplyvov vyznačil negatívne, čiastočne zabezpečené vplyvy na rozpočet verejnej správy.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V analýze vplyvov sú vyčíslené príjmy v roku 2022 v sume -360 tis. eur, v roku 2023 v sume 17,432 mil. eur, v roku 2024 v sume 17,340 mil. eur. Výdavky sú vyčíslené za kapitolu Úrad vlády SR v roku 2021 v sume 3,160 mil. eur, v roku 2022 v sume 9,910 mil. eur, v roku 2023 v sume 14,324 mil. eur a v roku 2024 v sume 10,178 mil. eur.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    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lastRenderedPageBreak/>
              <w:t>V tab. č. 1 analýzy vplyvov sú výdavky v roku 2021 v sume 3,160 mil. eur uvedené v časti Financovanie zabezpečené v rozpočte v riadku Úrad vlády SR. Sumárny riadok Financovanie zabezpečené v rozpočte je však v nulových hodnotách a aj v riadku Úrad vlády SR nie sú v rokoch 2022 – 2024 uvedené žiadne hodnoty. Zároveň v riadku rozpočtovo nekrytý vplyv/úspory sú uvedené vo všetkých rokoch nuly. Z tohto dôvodu Komisia žiada jednoznačne uviesť, v ktorých rokoch a kapitolách sú financie zabezpečené a následne upraviť analýzu vplyvov.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(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Upravený návrh je možné nájsť v rozpočte pre Zákon o ÚP ako aj v rozpočte pri návrhu Kompetenčného zákona.</w:t>
            </w:r>
            <w:r w:rsidRPr="00BF0FEB">
              <w:rPr>
                <w:rFonts w:ascii="Times" w:hAnsi="Times" w:cs="Times"/>
                <w:sz w:val="20"/>
                <w:szCs w:val="20"/>
              </w:rPr>
              <w:t xml:space="preserve"> Vysvetlenie: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v roku 2021 je navrhované zabezpečené financovania zo št. rozpočtu z existujúcej kapitoly Úradu vlády SR. Vznikom nového Úradu k 1.12.2021 vzniká možnosť dotknuté prostriedky delimitovať na nový Úrad a pre roky 2022+ sa predpokladá vlastný zdroj/ rozpočet financovania nového Úradu).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>V analýze vplyvov Komisia žiada vyčísliť vplyvy vyplývajúce z navrhovaného zákona, z dôvodu že pôsobnosť Ministerstva dopravy a výstavby Slovenskej republiky v oblasti stavebného poriadku a územného plánovania, stavebnej výroby a stavebných výrobkov a energetickej efektívnosti budov podľa doterajších všeobecne záväzných právnych predpisov prechádza na nový úrad Úrad pre územné plánovanie a výstavbu Slovenskej republiky tak, že bude jednoznačne zrejmé  zníženie príjmov a výdavkov podľa kategórií, programovej štruktúry a rokov v kapitole MDV SR, ktoré prechádzajú na Úrad pre územné plánovanie a výstavbu SR. (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vysvetlenie: vyčíslené vplyvy počas MPK budú zapracované)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Zároveň nie je zrejmé, prečo je v analýze vplyvov v tab. č. 1 uvedený vplyv v kapitole ÚV SR a  v tab. č. 4 sú už vplyvy vyčíslené pre CSÚ (centrálny stavebný úrad), čím sa pravdepodobne myslí novovznikajúci Úrad pre územné plánovanie a výstavbu SR. Uvedené Komisia žiada zosúladiť.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(zosúladené)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Predkladateľ uvádza, že tento zákon nadobúda účinnosť 1. januára 2022 a delimitácia kompetencií a činností z MDV SR na Úrad pre územné plánovanie a výstavbu SR má byť taktiež k 1. 1. 2022. V analýze vplyvov je uvedený vplyv už v roku 2021 (podľa tab. č. 4 ide o 1,16 mil. eur na tovary a služby a 2 mil. eur kapitálový transfer pre novú a. s.) ako rozpočtovo zabezpečený, čo pred vznikom nového Úradu nie je možné. Uvedené Komisia žiada vysvetliť a zosúladiť. (zosúladené,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 xml:space="preserve">vysvetlenie: 1,2 mil Eur na tovary a služby je čiastka vyčlenená na realizáciu overenia koncepcie - Proof of Concept a Úrad vlády SR ho zastreší pri príprave a pred zriadením nového Úradu navrhnutým </w:t>
            </w:r>
            <w:r w:rsidRPr="00BF0FEB">
              <w:rPr>
                <w:rStyle w:val="Strong"/>
                <w:rFonts w:ascii="Times" w:hAnsi="Times" w:cs="Times"/>
                <w:i/>
                <w:iCs/>
                <w:sz w:val="20"/>
                <w:szCs w:val="20"/>
              </w:rPr>
              <w:t>od 1.12.2021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. Následne, ak bude relevantné, budú tieto prostriedky delimitované z Úradu vlády SR na nový Úrad. Dtto pri kapitálovom transfere pre novú a.s. v navrhovanej výške 2 mil Eur).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Zároveň Komisia žiada analýzu vplyvov upraviť a doplniť všetky relevantné tabuľky tak, aby boli kvantifikované všetky vplyvy prehľadne za jednotlivé dotknuté subjekty (nový Úrad, MDV SR, obce), vrátane prostriedkov, ktoré budú delimitované.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(zapracované čiastočne, vysvetlenie: t.č. bez všetkých prostriedkov z delimitácie, ktoré sú/ budú predmetom analýz a rokovaní)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BF0FEB">
              <w:rPr>
                <w:rFonts w:ascii="Times" w:hAnsi="Times" w:cs="Times"/>
                <w:sz w:val="20"/>
                <w:szCs w:val="20"/>
              </w:rPr>
              <w:t xml:space="preserve">V tab. č. 1 sú uvedené nulové vplyvy na rozpočty obcí, pričom v časti 2.2.4. Výpočty vplyvov na verejné financie sa uvádza, že „príde k zníženiu príjmov zo správnych poplatkov vyberaných obcami vo vzťahu k procesom územného plánovania a výstavby“. Uvedené Komisia žiada zosúladiť a kvantifikovať v súlade s § 33 zákona č. 523/2004 Z. z. Spolu s tým je potrebné uviesť aj návrhy krytia znížených príjmov. </w:t>
            </w:r>
            <w:r w:rsidRPr="00BF0FEB">
              <w:rPr>
                <w:rStyle w:val="Emphasis"/>
                <w:rFonts w:ascii="Times" w:hAnsi="Times" w:cs="Times"/>
                <w:sz w:val="20"/>
                <w:szCs w:val="20"/>
              </w:rPr>
              <w:t>(zosúladené a doplnené. Vysvetlenie: prechodom preneseného výkonu kompetencií zanikne nárok alebo aj potreba na ich krytie.)</w:t>
            </w:r>
          </w:p>
          <w:p w:rsidR="004013EF" w:rsidRPr="001422B9" w:rsidRDefault="004013EF">
            <w:pPr>
              <w:pStyle w:val="NormalWeb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Komisia žiada doplniť overiteľný spôsob odhadu výdavkov na rozpočet verejnej správy. Je potrebné najmä opísať spôsob odhadu nákladov na vývoj a prevádzku nového informačného systému Urbion.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(doplnené; vysvetlenie: odhad nákladov na vývoj a prevádzku nového informačného systému ÚPaV je realizovaný v zmysle Vyhlášky č. 85/2020, ktorá detaile špecifikuje metodiku a formu odhadu celkových nákladov vlastníctva tzv TCO.)</w:t>
            </w:r>
          </w:p>
          <w:p w:rsidR="004013EF" w:rsidRPr="00BF0FEB" w:rsidRDefault="004013EF">
            <w:pPr>
              <w:pStyle w:val="NormalWeb"/>
              <w:rPr>
                <w:rFonts w:ascii="Times" w:hAnsi="Times" w:cs="Times"/>
                <w:sz w:val="20"/>
                <w:szCs w:val="20"/>
              </w:rPr>
            </w:pP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 xml:space="preserve">Odôvodnenie: V analýze vplyvov na rozpočet verejnej správy nie je uvedený spôsob odhadu investičných výdavkov na nový IT systém a nie je kalkulovaný žiadny vplyv prevádzky IT systému na rozpočet. Komisia žiada doplniť overiteľný spôsob stanovenia odhadu výdavkov na rozpočet verejnej správy, v detaile na použité vstupné údaje a ich zdroje. </w:t>
            </w:r>
            <w:r w:rsidRPr="001422B9">
              <w:rPr>
                <w:rStyle w:val="Emphasis"/>
                <w:rFonts w:ascii="Times" w:hAnsi="Times" w:cs="Times"/>
                <w:sz w:val="20"/>
                <w:szCs w:val="20"/>
                <w:highlight w:val="yellow"/>
              </w:rPr>
              <w:t>(doplnené; vysvetlenie: spôsob financovania a obchodný model budúceho inf. systému je navrhnutý v súlade s princípom rozpočtovej neutrality, čo v prípade IS ÚPaV znamená, že všetky priame ako aj vyvolané náklady na IS ÚPaV bude znášať prevádzkovateľ IS ÚPaV, ktorý bude zaradený mimo sektor verejnej správy</w:t>
            </w:r>
            <w:r w:rsidRPr="001422B9">
              <w:rPr>
                <w:rFonts w:ascii="Times" w:hAnsi="Times" w:cs="Times"/>
                <w:sz w:val="20"/>
                <w:szCs w:val="20"/>
                <w:highlight w:val="yellow"/>
              </w:rPr>
              <w:t>)</w:t>
            </w:r>
            <w:bookmarkStart w:id="0" w:name="_GoBack"/>
            <w:bookmarkEnd w:id="0"/>
          </w:p>
        </w:tc>
      </w:tr>
    </w:tbl>
    <w:p w:rsidR="006931EC" w:rsidRPr="00543B8E" w:rsidRDefault="006931EC" w:rsidP="00543B8E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EA" w:rsidRDefault="00E20DEA">
      <w:r>
        <w:separator/>
      </w:r>
    </w:p>
  </w:endnote>
  <w:endnote w:type="continuationSeparator" w:id="0">
    <w:p w:rsidR="00E20DEA" w:rsidRDefault="00E2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EA" w:rsidRDefault="00E20DEA">
      <w:r>
        <w:separator/>
      </w:r>
    </w:p>
  </w:footnote>
  <w:footnote w:type="continuationSeparator" w:id="0">
    <w:p w:rsidR="00E20DEA" w:rsidRDefault="00E2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22B9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13EF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0DEA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DFE60DC-ACBC-44CF-9E3B-27C73AD9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2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B8E"/>
    <w:rPr>
      <w:sz w:val="20"/>
      <w:szCs w:val="20"/>
    </w:rPr>
  </w:style>
  <w:style w:type="character" w:styleId="Strong">
    <w:name w:val="Strong"/>
    <w:uiPriority w:val="22"/>
    <w:qFormat/>
    <w:rsid w:val="004013EF"/>
    <w:rPr>
      <w:b/>
      <w:bCs/>
    </w:rPr>
  </w:style>
  <w:style w:type="character" w:styleId="Hyperlink">
    <w:name w:val="Hyperlink"/>
    <w:uiPriority w:val="99"/>
    <w:semiHidden/>
    <w:unhideWhenUsed/>
    <w:rsid w:val="004013EF"/>
    <w:rPr>
      <w:color w:val="0000FF"/>
      <w:u w:val="single"/>
    </w:rPr>
  </w:style>
  <w:style w:type="character" w:styleId="Emphasis">
    <w:name w:val="Emphasis"/>
    <w:uiPriority w:val="20"/>
    <w:qFormat/>
    <w:rsid w:val="00401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vaniak@vlada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hosova.silv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2/138/2021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5.2021 16:49:09"/>
    <f:field ref="objchangedby" par="" text="Administrator, System"/>
    <f:field ref="objmodifiedat" par="" text="6.5.2021 16:49:1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3113</Words>
  <Characters>17750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Ľubor Illek</cp:lastModifiedBy>
  <cp:revision>2</cp:revision>
  <dcterms:created xsi:type="dcterms:W3CDTF">2021-05-26T11:02:00Z</dcterms:created>
  <dcterms:modified xsi:type="dcterms:W3CDTF">2021-05-26T11:02:00Z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Martin Semanco</vt:lpwstr>
  </property>
  <property fmtid="{D5CDD505-2E9C-101B-9397-08002B2CF9AE}" pid="9" name="FSC#SKEDITIONSLOVLEX@103.510:zodppredkladatel">
    <vt:lpwstr>Štefan Holý</vt:lpwstr>
  </property>
  <property fmtid="{D5CDD505-2E9C-101B-9397-08002B2CF9AE}" pid="10" name="FSC#SKEDITIONSLOVLEX@103.510:nazovpredpis">
    <vt:lpwstr> o územnom plánovaní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 - podpredseda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na roky 2021-2024</vt:lpwstr>
  </property>
  <property fmtid="{D5CDD505-2E9C-101B-9397-08002B2CF9AE}" pid="16" name="FSC#SKEDITIONSLOVLEX@103.510:plnynazovpredpis">
    <vt:lpwstr> Zákon o územnom plánovaní</vt:lpwstr>
  </property>
  <property fmtid="{D5CDD505-2E9C-101B-9397-08002B2CF9AE}" pid="17" name="FSC#SKEDITIONSLOVLEX@103.510:rezortcislopredpis">
    <vt:lpwstr>4070/2021/OLOUOŠS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LP/2021/218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</vt:lpwstr>
  </property>
  <property fmtid="{D5CDD505-2E9C-101B-9397-08002B2CF9AE}" pid="3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      V súčasnosti nie je upravené v judikatúre Súdneho dvora Európskej únie</vt:lpwstr>
  </property>
  <property fmtid="{D5CDD505-2E9C-101B-9397-08002B2CF9AE}" pid="4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neboli začaté</vt:lpwstr>
  </property>
  <property fmtid="{D5CDD505-2E9C-101B-9397-08002B2CF9AE}" pid="4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19. 4. 2021</vt:lpwstr>
  </property>
  <property fmtid="{D5CDD505-2E9C-101B-9397-08002B2CF9AE}" pid="49" name="FSC#SKEDITIONSLOVLEX@103.510:AttrDateDocPropUkonceniePKK">
    <vt:lpwstr>3. 5. 2021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5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5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30" name="FSC#COOSYSTEM@1.1:Container">
    <vt:lpwstr>COO.2145.1000.3.4349663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Andrej Doležal</vt:lpwstr>
  </property>
  <property fmtid="{D5CDD505-2E9C-101B-9397-08002B2CF9AE}" pid="133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</vt:lpwstr>
  </property>
  <property fmtid="{D5CDD505-2E9C-101B-9397-08002B2CF9AE}" pid="145" name="FSC#SKEDITIONSLOVLEX@103.510:funkciaZodpPredAkuzativ">
    <vt:lpwstr>podpredsedu vlády Slovenskej republiky</vt:lpwstr>
  </property>
  <property fmtid="{D5CDD505-2E9C-101B-9397-08002B2CF9AE}" pid="146" name="FSC#SKEDITIONSLOVLEX@103.510:funkciaZodpPredDativ">
    <vt:lpwstr>podpredsedovi vlády Slovenskej republiky</vt:lpwstr>
  </property>
  <property fmtid="{D5CDD505-2E9C-101B-9397-08002B2CF9AE}" pid="147" name="FSC#SKEDITIONSLOVLEX@103.510:funkciaDalsiPred">
    <vt:lpwstr>minister dopravy a výstavby Slovenskej republiky, </vt:lpwstr>
  </property>
  <property fmtid="{D5CDD505-2E9C-101B-9397-08002B2CF9AE}" pid="148" name="FSC#SKEDITIONSLOVLEX@103.510:funkciaDalsiPredAkuzativ">
    <vt:lpwstr>ministra dopravy a výstavby Slovenskej republiky, </vt:lpwstr>
  </property>
  <property fmtid="{D5CDD505-2E9C-101B-9397-08002B2CF9AE}" pid="149" name="FSC#SKEDITIONSLOVLEX@103.510:funkciaDalsiPredDativ">
    <vt:lpwstr>ministrovi dopravy a výstavby Slovenskej republiky, </vt:lpwstr>
  </property>
  <property fmtid="{D5CDD505-2E9C-101B-9397-08002B2CF9AE}" pid="150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6. 5. 2021</vt:lpwstr>
  </property>
</Properties>
</file>