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Vypracoval: Ing. Miroslav Líška, PhD.</w:t>
      </w:r>
    </w:p>
    <w:p>
      <w:pPr>
        <w:pStyle w:val="Normal"/>
        <w:bidi w:val="0"/>
        <w:jc w:val="left"/>
        <w:rPr/>
      </w:pPr>
      <w:r>
        <w:rPr/>
        <w:t>Schválil: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5337" w:type="dxa"/>
        <w:jc w:val="left"/>
        <w:tblInd w:w="-60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865"/>
        <w:gridCol w:w="1501"/>
        <w:gridCol w:w="1178"/>
        <w:gridCol w:w="3442"/>
        <w:gridCol w:w="3348"/>
        <w:gridCol w:w="3219"/>
        <w:gridCol w:w="1783"/>
      </w:tblGrid>
      <w:tr>
        <w:trPr>
          <w:trHeight w:val="696" w:hRule="atLeast"/>
        </w:trPr>
        <w:tc>
          <w:tcPr>
            <w:tcW w:w="13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Formulár na uplatnenie pripomienok v rámci interného pripomienkového konania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96" w:hRule="atLeast"/>
        </w:trPr>
        <w:tc>
          <w:tcPr>
            <w:tcW w:w="1355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Názov materiálu, ku ktorému sa uplatňuje pripomienka: </w:t>
            </w:r>
            <w:r>
              <w:rPr>
                <w:b w:val="false"/>
                <w:bCs w:val="false"/>
              </w:rPr>
              <w:t>LP/2021/727 Zákon, ktorým sa mení a dopĺňa zákon č. 211/2000 Z. z. o slobodnom prístupe k informáciám a o zmene a doplnení niektorých zákonov (zákon o slobode informácií) v znení neskorších</w:t>
            </w:r>
            <w:r>
              <w:rPr>
                <w:b/>
              </w:rPr>
              <w:t xml:space="preserve"> predpisov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96" w:hRule="atLeast"/>
        </w:trPr>
        <w:tc>
          <w:tcPr>
            <w:tcW w:w="1355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Organizačný útvar, ktorý uplatňuje pripomienku: oddelenie Dátovej kancelárie/SITVS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96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Poradové číslo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Časť</w:t>
            </w:r>
            <w:r>
              <w:rPr/>
              <w:br/>
            </w:r>
            <w:r>
              <w:rPr>
                <w:b/>
              </w:rPr>
              <w:t>materiálu</w:t>
            </w:r>
            <w:r>
              <w:rPr/>
              <w:br/>
            </w:r>
            <w:r>
              <w:rPr>
                <w:b/>
              </w:rPr>
              <w:t>(časť smernice)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Typ pripomienky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Pôvodný text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Navrhovaný text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Odôvodnenie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0C4DE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Vyhodnotenie</w:t>
            </w:r>
          </w:p>
        </w:tc>
      </w:tr>
      <w:tr>
        <w:trPr>
          <w:trHeight w:val="2039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21b, O: 3</w:t>
              <w:br/>
              <w:br/>
              <w:t>(Č:1, O: 1,P:a)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Povinnou osobou podľa odseku 1 písm.</w:t>
              <w:br/>
              <w:t>a) je povinná osoba podľa § 2 ods. 1, právnická osoba, ktorá spĺňa požiadavky podľa odseku 4 a združenie právnických osôb, ktorého členom je aspoň jedna z</w:t>
              <w:br/>
              <w:t>povinných osôb podľa odseku 4 alebo § 2 ods. 1.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zaviesť povinnosť pre Povinnú osobu zverejňovania otvorených údajov ako štandardný formát zverejnenia.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Účelom smernice je presadzovanie otvorených dát a stimulácie inovácií, ako je to uvedené v zdrojovom bode smernice. Jej transponovanie úplne vynecháva toto meritum veci.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04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všeobecne</w:t>
              <w:br/>
              <w:br/>
              <w:t>(Č:2, O: 5)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transponovať aj tento bod smernice. Štandardnú licenciu, alebo množinu štandardných licencií je možné jednoducho vymenovať vo vyhláške (napr. CC-BY a  podobne) a z tohto zákona ju referovať.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Štandardná licencia je bežne používaná v EÚ.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144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všeobecne</w:t>
              <w:br/>
              <w:br/>
              <w:t>(Č:2, O: 6)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Pre potrebné postupné zosúľadovanie pojmov navrhujeme dôkladne zosúladiť rôzne pojmy používané v smernici a v našom zákone.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Medzi pojmy používanými v smernici a v zákone je množstvo pojmov, ktoré sa používajú v inom význame.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278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5, O:1</w:t>
              <w:br/>
              <w:br/>
              <w:t>(Č: 4, O: 5)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(1) Každá povinná osoba podľa § 2 ods.</w:t>
              <w:br/>
              <w:t>1 a 2 je povinná zverejniť tieto</w:t>
              <w:br/>
              <w:t>informácie:</w:t>
              <w:br/>
              <w:t>a) spôsob zriadenia povinnej osoby, jej právomoci a kompetencie a popis organizačnej štruktúry,</w:t>
              <w:br/>
              <w:t>b) miesto, čas a spôsob, akým možno získavať informácie; informácie o tom, kde možno podať žiadosť, návrh, podnet, sťažnosť alebo iné podanie, c) miesto, lehota a spôsob podania opravného prostriedku a možnosti súdneho preskúmania rozhodnutia povinnej osoby vrátane výslovného uvedenia požiadaviek, ktoré musia byť Splnené,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vytvoriť povinosť Povinnej osoby publikovať otvorené údaje spôsobom, ktorý upravuje vyhláška 78/2020 o štandardoch, v časti štandardy zverejnenia otovrených údajov.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Predmetom nie je definovanie aké metadáta otvorených údajov sa sprístupňujú (spôsob zriadenia povinnej osoby, miesto ….), ale jedná sa o vytvorenie štandardov spôsobu sprístupnenia otvorených údajov (súborom, linkom, opendata api, harvestovaním ).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502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§21g ods.1</w:t>
              <w:br/>
              <w:br/>
              <w:t>(Č: 5, O: 2)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Povinná osoba sprístupňuje informácie na účely ich opakovaného použitia v podobe a spôsobom, ktoré umožňujú jej technické podmienky; prednostne však v elektronickej podobe, a pokiaľ je to možné a vhodné, ako otvorené údaje27na) umožňujúce automatizované spracovanie27nb) spolu s ich metaúdajmi.27nc) Formáty a metaúdaje by mali v čo najväčšom rozsahu spĺňať formálne technické štandardy, ktorými sa na účely tohto zákona rozumejú písomné pravidlá s podrobným uvedením špecifikácií požiadaviek na zaistenie schopnosti rôznych softvérov vzájomne si poskytovať služby a efektívne spolupracovať.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nasledovné znenie: (1) Povinná osoba sprístupňuje informácie na účely ich opakovaného použitia v podobe a spôsobom, ktoré umožňujú jej technické podmienky; prednostne však v elektronickej podobe na opakované použitie ako otvorené údaje27na) umožňujúce automatizované spracovanie27nb) spolu s ich metaúdajmi.27nc) Formáty a metaúdaje by mali v čo najväčšom rozsahu spĺňať formálne technické štandardy, ktorými sa na účely tohto zákona rozumejú písomné pravidlá s podrobným uvedením špecifikácií požiadaviek na zaistenie schopnosti rôznych softvérov vzájomne si poskytovať služby a efektívne spolupracovať.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Tento bod je jedným z najdôležitejších, navrhujeme ho transponovať ako je uvedené. Členské štáty zavádzujú rovnako tento princíp, tj. Otvorené ako štandard (viď napr. ČR)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73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21g, O:4</w:t>
              <w:br/>
              <w:br/>
              <w:t>(Č: 5, O: 6)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Ak by sprístupnenie dynamických</w:t>
              <w:br/>
              <w:t>údajov podľa odseku 3 presahovalo</w:t>
              <w:br/>
              <w:t>rámec jednoduchej operácie s ohľadom na finančné a technické možnosti povinnej osoby, povinná osoba sprístupní údaje na účel ich</w:t>
              <w:br/>
              <w:t>opakovaného použitia v časovom rámci alebo s dočasnými technickými obmedzeniami, ktoré neprimerane neznižujú využitie ich hospodárskeho a spoločenského potenciálu.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doplniť, že v prípade obmedzení bude musieť Povinná osoba prijať plán, ktorými dané technické obmedzenia odstráni. Uvedený plán musí mať písomnú formu a musí byť zverejnený.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Aby sa sprístupňovanie otvorených údajov nezaseklo, tak ako je to mu dnes. V prípade technických problémov nastáva nejasná situácia, ako daný problém riesiť.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35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21k, O:5</w:t>
              <w:br/>
              <w:br/>
              <w:t>(Č: 6, O: 3)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Ministerstvo investícií, regionálneho</w:t>
              <w:br/>
              <w:t>rozvoja a informatizácie Slovenskej</w:t>
              <w:br/>
              <w:t>republiky zverejňuje na svojom</w:t>
              <w:br/>
              <w:t>webovom sídle zoznam povinných</w:t>
              <w:br/>
              <w:t>osôb zodpovedajúcich kritériu podľa</w:t>
              <w:br/>
              <w:t>odseku 3 písm. a). Na účely vytvorenia</w:t>
              <w:br/>
              <w:t>zoznamu podľa prvej vety poskytnú</w:t>
              <w:br/>
              <w:t>tieto povinné osoby Ministerstvu</w:t>
              <w:br/>
              <w:t>investícií, regionálneho rozvoja a</w:t>
              <w:br/>
              <w:t>informatizácie Slovenskej republiky</w:t>
              <w:br/>
              <w:t>potrebnú súčinnosť.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Navrhujeme, aby bolo zverejnenie povinných osôb v súlade so štandardmi publikovania otvorených údajov vo vyhláške 78/2020.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Publikácia povinných osôb na webovom sídle Ministerstva je nedostatočná forma zverejnenia.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59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21k, O:2</w:t>
              <w:br/>
              <w:br/>
              <w:t>(Č: 6, O: 6)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Ustanovenie odseku 1 druhá veta sa</w:t>
              <w:br/>
              <w:t>nepoužije na</w:t>
              <w:br/>
              <w:t>a) súbor informácií s vysokou</w:t>
              <w:br/>
              <w:t>hodnotou, okrem informácie, ktorú má k dispozícii:</w:t>
              <w:br/>
              <w:t>1. povinná osoba podľa § 21b ods. 5, ak ich bezplatné sprístupnenie môže viesť k narušeniu hospodárskej súťaže na Trhu,</w:t>
              <w:br/>
              <w:t>2.</w:t>
              <w:br/>
              <w:t>Múzeum, galéria, knižnica, akademická knižnica a archív,</w:t>
              <w:br/>
              <w:t>b) výskumné údaje.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vypustiť časť o narušení hospodárskej súťaže.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Údaje ktoré ISVS zhromaždili, pričom boli financované ďaňovými poplatníkmi, majú byť všetky sprístupnené, ak sa nejedná o osobné údaje alebo iné chránené údaje.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069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6, O:3</w:t>
              <w:br/>
              <w:br/>
              <w:t>(Č: 9, O: 1)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Povinné osoby, ktoré prevádzkujú</w:t>
              <w:br/>
              <w:t>informačné systémy9)</w:t>
              <w:br/>
              <w:t>obsahujúce informácie, pri ktorých osobitný zákon</w:t>
              <w:br/>
              <w:t>nevylučuje verejnú prístupnosť,10) sú povinné informácie obsiahnuté v týchto registroch a zoznamoch uverejňovať na voľne prístupnej internetovej stránke. Také zverejnenie nie je porušením</w:t>
              <w:br/>
              <w:t>osobitných predpisov.9)</w:t>
              <w:br/>
              <w:br/>
              <w:t>Povinná osoba sprístupňuje informácie na účely ich opakovaného použitia v</w:t>
              <w:br/>
              <w:t>podobe a spôsobom, ktoré umožňujú jej technické podmienky; prednostne však v elektronickej podobe, a pokiaľ je to</w:t>
              <w:br/>
              <w:t>možné a vhodné, ako otvorené údaje umožňujúce automatizované</w:t>
              <w:br/>
              <w:t>spracovanie27nb) spolu s</w:t>
              <w:br/>
              <w:t>ich metaúdajmi.27nc) Formáty a metaúdaje musia v čo najväčšom rozsahu spĺňať formálne otvorené štandardy.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Navrhujeme, aby bolo zverejnenie povinných osôb v súlade so štandardmi publikovania otvorených údajov vo vyhláške 78/2020.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Publikácia povinných informácií na webovom sídle je nedostatočná forma zverejnenia.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96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21d, O:3</w:t>
              <w:br/>
              <w:br/>
              <w:t>(Č: 9, O: 2)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Ak povinná osoba sprístupní informácie na účel ich opakovaného použitia, bez zbytočného odkladu nahlási prevádzkovateľovi ústredného portálu verejnej správy27m) údaje o webových sídlach a iných miestach, kde sa zverejňujú skutočnosti týkajúce sa opakovaného použitia informácií najmä podľa § 21e ods. 6, § 21f ods. 7 a 8 a § 21k ods. 6. Prevádzkovateľ ústredného portálu verejnej správy tieto údaje bez zbytočného odkladu zverejní na ústrednom portáli verejnej správy.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nahradiť Ústredný portál verejnej správy za Centrálny portál otvorených údajov.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Centrálny portál otvorených údajov data.gov.sk je správne miesto pre publikáciu otvorených údajov, nie Ústredný portál.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všeobecne</w:t>
              <w:br/>
              <w:br/>
              <w:t>(Č: 10, O: 1)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Z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ponechať navrhovanú transpozíciu o výskumných údajov.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Výskumné údaje sú jedným z dôležitých predmetov celej transpozície.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74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21e, O:1</w:t>
              <w:br/>
              <w:br/>
              <w:br/>
              <w:t>(Č: 11, O: 1)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O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Povinná osoba je povinná sprístupniť informácie na účely opakovaného použitia všetkým žiadateľom za rovnakých podmienok.</w:t>
              <w:br/>
              <w:br/>
              <w:t>Podmienky opakovaného použitia informácií určí povinná osoba tak, aby boli v súlade so štandardmi pre</w:t>
              <w:br/>
              <w:t>informačné systémy verejnej</w:t>
              <w:br/>
              <w:t>správy,27n) nediskriminačné</w:t>
              <w:br/>
              <w:t>a obmedzovali opakované</w:t>
              <w:br/>
              <w:t>použitie informácií len v nevyhnutnej miere.</w:t>
              <w:br/>
              <w:br/>
              <w:t>Odvolanie je prípustné aj vtedy, ak</w:t>
              <w:br/>
              <w:t>povinná osoba podľa § 21b ods. 3</w:t>
              <w:br/>
              <w:t>sprístupní informácie na účel ich</w:t>
              <w:br/>
              <w:t>opakovaného použitia a žiadateľ sa</w:t>
              <w:br/>
              <w:t>domnieva, že neboli dodržané rovnaké podmienky podľa § 21e ods. 1 alebo výška úhrady nebola určená podľa §21k.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zahrnúť aj cezhraničné opätovné použitie.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Text smernice tohto bodu obsahuje aj cezhraničné opakované použitie.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830" w:hRule="atLeast"/>
        </w:trPr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§ 21e, O:3</w:t>
              <w:br/>
              <w:br/>
              <w:t>(Č: 12, O: 2)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O</w:t>
            </w: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Ustanovenie odseku 2 sa nepoužije, ak je obmedzenie opakovaného použitia nevyhnutné na zabezpečenie služieb vo</w:t>
              <w:br/>
              <w:t>verejnom záujme. Povinná osoba aspoň raz za tri roky overuje dôvody</w:t>
              <w:br/>
              <w:t>obmedzenia opakovaného použitia</w:t>
              <w:br/>
              <w:t>podľa predchádzajúcej vety, pričom z overenia vypracuje odôvodnený</w:t>
              <w:br/>
              <w:t>písomný záznam. Dohody podľa prvej vety sa zverejňujú v elektronickej podobe aspoň dva mesiace pred nadobudnutím ich účinnosti a nepretržite počas existencie záväzkov z nich vyplývajúcich.</w:t>
              <w:br/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Navrhujeme doplniť, že po vypracovaní písomného záznamu je ho potrebné zverejniť.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Transparentnosť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LibreOffice/7.2.3.2$Linux_X86_64 LibreOffice_project/a49ed84f3d037188bbbcb324f9afc3796d887539</Application>
  <AppVersion>15.0000</AppVersion>
  <Pages>7</Pages>
  <Words>1292</Words>
  <Characters>7785</Characters>
  <CharactersWithSpaces>9015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2021-12-13T17:20:26Z</dcterms:created>
  <dc:creator>Miroslav Liska</dc:creator>
  <dc:description/>
  <dc:language>en-US</dc:language>
  <cp:lastModifiedBy>Miroslav Liska</cp:lastModifiedBy>
  <dcterms:modified xsi:type="dcterms:W3CDTF">2021-12-13T17:26:26Z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