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DC337" w14:textId="42948E27" w:rsidR="0087479B" w:rsidRDefault="00564512">
      <w:pPr>
        <w:tabs>
          <w:tab w:val="left" w:pos="6521"/>
        </w:tabs>
        <w:jc w:val="both"/>
        <w:rPr>
          <w:rFonts w:ascii="Arial Narrow" w:hAnsi="Arial Narrow"/>
          <w:b/>
        </w:rPr>
      </w:pPr>
      <w:r>
        <w:rPr>
          <w:rFonts w:ascii="Arial Narrow" w:hAnsi="Arial Narrow"/>
          <w:b/>
        </w:rPr>
        <w:tab/>
        <w:t>TERMÍN: 15.01.2020</w:t>
      </w:r>
    </w:p>
    <w:p w14:paraId="4086C589" w14:textId="431D026F" w:rsidR="0087479B" w:rsidRDefault="00292300">
      <w:pPr>
        <w:jc w:val="both"/>
        <w:rPr>
          <w:rFonts w:ascii="Arial Narrow" w:hAnsi="Arial Narrow"/>
          <w:b/>
        </w:rPr>
      </w:pPr>
      <w:r>
        <w:rPr>
          <w:rFonts w:ascii="Arial Narrow" w:hAnsi="Arial Narrow"/>
          <w:b/>
        </w:rPr>
        <w:t xml:space="preserve">NÁZOV MATERIÁLU: </w:t>
      </w:r>
      <w:r w:rsidR="00564512">
        <w:rPr>
          <w:rFonts w:ascii="Arial Narrow" w:hAnsi="Arial Narrow"/>
        </w:rPr>
        <w:t>OverSi po roku (</w:t>
      </w:r>
      <w:r w:rsidR="00564512" w:rsidRPr="00564512">
        <w:rPr>
          <w:rFonts w:ascii="Arial Narrow" w:hAnsi="Arial Narrow"/>
        </w:rPr>
        <w:t>Analýza dopadov zákona proti byrokracii</w:t>
      </w:r>
      <w:r w:rsidR="00564512">
        <w:rPr>
          <w:rFonts w:ascii="Arial Narrow" w:hAnsi="Arial Narrow"/>
        </w:rPr>
        <w:t>)</w:t>
      </w:r>
      <w:r w:rsidR="00EF5EA5">
        <w:rPr>
          <w:rStyle w:val="Odkaznapoznmkupodiarou"/>
          <w:rFonts w:ascii="Arial Narrow" w:hAnsi="Arial Narrow"/>
        </w:rPr>
        <w:footnoteReference w:id="1"/>
      </w:r>
    </w:p>
    <w:p w14:paraId="0D54E739" w14:textId="77777777" w:rsidR="0087479B" w:rsidRDefault="00292300">
      <w:pPr>
        <w:jc w:val="both"/>
        <w:rPr>
          <w:rFonts w:ascii="Arial Narrow" w:hAnsi="Arial Narrow"/>
        </w:rPr>
      </w:pPr>
      <w:r>
        <w:rPr>
          <w:rFonts w:ascii="Arial Narrow" w:hAnsi="Arial Narrow"/>
          <w:b/>
        </w:rPr>
        <w:t>TYP VÝSTUPU</w:t>
      </w:r>
      <w:r>
        <w:rPr>
          <w:rStyle w:val="FootnoteAnchor"/>
          <w:rFonts w:ascii="Arial Narrow" w:hAnsi="Arial Narrow"/>
          <w:b/>
        </w:rPr>
        <w:footnoteReference w:id="2"/>
      </w:r>
      <w:r>
        <w:rPr>
          <w:rFonts w:ascii="Arial Narrow" w:hAnsi="Arial Narrow"/>
          <w:b/>
        </w:rPr>
        <w:t xml:space="preserve">: </w:t>
      </w:r>
      <w:r>
        <w:rPr>
          <w:rFonts w:ascii="Arial Narrow" w:hAnsi="Arial Narrow"/>
        </w:rPr>
        <w:t>analýza</w:t>
      </w:r>
    </w:p>
    <w:p w14:paraId="0D373001" w14:textId="77777777" w:rsidR="0087479B" w:rsidRDefault="00292300">
      <w:pPr>
        <w:jc w:val="both"/>
        <w:rPr>
          <w:rFonts w:ascii="Arial Narrow" w:hAnsi="Arial Narrow"/>
          <w:b/>
        </w:rPr>
      </w:pPr>
      <w:r>
        <w:rPr>
          <w:rFonts w:ascii="Arial Narrow" w:hAnsi="Arial Narrow"/>
          <w:b/>
        </w:rPr>
        <w:t xml:space="preserve">AUTOR: </w:t>
      </w:r>
      <w:r>
        <w:rPr>
          <w:rFonts w:ascii="Arial Narrow" w:hAnsi="Arial Narrow"/>
        </w:rPr>
        <w:t>Pavol Fedor</w:t>
      </w:r>
    </w:p>
    <w:p w14:paraId="193955FB" w14:textId="01E4C73B" w:rsidR="0087479B" w:rsidRDefault="00292300">
      <w:pPr>
        <w:jc w:val="both"/>
        <w:rPr>
          <w:rFonts w:ascii="Arial Narrow" w:hAnsi="Arial Narrow"/>
        </w:rPr>
      </w:pPr>
      <w:r>
        <w:rPr>
          <w:rFonts w:ascii="Arial Narrow" w:hAnsi="Arial Narrow"/>
          <w:b/>
        </w:rPr>
        <w:t xml:space="preserve">ANALYTICKÝ ÚTAR, REZORT: </w:t>
      </w:r>
      <w:r>
        <w:rPr>
          <w:rFonts w:ascii="Arial Narrow" w:hAnsi="Arial Narrow"/>
        </w:rPr>
        <w:t xml:space="preserve">Inštitút digitálnych a rozvojových politík, </w:t>
      </w:r>
      <w:r w:rsidR="00564512">
        <w:rPr>
          <w:rFonts w:ascii="Arial Narrow" w:hAnsi="Arial Narrow"/>
        </w:rPr>
        <w:t>Ministerstvo investícií, regionálneho rozvoja a informatizácie SR</w:t>
      </w:r>
    </w:p>
    <w:p w14:paraId="47A439D4" w14:textId="77777777" w:rsidR="0087479B" w:rsidRDefault="00292300">
      <w:pPr>
        <w:jc w:val="both"/>
        <w:rPr>
          <w:rFonts w:ascii="Arial Narrow" w:hAnsi="Arial Narrow"/>
        </w:rPr>
      </w:pPr>
      <w:r>
        <w:rPr>
          <w:rFonts w:ascii="Arial Narrow" w:hAnsi="Arial Narrow"/>
          <w:b/>
        </w:rPr>
        <w:t>RECENZNÝ FORMÁT</w:t>
      </w:r>
      <w:r>
        <w:rPr>
          <w:rStyle w:val="FootnoteAnchor"/>
          <w:rFonts w:ascii="Arial Narrow" w:hAnsi="Arial Narrow"/>
          <w:b/>
        </w:rPr>
        <w:footnoteReference w:id="3"/>
      </w:r>
      <w:r>
        <w:rPr>
          <w:rFonts w:ascii="Arial Narrow" w:hAnsi="Arial Narrow"/>
          <w:b/>
        </w:rPr>
        <w:t xml:space="preserve">: </w:t>
      </w:r>
      <w:r>
        <w:rPr>
          <w:rFonts w:ascii="Arial Narrow" w:hAnsi="Arial Narrow"/>
        </w:rPr>
        <w:t>2</w:t>
      </w:r>
    </w:p>
    <w:p w14:paraId="024B43F9" w14:textId="77777777" w:rsidR="0087479B" w:rsidRDefault="00292300">
      <w:pPr>
        <w:jc w:val="both"/>
      </w:pPr>
      <w:r>
        <w:rPr>
          <w:rFonts w:ascii="Arial Narrow" w:hAnsi="Arial Narrow"/>
          <w:b/>
        </w:rPr>
        <w:t xml:space="preserve">RECENZENT: </w:t>
      </w:r>
      <w:r>
        <w:rPr>
          <w:rFonts w:ascii="Arial Narrow" w:hAnsi="Arial Narrow"/>
        </w:rPr>
        <w:t>Ján Suchal, Slovensko.Digital</w:t>
      </w:r>
    </w:p>
    <w:p w14:paraId="1C7B65A6" w14:textId="77777777" w:rsidR="0087479B" w:rsidRDefault="0087479B">
      <w:pPr>
        <w:jc w:val="both"/>
        <w:rPr>
          <w:rFonts w:ascii="Arial Narrow" w:hAnsi="Arial Narrow"/>
          <w:b/>
        </w:rPr>
      </w:pPr>
    </w:p>
    <w:p w14:paraId="44F76201" w14:textId="77777777" w:rsidR="0087479B" w:rsidRDefault="00292300">
      <w:pPr>
        <w:jc w:val="both"/>
        <w:rPr>
          <w:rFonts w:ascii="Arial Narrow" w:hAnsi="Arial Narrow"/>
          <w:b/>
        </w:rPr>
      </w:pPr>
      <w:r>
        <w:rPr>
          <w:rFonts w:ascii="Arial Narrow" w:hAnsi="Arial Narrow"/>
          <w:b/>
        </w:rPr>
        <w:t>PRIPOMIENKY:</w:t>
      </w:r>
    </w:p>
    <w:tbl>
      <w:tblPr>
        <w:tblStyle w:val="Mriekatabuky"/>
        <w:tblW w:w="9062" w:type="dxa"/>
        <w:tblLook w:val="04A0" w:firstRow="1" w:lastRow="0" w:firstColumn="1" w:lastColumn="0" w:noHBand="0" w:noVBand="1"/>
      </w:tblPr>
      <w:tblGrid>
        <w:gridCol w:w="2266"/>
        <w:gridCol w:w="2265"/>
        <w:gridCol w:w="2266"/>
        <w:gridCol w:w="2265"/>
      </w:tblGrid>
      <w:tr w:rsidR="0087479B" w:rsidRPr="0084546B" w14:paraId="1365B5F5" w14:textId="77777777" w:rsidTr="00854080">
        <w:tc>
          <w:tcPr>
            <w:tcW w:w="2266" w:type="dxa"/>
            <w:shd w:val="clear" w:color="auto" w:fill="auto"/>
            <w:vAlign w:val="center"/>
          </w:tcPr>
          <w:p w14:paraId="6177A2E4" w14:textId="77777777" w:rsidR="0087479B" w:rsidRPr="0084546B" w:rsidRDefault="00292300">
            <w:pPr>
              <w:spacing w:after="0" w:line="240" w:lineRule="auto"/>
              <w:jc w:val="center"/>
              <w:rPr>
                <w:rFonts w:ascii="Arial Narrow" w:hAnsi="Arial Narrow"/>
                <w:b/>
              </w:rPr>
            </w:pPr>
            <w:r w:rsidRPr="0084546B">
              <w:rPr>
                <w:rFonts w:ascii="Arial Narrow" w:hAnsi="Arial Narrow"/>
                <w:b/>
              </w:rPr>
              <w:t>Pripomienka sa vzťahuje k (strana, kapitola, odsek)</w:t>
            </w:r>
          </w:p>
        </w:tc>
        <w:tc>
          <w:tcPr>
            <w:tcW w:w="2265" w:type="dxa"/>
            <w:shd w:val="clear" w:color="auto" w:fill="auto"/>
            <w:vAlign w:val="center"/>
          </w:tcPr>
          <w:p w14:paraId="45B0FF90" w14:textId="77777777" w:rsidR="0087479B" w:rsidRPr="0084546B" w:rsidRDefault="00292300">
            <w:pPr>
              <w:spacing w:after="0" w:line="240" w:lineRule="auto"/>
              <w:jc w:val="center"/>
              <w:rPr>
                <w:rFonts w:ascii="Arial Narrow" w:hAnsi="Arial Narrow"/>
                <w:b/>
              </w:rPr>
            </w:pPr>
            <w:r w:rsidRPr="0084546B">
              <w:rPr>
                <w:rFonts w:ascii="Arial Narrow" w:hAnsi="Arial Narrow"/>
                <w:b/>
              </w:rPr>
              <w:t>Text pripomienky</w:t>
            </w:r>
          </w:p>
        </w:tc>
        <w:tc>
          <w:tcPr>
            <w:tcW w:w="2266" w:type="dxa"/>
            <w:shd w:val="clear" w:color="auto" w:fill="auto"/>
            <w:vAlign w:val="center"/>
          </w:tcPr>
          <w:p w14:paraId="3248FF05" w14:textId="77777777" w:rsidR="0087479B" w:rsidRPr="0084546B" w:rsidRDefault="00292300">
            <w:pPr>
              <w:spacing w:after="0" w:line="240" w:lineRule="auto"/>
              <w:jc w:val="center"/>
              <w:rPr>
                <w:rFonts w:ascii="Arial Narrow" w:hAnsi="Arial Narrow"/>
                <w:b/>
              </w:rPr>
            </w:pPr>
            <w:r w:rsidRPr="0084546B">
              <w:rPr>
                <w:rFonts w:ascii="Arial Narrow" w:hAnsi="Arial Narrow"/>
                <w:b/>
              </w:rPr>
              <w:t>Zdôvodnenie pripomienky</w:t>
            </w:r>
          </w:p>
        </w:tc>
        <w:tc>
          <w:tcPr>
            <w:tcW w:w="2265" w:type="dxa"/>
            <w:shd w:val="clear" w:color="auto" w:fill="auto"/>
            <w:vAlign w:val="center"/>
          </w:tcPr>
          <w:p w14:paraId="356C3623" w14:textId="77777777" w:rsidR="0087479B" w:rsidRPr="0084546B" w:rsidRDefault="00292300">
            <w:pPr>
              <w:spacing w:after="0" w:line="240" w:lineRule="auto"/>
              <w:jc w:val="center"/>
              <w:rPr>
                <w:rFonts w:ascii="Arial Narrow" w:hAnsi="Arial Narrow"/>
                <w:b/>
              </w:rPr>
            </w:pPr>
            <w:r w:rsidRPr="0084546B">
              <w:rPr>
                <w:rFonts w:ascii="Arial Narrow" w:hAnsi="Arial Narrow"/>
                <w:b/>
              </w:rPr>
              <w:t>Vysporiadanie sa s pripomienkou</w:t>
            </w:r>
            <w:r w:rsidRPr="0084546B">
              <w:rPr>
                <w:rStyle w:val="FootnoteAnchor"/>
                <w:rFonts w:ascii="Arial Narrow" w:hAnsi="Arial Narrow"/>
                <w:b/>
              </w:rPr>
              <w:footnoteReference w:id="4"/>
            </w:r>
          </w:p>
        </w:tc>
      </w:tr>
      <w:tr w:rsidR="0087479B" w:rsidRPr="0084546B" w14:paraId="5C353AE0" w14:textId="77777777" w:rsidTr="00854080">
        <w:tc>
          <w:tcPr>
            <w:tcW w:w="2266" w:type="dxa"/>
            <w:shd w:val="clear" w:color="auto" w:fill="auto"/>
          </w:tcPr>
          <w:p w14:paraId="4002384B" w14:textId="77777777" w:rsidR="0087479B" w:rsidRPr="0084546B" w:rsidRDefault="00292300">
            <w:pPr>
              <w:pStyle w:val="Zkladntext"/>
              <w:spacing w:after="0" w:line="240" w:lineRule="auto"/>
              <w:jc w:val="both"/>
              <w:rPr>
                <w:rFonts w:ascii="Arial Narrow" w:hAnsi="Arial Narrow"/>
              </w:rPr>
            </w:pPr>
            <w:r w:rsidRPr="0084546B">
              <w:rPr>
                <w:rFonts w:ascii="Arial Narrow" w:hAnsi="Arial Narrow"/>
                <w:color w:val="000000"/>
              </w:rPr>
              <w:t>Strana 1, úvod</w:t>
            </w:r>
          </w:p>
        </w:tc>
        <w:tc>
          <w:tcPr>
            <w:tcW w:w="2265" w:type="dxa"/>
            <w:shd w:val="clear" w:color="auto" w:fill="auto"/>
          </w:tcPr>
          <w:p w14:paraId="3036693E" w14:textId="77777777" w:rsidR="0087479B" w:rsidRPr="0084546B" w:rsidRDefault="00292300">
            <w:pPr>
              <w:spacing w:after="0" w:line="240" w:lineRule="auto"/>
              <w:jc w:val="both"/>
              <w:rPr>
                <w:rFonts w:ascii="Arial Narrow" w:hAnsi="Arial Narrow"/>
              </w:rPr>
            </w:pPr>
            <w:r w:rsidRPr="0084546B">
              <w:rPr>
                <w:rFonts w:ascii="Arial Narrow" w:hAnsi="Arial Narrow"/>
              </w:rPr>
              <w:t>Prosíme zadefinovať, prípadne vymenovať, ktoré služby sú prioritne elektronická komunikácia. Z názvu sa javí, že by malo ísť o služby, ktoré sa prioritne vybavujú CELÉ elektronicky, čiže napríklad komunikácia cez schránky UPVS (ktorá je nielen prioritná ale dokonca povinná pre subjekty zapísané v ORSR, služby finančnej správy, ...)</w:t>
            </w:r>
          </w:p>
        </w:tc>
        <w:tc>
          <w:tcPr>
            <w:tcW w:w="2266" w:type="dxa"/>
            <w:shd w:val="clear" w:color="auto" w:fill="auto"/>
          </w:tcPr>
          <w:p w14:paraId="32703AC1" w14:textId="77777777" w:rsidR="0087479B" w:rsidRPr="0084546B" w:rsidRDefault="0087479B">
            <w:pPr>
              <w:spacing w:after="0" w:line="240" w:lineRule="auto"/>
              <w:jc w:val="both"/>
              <w:rPr>
                <w:rFonts w:ascii="Arial Narrow" w:hAnsi="Arial Narrow"/>
              </w:rPr>
            </w:pPr>
          </w:p>
        </w:tc>
        <w:tc>
          <w:tcPr>
            <w:tcW w:w="2265" w:type="dxa"/>
            <w:shd w:val="clear" w:color="auto" w:fill="auto"/>
          </w:tcPr>
          <w:p w14:paraId="168ABFAE" w14:textId="77777777" w:rsidR="0087479B" w:rsidRPr="0084546B" w:rsidRDefault="00793246">
            <w:pPr>
              <w:spacing w:after="0" w:line="240" w:lineRule="auto"/>
              <w:jc w:val="both"/>
              <w:rPr>
                <w:rFonts w:ascii="Arial Narrow" w:hAnsi="Arial Narrow"/>
              </w:rPr>
            </w:pPr>
            <w:r w:rsidRPr="0084546B">
              <w:rPr>
                <w:rFonts w:ascii="Arial Narrow" w:hAnsi="Arial Narrow"/>
              </w:rPr>
              <w:t>Akceptované.</w:t>
            </w:r>
          </w:p>
          <w:p w14:paraId="63E82736" w14:textId="77777777" w:rsidR="00793246" w:rsidRPr="0084546B" w:rsidRDefault="00793246">
            <w:pPr>
              <w:spacing w:after="0" w:line="240" w:lineRule="auto"/>
              <w:jc w:val="both"/>
              <w:rPr>
                <w:rFonts w:ascii="Arial Narrow" w:hAnsi="Arial Narrow"/>
              </w:rPr>
            </w:pPr>
            <w:r w:rsidRPr="0084546B">
              <w:rPr>
                <w:rFonts w:ascii="Arial Narrow" w:hAnsi="Arial Narrow"/>
              </w:rPr>
              <w:t xml:space="preserve">Zámerom analýzy bolo vypracovať prvotnú analýzu, ktorá by predstavovala začiatočnú fázu analýzy elektronickej komunikácie z pohľadu elektronizácie vybraných potvrdení. Ďalšia časť by bola následne zameraná na iné elektronické služby typu MetaIS, ÚPVS a pod. Z dôvodu rozdielnych pohľadov na elektronickú komunikáciu bude táto analýza zameraná len na elektronizáciu vybraných potvrdení z dátových zdrojov oversi.gov.sk a IS DCOM. Analýza služieb pre prioritne elektronickú komunikáciu, ako úloha z Implementačného plánu revízie výdavkov na informatizáciu, bude vypracovaná po stretnutí </w:t>
            </w:r>
            <w:r w:rsidRPr="0084546B">
              <w:rPr>
                <w:rFonts w:ascii="Arial Narrow" w:hAnsi="Arial Narrow"/>
              </w:rPr>
              <w:lastRenderedPageBreak/>
              <w:t>s Implementačnou jednotkou, nakoľko táto úloha nebola touto analýzou splnená.</w:t>
            </w:r>
          </w:p>
        </w:tc>
      </w:tr>
      <w:tr w:rsidR="0087479B" w:rsidRPr="0084546B" w14:paraId="73E8E7A6" w14:textId="77777777" w:rsidTr="00854080">
        <w:tc>
          <w:tcPr>
            <w:tcW w:w="2266" w:type="dxa"/>
            <w:shd w:val="clear" w:color="auto" w:fill="auto"/>
          </w:tcPr>
          <w:p w14:paraId="012091AC" w14:textId="77777777" w:rsidR="0087479B" w:rsidRPr="0084546B" w:rsidRDefault="00292300">
            <w:pPr>
              <w:spacing w:after="0" w:line="240" w:lineRule="auto"/>
              <w:jc w:val="both"/>
              <w:rPr>
                <w:rFonts w:ascii="Arial Narrow" w:hAnsi="Arial Narrow"/>
              </w:rPr>
            </w:pPr>
            <w:r w:rsidRPr="0084546B">
              <w:rPr>
                <w:rFonts w:ascii="Arial Narrow" w:hAnsi="Arial Narrow"/>
              </w:rPr>
              <w:lastRenderedPageBreak/>
              <w:t>Strana 1, úspora z elektronickej komunikácie</w:t>
            </w:r>
          </w:p>
        </w:tc>
        <w:tc>
          <w:tcPr>
            <w:tcW w:w="2265" w:type="dxa"/>
            <w:shd w:val="clear" w:color="auto" w:fill="auto"/>
          </w:tcPr>
          <w:p w14:paraId="59813558" w14:textId="77777777" w:rsidR="0087479B" w:rsidRPr="0084546B" w:rsidRDefault="00292300">
            <w:pPr>
              <w:spacing w:after="0" w:line="240" w:lineRule="auto"/>
              <w:jc w:val="both"/>
              <w:rPr>
                <w:rFonts w:ascii="Arial Narrow" w:hAnsi="Arial Narrow"/>
              </w:rPr>
            </w:pPr>
            <w:r w:rsidRPr="0084546B">
              <w:rPr>
                <w:rFonts w:ascii="Arial Narrow" w:hAnsi="Arial Narrow"/>
              </w:rPr>
              <w:t xml:space="preserve">Dokument má analyticky riešiť celkovo elektronickú komunikáciu, všetky súčasné služby a najmä má vytvoriť plán, aké zmeny je vhodné do budúcnosti spraviť. </w:t>
            </w:r>
          </w:p>
        </w:tc>
        <w:tc>
          <w:tcPr>
            <w:tcW w:w="2266" w:type="dxa"/>
            <w:shd w:val="clear" w:color="auto" w:fill="auto"/>
          </w:tcPr>
          <w:p w14:paraId="4CE86436" w14:textId="77777777" w:rsidR="0087479B" w:rsidRPr="0084546B" w:rsidRDefault="0087479B">
            <w:pPr>
              <w:spacing w:after="0" w:line="240" w:lineRule="auto"/>
              <w:jc w:val="both"/>
              <w:rPr>
                <w:rFonts w:ascii="Arial Narrow" w:hAnsi="Arial Narrow"/>
              </w:rPr>
            </w:pPr>
          </w:p>
        </w:tc>
        <w:tc>
          <w:tcPr>
            <w:tcW w:w="2265" w:type="dxa"/>
            <w:shd w:val="clear" w:color="auto" w:fill="auto"/>
          </w:tcPr>
          <w:p w14:paraId="0A59387F" w14:textId="77777777" w:rsidR="00793246" w:rsidRPr="0084546B" w:rsidRDefault="00793246">
            <w:pPr>
              <w:spacing w:after="0" w:line="240" w:lineRule="auto"/>
              <w:jc w:val="both"/>
              <w:rPr>
                <w:rFonts w:ascii="Arial Narrow" w:hAnsi="Arial Narrow"/>
              </w:rPr>
            </w:pPr>
            <w:r w:rsidRPr="0084546B">
              <w:rPr>
                <w:rFonts w:ascii="Arial Narrow" w:hAnsi="Arial Narrow"/>
              </w:rPr>
              <w:t xml:space="preserve">Akceptované. </w:t>
            </w:r>
          </w:p>
          <w:p w14:paraId="1BD9218D" w14:textId="77777777" w:rsidR="0087479B" w:rsidRPr="0084546B" w:rsidRDefault="00793246">
            <w:pPr>
              <w:spacing w:after="0" w:line="240" w:lineRule="auto"/>
              <w:jc w:val="both"/>
              <w:rPr>
                <w:rFonts w:ascii="Arial Narrow" w:hAnsi="Arial Narrow"/>
              </w:rPr>
            </w:pPr>
            <w:r w:rsidRPr="0084546B">
              <w:rPr>
                <w:rFonts w:ascii="Arial Narrow" w:hAnsi="Arial Narrow"/>
              </w:rPr>
              <w:t>Analýza bude po novom zameraná na vybudovaný portál oversi.gov.sk, s tým spojený IS DCOM, ktorý tiež poskytuje elektronické odpisy.</w:t>
            </w:r>
          </w:p>
        </w:tc>
      </w:tr>
      <w:tr w:rsidR="0087479B" w:rsidRPr="0084546B" w14:paraId="23539739" w14:textId="77777777" w:rsidTr="00854080">
        <w:tc>
          <w:tcPr>
            <w:tcW w:w="2266" w:type="dxa"/>
            <w:shd w:val="clear" w:color="auto" w:fill="auto"/>
          </w:tcPr>
          <w:p w14:paraId="490BCBCE" w14:textId="77777777" w:rsidR="0087479B" w:rsidRPr="0084546B" w:rsidRDefault="00292300">
            <w:pPr>
              <w:spacing w:after="0" w:line="240" w:lineRule="auto"/>
              <w:jc w:val="both"/>
              <w:rPr>
                <w:rFonts w:ascii="Arial Narrow" w:hAnsi="Arial Narrow"/>
              </w:rPr>
            </w:pPr>
            <w:r w:rsidRPr="0084546B">
              <w:rPr>
                <w:rFonts w:ascii="Arial Narrow" w:hAnsi="Arial Narrow"/>
              </w:rPr>
              <w:t>Strana 3, “</w:t>
            </w:r>
            <w:bookmarkStart w:id="1" w:name="docs-internal-guid-06a63b5c-7fff-943f-c6"/>
            <w:bookmarkEnd w:id="1"/>
            <w:r w:rsidRPr="0084546B">
              <w:rPr>
                <w:rFonts w:ascii="Arial Narrow" w:hAnsi="Arial Narrow"/>
                <w:color w:val="000000"/>
              </w:rPr>
              <w:t xml:space="preserve">Nakoľko celkové náklady spojené s funkčnosťou portálu oversi.gov.sk a IS DCOM na poskytovanie výpisov/odpisov z registrov sú nákladmi štátu, </w:t>
            </w:r>
            <w:r w:rsidRPr="0084546B">
              <w:rPr>
                <w:rFonts w:ascii="Arial Narrow" w:hAnsi="Arial Narrow"/>
              </w:rPr>
              <w:t>na výsledky analýzy nemajú vplyv, nakoľko zameranie analýzy je smerované na úsporu občana, resp. podnikateľa.“</w:t>
            </w:r>
          </w:p>
        </w:tc>
        <w:tc>
          <w:tcPr>
            <w:tcW w:w="2265" w:type="dxa"/>
            <w:shd w:val="clear" w:color="auto" w:fill="auto"/>
          </w:tcPr>
          <w:p w14:paraId="64968B74" w14:textId="77777777" w:rsidR="0087479B" w:rsidRPr="0084546B" w:rsidRDefault="00292300">
            <w:pPr>
              <w:spacing w:after="0" w:line="240" w:lineRule="auto"/>
              <w:jc w:val="both"/>
              <w:rPr>
                <w:rFonts w:ascii="Arial Narrow" w:hAnsi="Arial Narrow"/>
              </w:rPr>
            </w:pPr>
            <w:r w:rsidRPr="0084546B">
              <w:rPr>
                <w:rFonts w:ascii="Arial Narrow" w:hAnsi="Arial Narrow"/>
              </w:rPr>
              <w:t>Tento úzky pohľad na analýzu úspor z elektronickej komunikácie považujeme za nesprávny. Občan sa nemalou mierou svojich peňazí (daní) podiela aj na nákladoch na obstaranie a prevádzku týchto systémov, preto vstupné a prevádzkové náklady žiadame doplniť do analýzy a vyhodnotiť úspory občanov komplexne. Tieto pohľady nie je možné oddeliť, v opačnom prípade by to znamenalo, že ľubovoľný IS, ktorý ušetrí občanovi čo i len jedno euro jeho času, by vykazoval úspory a mohol mať ľubovoľné vysoké vstupné a prevádzové náklady na strane štátu.</w:t>
            </w:r>
          </w:p>
        </w:tc>
        <w:tc>
          <w:tcPr>
            <w:tcW w:w="2266" w:type="dxa"/>
            <w:shd w:val="clear" w:color="auto" w:fill="auto"/>
          </w:tcPr>
          <w:p w14:paraId="7E70D760" w14:textId="77777777" w:rsidR="0087479B" w:rsidRPr="0084546B" w:rsidRDefault="0087479B">
            <w:pPr>
              <w:spacing w:after="0" w:line="240" w:lineRule="auto"/>
              <w:jc w:val="both"/>
              <w:rPr>
                <w:rFonts w:ascii="Arial Narrow" w:hAnsi="Arial Narrow"/>
              </w:rPr>
            </w:pPr>
          </w:p>
        </w:tc>
        <w:tc>
          <w:tcPr>
            <w:tcW w:w="2265" w:type="dxa"/>
            <w:shd w:val="clear" w:color="auto" w:fill="auto"/>
          </w:tcPr>
          <w:p w14:paraId="4A036FD7" w14:textId="77777777" w:rsidR="0087479B" w:rsidRPr="0084546B" w:rsidRDefault="00793246">
            <w:pPr>
              <w:spacing w:after="0" w:line="240" w:lineRule="auto"/>
              <w:jc w:val="both"/>
              <w:rPr>
                <w:rFonts w:ascii="Arial Narrow" w:hAnsi="Arial Narrow"/>
              </w:rPr>
            </w:pPr>
            <w:r w:rsidRPr="0084546B">
              <w:rPr>
                <w:rFonts w:ascii="Arial Narrow" w:hAnsi="Arial Narrow"/>
              </w:rPr>
              <w:t>Akceptované.</w:t>
            </w:r>
          </w:p>
          <w:p w14:paraId="00E66F97" w14:textId="77777777" w:rsidR="00793246" w:rsidRPr="0084546B" w:rsidRDefault="00793246">
            <w:pPr>
              <w:spacing w:after="0" w:line="240" w:lineRule="auto"/>
              <w:jc w:val="both"/>
              <w:rPr>
                <w:rFonts w:ascii="Arial Narrow" w:hAnsi="Arial Narrow"/>
              </w:rPr>
            </w:pPr>
            <w:r w:rsidRPr="0084546B">
              <w:rPr>
                <w:rFonts w:ascii="Arial Narrow" w:hAnsi="Arial Narrow"/>
              </w:rPr>
              <w:t xml:space="preserve">Analýza bola rozšírená o CBA analýzu, vrátane nákladovej časti. </w:t>
            </w:r>
          </w:p>
        </w:tc>
      </w:tr>
      <w:tr w:rsidR="0087479B" w:rsidRPr="0084546B" w14:paraId="33C69A5E" w14:textId="77777777" w:rsidTr="00854080">
        <w:tc>
          <w:tcPr>
            <w:tcW w:w="2266" w:type="dxa"/>
            <w:shd w:val="clear" w:color="auto" w:fill="auto"/>
          </w:tcPr>
          <w:p w14:paraId="58DD355B" w14:textId="77777777" w:rsidR="0087479B" w:rsidRPr="0084546B" w:rsidRDefault="00292300">
            <w:pPr>
              <w:spacing w:after="0" w:line="240" w:lineRule="auto"/>
              <w:jc w:val="both"/>
              <w:rPr>
                <w:rFonts w:ascii="Arial Narrow" w:hAnsi="Arial Narrow"/>
                <w:color w:val="000000"/>
              </w:rPr>
            </w:pPr>
            <w:bookmarkStart w:id="2" w:name="docs-internal-guid-28520154-7fff-c1e4-a5"/>
            <w:bookmarkEnd w:id="2"/>
            <w:r w:rsidRPr="0084546B">
              <w:rPr>
                <w:rFonts w:ascii="Arial Narrow" w:hAnsi="Arial Narrow"/>
                <w:color w:val="000000"/>
              </w:rPr>
              <w:t>Strana 3, „Súčasne, po účinnosti zákona proti byrokracii, procesy na strane OVM ostávajú takmer nezmenené.“</w:t>
            </w:r>
          </w:p>
          <w:p w14:paraId="3954CC9F" w14:textId="77777777" w:rsidR="0087479B" w:rsidRPr="0084546B" w:rsidRDefault="0087479B">
            <w:pPr>
              <w:spacing w:after="0" w:line="240" w:lineRule="auto"/>
              <w:jc w:val="both"/>
              <w:rPr>
                <w:rFonts w:ascii="Arial Narrow" w:hAnsi="Arial Narrow"/>
              </w:rPr>
            </w:pPr>
          </w:p>
        </w:tc>
        <w:tc>
          <w:tcPr>
            <w:tcW w:w="2265" w:type="dxa"/>
            <w:shd w:val="clear" w:color="auto" w:fill="auto"/>
          </w:tcPr>
          <w:p w14:paraId="053AC8C8" w14:textId="77777777" w:rsidR="0087479B" w:rsidRPr="0084546B" w:rsidRDefault="00292300">
            <w:pPr>
              <w:spacing w:after="0" w:line="240" w:lineRule="auto"/>
              <w:jc w:val="both"/>
              <w:rPr>
                <w:rFonts w:ascii="Arial Narrow" w:hAnsi="Arial Narrow"/>
              </w:rPr>
            </w:pPr>
            <w:r w:rsidRPr="0084546B">
              <w:rPr>
                <w:rFonts w:ascii="Arial Narrow" w:hAnsi="Arial Narrow"/>
              </w:rPr>
              <w:t>Úradníkov bolo a bude potrebné zaškoliť na používanie tohto systému, úradník strávi nejaký čas navyše spracovávaním novej agendy (dohľadávania výpisov), čo opäť vstupuje ako nákladová položka do prevádzky tohto nového systému.</w:t>
            </w:r>
          </w:p>
        </w:tc>
        <w:tc>
          <w:tcPr>
            <w:tcW w:w="2266" w:type="dxa"/>
            <w:shd w:val="clear" w:color="auto" w:fill="auto"/>
          </w:tcPr>
          <w:p w14:paraId="3B354C0A" w14:textId="77777777" w:rsidR="0087479B" w:rsidRPr="0084546B" w:rsidRDefault="0087479B">
            <w:pPr>
              <w:spacing w:after="0" w:line="240" w:lineRule="auto"/>
              <w:jc w:val="both"/>
              <w:rPr>
                <w:rFonts w:ascii="Arial Narrow" w:hAnsi="Arial Narrow"/>
              </w:rPr>
            </w:pPr>
          </w:p>
        </w:tc>
        <w:tc>
          <w:tcPr>
            <w:tcW w:w="2265" w:type="dxa"/>
            <w:shd w:val="clear" w:color="auto" w:fill="auto"/>
          </w:tcPr>
          <w:p w14:paraId="06B2FBFF" w14:textId="77777777" w:rsidR="0087479B" w:rsidRPr="0084546B" w:rsidRDefault="00793246">
            <w:pPr>
              <w:spacing w:after="0" w:line="240" w:lineRule="auto"/>
              <w:jc w:val="both"/>
              <w:rPr>
                <w:rFonts w:ascii="Arial Narrow" w:hAnsi="Arial Narrow"/>
              </w:rPr>
            </w:pPr>
            <w:r w:rsidRPr="0084546B">
              <w:rPr>
                <w:rFonts w:ascii="Arial Narrow" w:hAnsi="Arial Narrow"/>
              </w:rPr>
              <w:t>Akceptované.</w:t>
            </w:r>
          </w:p>
          <w:p w14:paraId="1B7A0961" w14:textId="77777777" w:rsidR="00793246" w:rsidRPr="0084546B" w:rsidRDefault="00793246">
            <w:pPr>
              <w:spacing w:after="0" w:line="240" w:lineRule="auto"/>
              <w:jc w:val="both"/>
              <w:rPr>
                <w:rFonts w:ascii="Arial Narrow" w:hAnsi="Arial Narrow"/>
              </w:rPr>
            </w:pPr>
            <w:r w:rsidRPr="0084546B">
              <w:rPr>
                <w:rFonts w:ascii="Arial Narrow" w:hAnsi="Arial Narrow"/>
              </w:rPr>
              <w:t>V časti CBA sa počíta aj s takýmto typom nákladu.</w:t>
            </w:r>
          </w:p>
        </w:tc>
      </w:tr>
      <w:tr w:rsidR="0087479B" w:rsidRPr="0084546B" w14:paraId="105A4ECB" w14:textId="77777777" w:rsidTr="00854080">
        <w:tc>
          <w:tcPr>
            <w:tcW w:w="2266" w:type="dxa"/>
            <w:shd w:val="clear" w:color="auto" w:fill="auto"/>
          </w:tcPr>
          <w:p w14:paraId="651CD09A" w14:textId="77777777" w:rsidR="0087479B" w:rsidRPr="0084546B" w:rsidRDefault="00292300">
            <w:pPr>
              <w:spacing w:after="0" w:line="240" w:lineRule="auto"/>
              <w:jc w:val="both"/>
              <w:rPr>
                <w:rFonts w:ascii="Arial Narrow" w:hAnsi="Arial Narrow"/>
              </w:rPr>
            </w:pPr>
            <w:r w:rsidRPr="0084546B">
              <w:rPr>
                <w:rFonts w:ascii="Arial Narrow" w:hAnsi="Arial Narrow"/>
              </w:rPr>
              <w:t>Strana 5, Poskytnuté výpisy/odpisy z registrov</w:t>
            </w:r>
          </w:p>
        </w:tc>
        <w:tc>
          <w:tcPr>
            <w:tcW w:w="2265" w:type="dxa"/>
            <w:shd w:val="clear" w:color="auto" w:fill="auto"/>
          </w:tcPr>
          <w:p w14:paraId="1D7B9697" w14:textId="77777777" w:rsidR="0087479B" w:rsidRPr="0084546B" w:rsidRDefault="00292300">
            <w:pPr>
              <w:spacing w:after="0" w:line="240" w:lineRule="auto"/>
              <w:jc w:val="both"/>
              <w:rPr>
                <w:rFonts w:ascii="Arial Narrow" w:hAnsi="Arial Narrow"/>
              </w:rPr>
            </w:pPr>
            <w:r w:rsidRPr="0084546B">
              <w:rPr>
                <w:rFonts w:ascii="Arial Narrow" w:hAnsi="Arial Narrow"/>
              </w:rPr>
              <w:t xml:space="preserve">Považujeme za nutné túto analýzu dať do kontextu s prechádzajúcim stavom získavania výpisov/odpisov, ktoré sa (podľa našich informácii) získavali najmä pomocou slovenskej pošty. </w:t>
            </w:r>
            <w:r w:rsidRPr="0084546B">
              <w:rPr>
                <w:rFonts w:ascii="Arial Narrow" w:hAnsi="Arial Narrow"/>
              </w:rPr>
              <w:lastRenderedPageBreak/>
              <w:t xml:space="preserve">Vstupné dáta získané cez infožiadosť ukazujú, že pokles výpisov získavaných cez pošty je ďaleko menší ako počty získané cez oversi/is dcom. Považujeme za nutné tento nesúlad v tejto analýze adresovať, pretože nie je zrejmé: </w:t>
            </w:r>
          </w:p>
          <w:p w14:paraId="294CCEE3" w14:textId="77777777" w:rsidR="0087479B" w:rsidRPr="0084546B" w:rsidRDefault="00292300">
            <w:pPr>
              <w:spacing w:after="0" w:line="240" w:lineRule="auto"/>
              <w:jc w:val="both"/>
              <w:rPr>
                <w:rFonts w:ascii="Arial Narrow" w:hAnsi="Arial Narrow"/>
              </w:rPr>
            </w:pPr>
            <w:r w:rsidRPr="0084546B">
              <w:rPr>
                <w:rFonts w:ascii="Arial Narrow" w:hAnsi="Arial Narrow"/>
              </w:rPr>
              <w:t>- kde nastal skutočný pokles získavania výpisov (advokáti?) oproti stavu pred nábehom projektu</w:t>
            </w:r>
          </w:p>
          <w:p w14:paraId="02A99E81" w14:textId="77777777" w:rsidR="0087479B" w:rsidRPr="0084546B" w:rsidRDefault="00292300">
            <w:pPr>
              <w:spacing w:after="0" w:line="240" w:lineRule="auto"/>
              <w:jc w:val="both"/>
              <w:rPr>
                <w:rFonts w:ascii="Arial Narrow" w:hAnsi="Arial Narrow"/>
              </w:rPr>
            </w:pPr>
            <w:r w:rsidRPr="0084546B">
              <w:rPr>
                <w:rFonts w:ascii="Arial Narrow" w:hAnsi="Arial Narrow"/>
              </w:rPr>
              <w:t>- či neexistoval alternatívny "neoficiálny" kanál na výpisy (napr. nahliadnutie na orsr.sk v sociálnej poisťovni), t.j. žiadne šetrenie pre občana</w:t>
            </w:r>
          </w:p>
          <w:p w14:paraId="40326BA4" w14:textId="77777777" w:rsidR="0087479B" w:rsidRPr="0084546B" w:rsidRDefault="00292300">
            <w:pPr>
              <w:spacing w:after="0" w:line="240" w:lineRule="auto"/>
              <w:jc w:val="both"/>
              <w:rPr>
                <w:rFonts w:ascii="Arial Narrow" w:hAnsi="Arial Narrow"/>
              </w:rPr>
            </w:pPr>
            <w:r w:rsidRPr="0084546B">
              <w:rPr>
                <w:rFonts w:ascii="Arial Narrow" w:hAnsi="Arial Narrow"/>
              </w:rPr>
              <w:t>- či občania nevyužívali výpisy viacnásobne na úradoch.</w:t>
            </w:r>
          </w:p>
          <w:p w14:paraId="695855EF" w14:textId="77777777" w:rsidR="0087479B" w:rsidRPr="0084546B" w:rsidRDefault="0087479B">
            <w:pPr>
              <w:spacing w:after="0" w:line="240" w:lineRule="auto"/>
              <w:jc w:val="both"/>
              <w:rPr>
                <w:rFonts w:ascii="Arial Narrow" w:hAnsi="Arial Narrow"/>
              </w:rPr>
            </w:pPr>
          </w:p>
          <w:p w14:paraId="7CE59D1E" w14:textId="77777777" w:rsidR="0087479B" w:rsidRPr="0084546B" w:rsidRDefault="00292300">
            <w:pPr>
              <w:spacing w:after="0" w:line="240" w:lineRule="auto"/>
              <w:jc w:val="both"/>
              <w:rPr>
                <w:rFonts w:ascii="Arial Narrow" w:hAnsi="Arial Narrow"/>
              </w:rPr>
            </w:pPr>
            <w:r w:rsidRPr="0084546B">
              <w:rPr>
                <w:rFonts w:ascii="Arial Narrow" w:hAnsi="Arial Narrow"/>
              </w:rPr>
              <w:t>Z našich výpočtov vychádza, že medziročný pokles výpisov z RPO je na úrovni 22%, čo extrapoláciou predstavuje vo vami sledovanom období cca 29 tisíc výpisov. Pre LV pokles 46% a cca 8 tisíc výpisov. Pre výpis registra trestov len 11%, extrapolácia cca 27tisíc výpisov.</w:t>
            </w:r>
          </w:p>
          <w:p w14:paraId="0FC98C4D" w14:textId="77777777" w:rsidR="0087479B" w:rsidRPr="0084546B" w:rsidRDefault="00292300">
            <w:pPr>
              <w:spacing w:after="0" w:line="240" w:lineRule="auto"/>
              <w:jc w:val="both"/>
              <w:rPr>
                <w:rFonts w:ascii="Arial Narrow" w:hAnsi="Arial Narrow"/>
              </w:rPr>
            </w:pPr>
            <w:r w:rsidRPr="0084546B">
              <w:rPr>
                <w:rFonts w:ascii="Arial Narrow" w:hAnsi="Arial Narrow"/>
              </w:rPr>
              <w:t>Tieto čísla nesúhlasia z tým, čo po nábehu nového systému ide cez systém oversi. Pokiaľ nie je možné identifikovať ďalšie zdroje, kde bude pre RPO pokles súhrnne zvyšných 100 tisíc výpisov, pre LV 70 tisíc výpisov, tak tažko považovať indikovanú úsporu za uveriteľnú. Naopak pri cca 5 tisíc výpisoch z oversi nie je zrejmé, kvôli čomu nastal niekoľkonásobný úbytok výpisov z RT na poštách.</w:t>
            </w:r>
          </w:p>
        </w:tc>
        <w:tc>
          <w:tcPr>
            <w:tcW w:w="2266" w:type="dxa"/>
            <w:shd w:val="clear" w:color="auto" w:fill="auto"/>
          </w:tcPr>
          <w:p w14:paraId="421817F3" w14:textId="77777777" w:rsidR="0087479B" w:rsidRPr="0084546B" w:rsidRDefault="0087479B">
            <w:pPr>
              <w:spacing w:after="0" w:line="240" w:lineRule="auto"/>
              <w:jc w:val="both"/>
              <w:rPr>
                <w:rFonts w:ascii="Arial Narrow" w:hAnsi="Arial Narrow"/>
              </w:rPr>
            </w:pPr>
          </w:p>
        </w:tc>
        <w:tc>
          <w:tcPr>
            <w:tcW w:w="2265" w:type="dxa"/>
            <w:shd w:val="clear" w:color="auto" w:fill="auto"/>
          </w:tcPr>
          <w:p w14:paraId="315BA509" w14:textId="77777777" w:rsidR="0087479B" w:rsidRPr="0084546B" w:rsidRDefault="00793246">
            <w:pPr>
              <w:spacing w:after="0" w:line="240" w:lineRule="auto"/>
              <w:jc w:val="both"/>
              <w:rPr>
                <w:rFonts w:ascii="Arial Narrow" w:hAnsi="Arial Narrow"/>
              </w:rPr>
            </w:pPr>
            <w:r w:rsidRPr="0084546B">
              <w:rPr>
                <w:rFonts w:ascii="Arial Narrow" w:hAnsi="Arial Narrow"/>
              </w:rPr>
              <w:t>Akceptované.</w:t>
            </w:r>
          </w:p>
          <w:p w14:paraId="23D7295B" w14:textId="77777777" w:rsidR="00793246" w:rsidRPr="0084546B" w:rsidRDefault="00793246">
            <w:pPr>
              <w:spacing w:after="0" w:line="240" w:lineRule="auto"/>
              <w:jc w:val="both"/>
              <w:rPr>
                <w:rFonts w:ascii="Arial Narrow" w:hAnsi="Arial Narrow"/>
              </w:rPr>
            </w:pPr>
            <w:r w:rsidRPr="0084546B">
              <w:rPr>
                <w:rFonts w:ascii="Arial Narrow" w:hAnsi="Arial Narrow"/>
              </w:rPr>
              <w:t xml:space="preserve">Na základe získaných dodatočných údajov od poskytovateľov vybraných výpisov bola analýza rozšírená o medziročné porovnanie elektronických výpisov </w:t>
            </w:r>
            <w:r w:rsidRPr="0084546B">
              <w:rPr>
                <w:rFonts w:ascii="Arial Narrow" w:hAnsi="Arial Narrow"/>
              </w:rPr>
              <w:lastRenderedPageBreak/>
              <w:t xml:space="preserve">(IS DCOM) a listinných potvrdení (Slovenská pošta a notári). </w:t>
            </w:r>
            <w:r w:rsidR="00AE5854" w:rsidRPr="0084546B">
              <w:rPr>
                <w:rFonts w:ascii="Arial Narrow" w:hAnsi="Arial Narrow"/>
              </w:rPr>
              <w:t>Medziročné p</w:t>
            </w:r>
            <w:r w:rsidRPr="0084546B">
              <w:rPr>
                <w:rFonts w:ascii="Arial Narrow" w:hAnsi="Arial Narrow"/>
              </w:rPr>
              <w:t xml:space="preserve">orovnanie </w:t>
            </w:r>
            <w:r w:rsidR="00AE5854" w:rsidRPr="0084546B">
              <w:rPr>
                <w:rFonts w:ascii="Arial Narrow" w:hAnsi="Arial Narrow"/>
              </w:rPr>
              <w:t>údajov z portálu oversi.gov.sk ako zdroj poskytovania elektronických potvrdení bude možné až v nasledujúcom období, nakoľko portál je v prevádzke od 09/2018.</w:t>
            </w:r>
          </w:p>
        </w:tc>
      </w:tr>
      <w:tr w:rsidR="0087479B" w:rsidRPr="0084546B" w14:paraId="45A2708B" w14:textId="77777777" w:rsidTr="00854080">
        <w:tc>
          <w:tcPr>
            <w:tcW w:w="2266" w:type="dxa"/>
            <w:shd w:val="clear" w:color="auto" w:fill="auto"/>
          </w:tcPr>
          <w:p w14:paraId="738D8734" w14:textId="77777777" w:rsidR="0087479B" w:rsidRPr="0084546B" w:rsidRDefault="00292300">
            <w:pPr>
              <w:spacing w:after="0" w:line="240" w:lineRule="auto"/>
              <w:jc w:val="both"/>
              <w:rPr>
                <w:rFonts w:ascii="Arial Narrow" w:hAnsi="Arial Narrow"/>
              </w:rPr>
            </w:pPr>
            <w:r w:rsidRPr="0084546B">
              <w:rPr>
                <w:rFonts w:ascii="Arial Narrow" w:hAnsi="Arial Narrow"/>
              </w:rPr>
              <w:lastRenderedPageBreak/>
              <w:t>Strana 7, „ IS DCOM je v prevádzke od roku 2016, avšak pre potrebu tejto analýzy sa budeme zaoberať odpismi poskytovanými IS DCOM od septembra 2018, vzhľadom na spustenie a kompatibilitu údajov s údajmi z portálu oversi.gov.sk.“</w:t>
            </w:r>
          </w:p>
        </w:tc>
        <w:tc>
          <w:tcPr>
            <w:tcW w:w="2265" w:type="dxa"/>
            <w:shd w:val="clear" w:color="auto" w:fill="auto"/>
          </w:tcPr>
          <w:p w14:paraId="1788BE58" w14:textId="77777777" w:rsidR="0087479B" w:rsidRPr="0084546B" w:rsidRDefault="00292300">
            <w:pPr>
              <w:spacing w:after="0" w:line="240" w:lineRule="auto"/>
              <w:jc w:val="both"/>
              <w:rPr>
                <w:rFonts w:ascii="Arial Narrow" w:hAnsi="Arial Narrow"/>
              </w:rPr>
            </w:pPr>
            <w:r w:rsidRPr="0084546B">
              <w:rPr>
                <w:rFonts w:ascii="Arial Narrow" w:hAnsi="Arial Narrow"/>
              </w:rPr>
              <w:t>Žiadame doplniť údaje aj pred nábehom projektu oversi, aby bolo jasne vidieť medziročnú zmenu. Žiadame vysvetliť, prečo by mali byť prínosy iného projektu zahrnuté do tejto analýzy.</w:t>
            </w:r>
          </w:p>
        </w:tc>
        <w:tc>
          <w:tcPr>
            <w:tcW w:w="2266" w:type="dxa"/>
            <w:shd w:val="clear" w:color="auto" w:fill="auto"/>
          </w:tcPr>
          <w:p w14:paraId="73FAF189" w14:textId="77777777" w:rsidR="0087479B" w:rsidRPr="0084546B" w:rsidRDefault="0087479B">
            <w:pPr>
              <w:spacing w:after="0" w:line="240" w:lineRule="auto"/>
              <w:jc w:val="both"/>
              <w:rPr>
                <w:rFonts w:ascii="Arial Narrow" w:hAnsi="Arial Narrow"/>
              </w:rPr>
            </w:pPr>
          </w:p>
        </w:tc>
        <w:tc>
          <w:tcPr>
            <w:tcW w:w="2265" w:type="dxa"/>
            <w:shd w:val="clear" w:color="auto" w:fill="auto"/>
          </w:tcPr>
          <w:p w14:paraId="7D10FE1E" w14:textId="77777777" w:rsidR="0087479B" w:rsidRPr="0084546B" w:rsidRDefault="00AE5854">
            <w:pPr>
              <w:spacing w:after="0" w:line="240" w:lineRule="auto"/>
              <w:jc w:val="both"/>
              <w:rPr>
                <w:rFonts w:ascii="Arial Narrow" w:hAnsi="Arial Narrow"/>
              </w:rPr>
            </w:pPr>
            <w:r w:rsidRPr="0084546B">
              <w:rPr>
                <w:rFonts w:ascii="Arial Narrow" w:hAnsi="Arial Narrow"/>
              </w:rPr>
              <w:t>Akceptované.</w:t>
            </w:r>
          </w:p>
          <w:p w14:paraId="0FF1ADBA" w14:textId="77777777" w:rsidR="00AE5854" w:rsidRPr="0084546B" w:rsidRDefault="00AE5854">
            <w:pPr>
              <w:spacing w:after="0" w:line="240" w:lineRule="auto"/>
              <w:jc w:val="both"/>
              <w:rPr>
                <w:rFonts w:ascii="Arial Narrow" w:hAnsi="Arial Narrow"/>
              </w:rPr>
            </w:pPr>
            <w:r w:rsidRPr="0084546B">
              <w:rPr>
                <w:rFonts w:ascii="Arial Narrow" w:hAnsi="Arial Narrow"/>
              </w:rPr>
              <w:t>Doplnené na základe vyžiadaných údajov od DEUS.</w:t>
            </w:r>
          </w:p>
        </w:tc>
      </w:tr>
      <w:tr w:rsidR="0087479B" w:rsidRPr="0084546B" w14:paraId="7B953E8D" w14:textId="77777777" w:rsidTr="00854080">
        <w:tc>
          <w:tcPr>
            <w:tcW w:w="2266" w:type="dxa"/>
            <w:shd w:val="clear" w:color="auto" w:fill="auto"/>
          </w:tcPr>
          <w:p w14:paraId="03C45247" w14:textId="77777777" w:rsidR="0087479B" w:rsidRPr="0084546B" w:rsidRDefault="00292300">
            <w:pPr>
              <w:spacing w:after="0" w:line="240" w:lineRule="auto"/>
              <w:jc w:val="both"/>
              <w:rPr>
                <w:rFonts w:ascii="Arial Narrow" w:hAnsi="Arial Narrow"/>
              </w:rPr>
            </w:pPr>
            <w:r w:rsidRPr="0084546B">
              <w:rPr>
                <w:rFonts w:ascii="Arial Narrow" w:hAnsi="Arial Narrow"/>
              </w:rPr>
              <w:t>Strana 7, „</w:t>
            </w:r>
            <w:r w:rsidRPr="0084546B">
              <w:rPr>
                <w:rFonts w:ascii="Arial Narrow" w:hAnsi="Arial Narrow"/>
                <w:color w:val="000000"/>
              </w:rPr>
              <w:t>Najväčší dopyt po odpisoch evidujeme v marci 2019, kedy bolo podnikateľom poskytnutých 21 289 odpisov z RPO, čo predstavuje 20 % zo všetkých odpisov z RPO za sledované obdobie“</w:t>
            </w:r>
          </w:p>
        </w:tc>
        <w:tc>
          <w:tcPr>
            <w:tcW w:w="2265" w:type="dxa"/>
            <w:shd w:val="clear" w:color="auto" w:fill="auto"/>
          </w:tcPr>
          <w:p w14:paraId="1D950FBD" w14:textId="77777777" w:rsidR="0087479B" w:rsidRPr="0084546B" w:rsidRDefault="00292300">
            <w:pPr>
              <w:spacing w:after="0" w:line="240" w:lineRule="auto"/>
              <w:jc w:val="both"/>
              <w:rPr>
                <w:rFonts w:ascii="Arial Narrow" w:hAnsi="Arial Narrow"/>
              </w:rPr>
            </w:pPr>
            <w:r w:rsidRPr="0084546B">
              <w:rPr>
                <w:rFonts w:ascii="Arial Narrow" w:hAnsi="Arial Narrow"/>
              </w:rPr>
              <w:t>Táto informácia je bez kontextu nezaujímavá, čo sa vtedy udialo? Je ten nárast signifikantný oproti iným rokom? Žiadame doplniť.</w:t>
            </w:r>
          </w:p>
        </w:tc>
        <w:tc>
          <w:tcPr>
            <w:tcW w:w="2266" w:type="dxa"/>
            <w:shd w:val="clear" w:color="auto" w:fill="auto"/>
          </w:tcPr>
          <w:p w14:paraId="7A8983FF" w14:textId="77777777" w:rsidR="0087479B" w:rsidRPr="0084546B" w:rsidRDefault="0087479B">
            <w:pPr>
              <w:spacing w:after="0" w:line="240" w:lineRule="auto"/>
              <w:jc w:val="both"/>
              <w:rPr>
                <w:rFonts w:ascii="Arial Narrow" w:hAnsi="Arial Narrow"/>
              </w:rPr>
            </w:pPr>
          </w:p>
        </w:tc>
        <w:tc>
          <w:tcPr>
            <w:tcW w:w="2265" w:type="dxa"/>
            <w:shd w:val="clear" w:color="auto" w:fill="auto"/>
          </w:tcPr>
          <w:p w14:paraId="0899D2A3" w14:textId="77777777" w:rsidR="0087479B" w:rsidRPr="0084546B" w:rsidRDefault="00AE5854">
            <w:pPr>
              <w:spacing w:after="0" w:line="240" w:lineRule="auto"/>
              <w:jc w:val="both"/>
              <w:rPr>
                <w:rFonts w:ascii="Arial Narrow" w:hAnsi="Arial Narrow"/>
              </w:rPr>
            </w:pPr>
            <w:r w:rsidRPr="0084546B">
              <w:rPr>
                <w:rFonts w:ascii="Arial Narrow" w:hAnsi="Arial Narrow"/>
              </w:rPr>
              <w:t>Akceptované.</w:t>
            </w:r>
          </w:p>
          <w:p w14:paraId="10327A94" w14:textId="77777777" w:rsidR="00AE5854" w:rsidRPr="0084546B" w:rsidRDefault="00AE5854">
            <w:pPr>
              <w:spacing w:after="0" w:line="240" w:lineRule="auto"/>
              <w:jc w:val="both"/>
              <w:rPr>
                <w:rFonts w:ascii="Arial Narrow" w:hAnsi="Arial Narrow"/>
              </w:rPr>
            </w:pPr>
          </w:p>
        </w:tc>
      </w:tr>
      <w:tr w:rsidR="0087479B" w:rsidRPr="0084546B" w14:paraId="1FD36435" w14:textId="77777777" w:rsidTr="00854080">
        <w:tc>
          <w:tcPr>
            <w:tcW w:w="2266" w:type="dxa"/>
            <w:tcBorders>
              <w:top w:val="nil"/>
            </w:tcBorders>
            <w:shd w:val="clear" w:color="auto" w:fill="auto"/>
          </w:tcPr>
          <w:p w14:paraId="278DAFAB" w14:textId="77777777" w:rsidR="0087479B" w:rsidRPr="0084546B" w:rsidRDefault="00292300">
            <w:pPr>
              <w:spacing w:after="0" w:line="240" w:lineRule="auto"/>
              <w:jc w:val="both"/>
              <w:rPr>
                <w:rFonts w:ascii="Arial Narrow" w:hAnsi="Arial Narrow"/>
              </w:rPr>
            </w:pPr>
            <w:r w:rsidRPr="0084546B">
              <w:rPr>
                <w:rFonts w:ascii="Arial Narrow" w:hAnsi="Arial Narrow"/>
              </w:rPr>
              <w:t>Strana 9, „</w:t>
            </w:r>
            <w:bookmarkStart w:id="3" w:name="docs-internal-guid-dc3d744f-7fff-0c80-0c"/>
            <w:bookmarkEnd w:id="3"/>
            <w:r w:rsidRPr="0084546B">
              <w:rPr>
                <w:rFonts w:ascii="Arial Narrow" w:hAnsi="Arial Narrow"/>
                <w:color w:val="000000"/>
              </w:rPr>
              <w:t>Hlavným dôvodom analyzovania týchto vstupov je overenie vhodnosti nastavených SLA parametrov v Rámcovej dohode na poskytovanie služieb systémovej a aplikačnej podpory informačného systému Centrálnej správy referenčných údajov (IS CSRÚ), ktorého súčasťou je portál oversi.gov.sk. „</w:t>
            </w:r>
          </w:p>
        </w:tc>
        <w:tc>
          <w:tcPr>
            <w:tcW w:w="2265" w:type="dxa"/>
            <w:tcBorders>
              <w:top w:val="nil"/>
            </w:tcBorders>
            <w:shd w:val="clear" w:color="auto" w:fill="auto"/>
          </w:tcPr>
          <w:p w14:paraId="0199041F" w14:textId="77777777" w:rsidR="0087479B" w:rsidRPr="0084546B" w:rsidRDefault="00292300">
            <w:pPr>
              <w:spacing w:after="0" w:line="240" w:lineRule="auto"/>
              <w:jc w:val="both"/>
              <w:rPr>
                <w:rFonts w:ascii="Arial Narrow" w:hAnsi="Arial Narrow"/>
              </w:rPr>
            </w:pPr>
            <w:r w:rsidRPr="0084546B">
              <w:rPr>
                <w:rFonts w:ascii="Arial Narrow" w:hAnsi="Arial Narrow"/>
              </w:rPr>
              <w:t>Kedže projekt CSRU a portál oversi plnia primárne iné úlohy: CSRU je integračný backend, ktorý musí byť dostupný aj pre dávkové spracovanie, ktoré pracujú primárne v noci. oversi - frontend pre úradníkov, ktorý je potrebný primárne v pracovnom čase. Je potrebné ich SLA posudzovať samostatne, dokonca uvažovať o úplnom oddelení týchto projektov v zmysle hodnoty za peniaze.</w:t>
            </w:r>
          </w:p>
        </w:tc>
        <w:tc>
          <w:tcPr>
            <w:tcW w:w="2266" w:type="dxa"/>
            <w:tcBorders>
              <w:top w:val="nil"/>
            </w:tcBorders>
            <w:shd w:val="clear" w:color="auto" w:fill="auto"/>
          </w:tcPr>
          <w:p w14:paraId="663FDA4C" w14:textId="77777777" w:rsidR="0087479B" w:rsidRPr="0084546B" w:rsidRDefault="0087479B">
            <w:pPr>
              <w:spacing w:after="0" w:line="240" w:lineRule="auto"/>
              <w:jc w:val="both"/>
              <w:rPr>
                <w:rFonts w:ascii="Arial Narrow" w:hAnsi="Arial Narrow"/>
              </w:rPr>
            </w:pPr>
          </w:p>
        </w:tc>
        <w:tc>
          <w:tcPr>
            <w:tcW w:w="2265" w:type="dxa"/>
            <w:tcBorders>
              <w:top w:val="nil"/>
            </w:tcBorders>
            <w:shd w:val="clear" w:color="auto" w:fill="auto"/>
          </w:tcPr>
          <w:p w14:paraId="3AA688ED" w14:textId="77777777" w:rsidR="0087479B" w:rsidRPr="0084546B" w:rsidRDefault="00AE5854">
            <w:pPr>
              <w:spacing w:after="0" w:line="240" w:lineRule="auto"/>
              <w:jc w:val="both"/>
              <w:rPr>
                <w:rFonts w:ascii="Arial Narrow" w:hAnsi="Arial Narrow"/>
              </w:rPr>
            </w:pPr>
            <w:r w:rsidRPr="0084546B">
              <w:rPr>
                <w:rFonts w:ascii="Arial Narrow" w:hAnsi="Arial Narrow"/>
              </w:rPr>
              <w:t>Čiastočne akceptované.</w:t>
            </w:r>
          </w:p>
          <w:p w14:paraId="21DFBFF2" w14:textId="77777777" w:rsidR="00AE5854" w:rsidRPr="0084546B" w:rsidRDefault="00AE5854">
            <w:pPr>
              <w:spacing w:after="0" w:line="240" w:lineRule="auto"/>
              <w:jc w:val="both"/>
              <w:rPr>
                <w:rFonts w:ascii="Arial Narrow" w:hAnsi="Arial Narrow"/>
              </w:rPr>
            </w:pPr>
            <w:r w:rsidRPr="0084546B">
              <w:rPr>
                <w:rFonts w:ascii="Arial Narrow" w:hAnsi="Arial Narrow"/>
              </w:rPr>
              <w:t>Text je spresnený. SLA týkajúce sa portálu oversi.gov.sk je predmetom dodatku č. 12 k zmluve o dielo.</w:t>
            </w:r>
          </w:p>
        </w:tc>
      </w:tr>
      <w:tr w:rsidR="0087479B" w:rsidRPr="0084546B" w14:paraId="22802FFD" w14:textId="77777777" w:rsidTr="00854080">
        <w:tc>
          <w:tcPr>
            <w:tcW w:w="2266" w:type="dxa"/>
            <w:tcBorders>
              <w:top w:val="nil"/>
            </w:tcBorders>
            <w:shd w:val="clear" w:color="auto" w:fill="auto"/>
          </w:tcPr>
          <w:p w14:paraId="0BB80F10" w14:textId="77777777" w:rsidR="0087479B" w:rsidRPr="0084546B" w:rsidRDefault="00292300">
            <w:pPr>
              <w:spacing w:after="0" w:line="240" w:lineRule="auto"/>
              <w:jc w:val="both"/>
              <w:rPr>
                <w:rFonts w:ascii="Arial Narrow" w:hAnsi="Arial Narrow"/>
              </w:rPr>
            </w:pPr>
            <w:r w:rsidRPr="0084546B">
              <w:rPr>
                <w:rFonts w:ascii="Arial Narrow" w:hAnsi="Arial Narrow"/>
              </w:rPr>
              <w:t>Strana 12, „</w:t>
            </w:r>
            <w:bookmarkStart w:id="4" w:name="docs-internal-guid-bc14c43f-7fff-14df-24"/>
            <w:bookmarkEnd w:id="4"/>
            <w:r w:rsidRPr="0084546B">
              <w:rPr>
                <w:rFonts w:ascii="Arial Narrow" w:hAnsi="Arial Narrow"/>
                <w:color w:val="000000"/>
              </w:rPr>
              <w:t xml:space="preserve">Klesajúci trend identifikovaných problémov a otázok s používaním portálu zobrazuje nasledovný graf.“ </w:t>
            </w:r>
          </w:p>
        </w:tc>
        <w:tc>
          <w:tcPr>
            <w:tcW w:w="2265" w:type="dxa"/>
            <w:tcBorders>
              <w:top w:val="nil"/>
            </w:tcBorders>
            <w:shd w:val="clear" w:color="auto" w:fill="auto"/>
          </w:tcPr>
          <w:p w14:paraId="2F268911" w14:textId="77777777" w:rsidR="0087479B" w:rsidRPr="0084546B" w:rsidRDefault="00292300">
            <w:pPr>
              <w:spacing w:after="0" w:line="240" w:lineRule="auto"/>
              <w:jc w:val="both"/>
              <w:rPr>
                <w:rFonts w:ascii="Arial Narrow" w:hAnsi="Arial Narrow"/>
              </w:rPr>
            </w:pPr>
            <w:r w:rsidRPr="0084546B">
              <w:rPr>
                <w:rFonts w:ascii="Arial Narrow" w:hAnsi="Arial Narrow"/>
              </w:rPr>
              <w:t>Lineárnu extrapoláciu pre tento typ distribúcie nepovažujeme za vhodnú. Je skreslená najmä prvým skokovým nábehom v prvých mesiacoch.</w:t>
            </w:r>
          </w:p>
        </w:tc>
        <w:tc>
          <w:tcPr>
            <w:tcW w:w="2266" w:type="dxa"/>
            <w:tcBorders>
              <w:top w:val="nil"/>
            </w:tcBorders>
            <w:shd w:val="clear" w:color="auto" w:fill="auto"/>
          </w:tcPr>
          <w:p w14:paraId="74652A1D" w14:textId="77777777" w:rsidR="0087479B" w:rsidRPr="0084546B" w:rsidRDefault="0087479B">
            <w:pPr>
              <w:spacing w:after="0" w:line="240" w:lineRule="auto"/>
              <w:jc w:val="both"/>
              <w:rPr>
                <w:rFonts w:ascii="Arial Narrow" w:hAnsi="Arial Narrow"/>
              </w:rPr>
            </w:pPr>
          </w:p>
        </w:tc>
        <w:tc>
          <w:tcPr>
            <w:tcW w:w="2265" w:type="dxa"/>
            <w:tcBorders>
              <w:top w:val="nil"/>
            </w:tcBorders>
            <w:shd w:val="clear" w:color="auto" w:fill="auto"/>
          </w:tcPr>
          <w:p w14:paraId="680D8BAD" w14:textId="77777777" w:rsidR="0087479B" w:rsidRPr="0084546B" w:rsidRDefault="00AE5854">
            <w:pPr>
              <w:spacing w:after="0" w:line="240" w:lineRule="auto"/>
              <w:jc w:val="both"/>
              <w:rPr>
                <w:rFonts w:ascii="Arial Narrow" w:hAnsi="Arial Narrow"/>
              </w:rPr>
            </w:pPr>
            <w:r w:rsidRPr="0084546B">
              <w:rPr>
                <w:rFonts w:ascii="Arial Narrow" w:hAnsi="Arial Narrow"/>
              </w:rPr>
              <w:t>Akceptované.</w:t>
            </w:r>
          </w:p>
          <w:p w14:paraId="6AB45079" w14:textId="77777777" w:rsidR="00AE5854" w:rsidRPr="0084546B" w:rsidRDefault="00AE5854">
            <w:pPr>
              <w:spacing w:after="0" w:line="240" w:lineRule="auto"/>
              <w:jc w:val="both"/>
              <w:rPr>
                <w:rFonts w:ascii="Arial Narrow" w:hAnsi="Arial Narrow"/>
              </w:rPr>
            </w:pPr>
            <w:r w:rsidRPr="0084546B">
              <w:rPr>
                <w:rFonts w:ascii="Arial Narrow" w:hAnsi="Arial Narrow"/>
              </w:rPr>
              <w:t>Upravené.</w:t>
            </w:r>
          </w:p>
        </w:tc>
      </w:tr>
      <w:tr w:rsidR="0087479B" w:rsidRPr="0084546B" w14:paraId="7D0C79C4" w14:textId="77777777" w:rsidTr="00854080">
        <w:trPr>
          <w:trHeight w:val="305"/>
        </w:trPr>
        <w:tc>
          <w:tcPr>
            <w:tcW w:w="2266" w:type="dxa"/>
            <w:tcBorders>
              <w:top w:val="nil"/>
            </w:tcBorders>
            <w:shd w:val="clear" w:color="auto" w:fill="auto"/>
          </w:tcPr>
          <w:p w14:paraId="2ABDC452" w14:textId="77777777" w:rsidR="0087479B" w:rsidRPr="0084546B" w:rsidRDefault="00292300">
            <w:pPr>
              <w:spacing w:after="0" w:line="240" w:lineRule="auto"/>
              <w:jc w:val="both"/>
              <w:rPr>
                <w:rFonts w:ascii="Arial Narrow" w:hAnsi="Arial Narrow"/>
              </w:rPr>
            </w:pPr>
            <w:r w:rsidRPr="0084546B">
              <w:rPr>
                <w:rFonts w:ascii="Arial Narrow" w:hAnsi="Arial Narrow"/>
              </w:rPr>
              <w:t>Strana 14, „</w:t>
            </w:r>
            <w:bookmarkStart w:id="5" w:name="docs-internal-guid-bc4dd6c4-7fff-5a48-54"/>
            <w:bookmarkEnd w:id="5"/>
            <w:r w:rsidRPr="0084546B">
              <w:rPr>
                <w:rFonts w:ascii="Arial Narrow" w:hAnsi="Arial Narrow"/>
                <w:color w:val="000000"/>
              </w:rPr>
              <w:t xml:space="preserve">Odporúčame úradníkom si prejsť genézu človeka od narodenia až po smrť a naďalej iniciovať zrušenie predkladania takých potvrdení úradom, o ktorých informáciu už štát má.“ </w:t>
            </w:r>
          </w:p>
        </w:tc>
        <w:tc>
          <w:tcPr>
            <w:tcW w:w="2265" w:type="dxa"/>
            <w:tcBorders>
              <w:top w:val="nil"/>
            </w:tcBorders>
            <w:shd w:val="clear" w:color="auto" w:fill="auto"/>
          </w:tcPr>
          <w:p w14:paraId="4D21353C" w14:textId="77777777" w:rsidR="0087479B" w:rsidRPr="0084546B" w:rsidRDefault="00292300">
            <w:pPr>
              <w:spacing w:after="0" w:line="240" w:lineRule="auto"/>
              <w:jc w:val="both"/>
              <w:rPr>
                <w:rFonts w:ascii="Arial Narrow" w:hAnsi="Arial Narrow"/>
              </w:rPr>
            </w:pPr>
            <w:r w:rsidRPr="0084546B">
              <w:rPr>
                <w:rFonts w:ascii="Arial Narrow" w:hAnsi="Arial Narrow"/>
              </w:rPr>
              <w:t xml:space="preserve">MV vypracovalo v optimalizačnom projekte kompletné optimalizačné mapy procesov (as-is, to-be stav), ktoré je potrebné pretaviť do praxe. Rušenie výpisov (resp. ich presun do oversi), može byť pardoxne kontraproduktívne, kedže </w:t>
            </w:r>
            <w:r w:rsidRPr="0084546B">
              <w:rPr>
                <w:rFonts w:ascii="Arial Narrow" w:hAnsi="Arial Narrow"/>
              </w:rPr>
              <w:lastRenderedPageBreak/>
              <w:t>vhodnou zmenou procesov (napr. propagácia zmien automaticky, využívanie referenčných registrov na backende) je možné úplne odstrániť vyhľadávanie výpisov aj na strane úradov. Žiadame zapracovať do odporúčania.</w:t>
            </w:r>
          </w:p>
        </w:tc>
        <w:tc>
          <w:tcPr>
            <w:tcW w:w="2266" w:type="dxa"/>
            <w:tcBorders>
              <w:top w:val="nil"/>
            </w:tcBorders>
            <w:shd w:val="clear" w:color="auto" w:fill="auto"/>
          </w:tcPr>
          <w:p w14:paraId="0E042886" w14:textId="77777777" w:rsidR="0087479B" w:rsidRPr="0084546B" w:rsidRDefault="0087479B">
            <w:pPr>
              <w:spacing w:after="0" w:line="240" w:lineRule="auto"/>
              <w:jc w:val="both"/>
              <w:rPr>
                <w:rFonts w:ascii="Arial Narrow" w:hAnsi="Arial Narrow"/>
              </w:rPr>
            </w:pPr>
          </w:p>
        </w:tc>
        <w:tc>
          <w:tcPr>
            <w:tcW w:w="2265" w:type="dxa"/>
            <w:tcBorders>
              <w:top w:val="nil"/>
            </w:tcBorders>
            <w:shd w:val="clear" w:color="auto" w:fill="auto"/>
          </w:tcPr>
          <w:p w14:paraId="50935B78" w14:textId="77777777" w:rsidR="0087479B" w:rsidRPr="0084546B" w:rsidRDefault="00AE5854">
            <w:pPr>
              <w:spacing w:after="0" w:line="240" w:lineRule="auto"/>
              <w:jc w:val="both"/>
              <w:rPr>
                <w:rFonts w:ascii="Arial Narrow" w:hAnsi="Arial Narrow"/>
              </w:rPr>
            </w:pPr>
            <w:r w:rsidRPr="0084546B">
              <w:rPr>
                <w:rFonts w:ascii="Arial Narrow" w:hAnsi="Arial Narrow"/>
              </w:rPr>
              <w:t>Akceptované.</w:t>
            </w:r>
          </w:p>
          <w:p w14:paraId="4028ECAD" w14:textId="77777777" w:rsidR="00AE5854" w:rsidRPr="0084546B" w:rsidRDefault="00AE5854">
            <w:pPr>
              <w:spacing w:after="0" w:line="240" w:lineRule="auto"/>
              <w:jc w:val="both"/>
              <w:rPr>
                <w:rFonts w:ascii="Arial Narrow" w:hAnsi="Arial Narrow"/>
              </w:rPr>
            </w:pPr>
            <w:r w:rsidRPr="0084546B">
              <w:rPr>
                <w:rFonts w:ascii="Arial Narrow" w:hAnsi="Arial Narrow"/>
              </w:rPr>
              <w:t>Analýza bola rozšírená o tento poznatok.</w:t>
            </w:r>
          </w:p>
        </w:tc>
      </w:tr>
      <w:tr w:rsidR="0087479B" w:rsidRPr="0084546B" w14:paraId="5E360412" w14:textId="77777777" w:rsidTr="00854080">
        <w:trPr>
          <w:trHeight w:val="305"/>
        </w:trPr>
        <w:tc>
          <w:tcPr>
            <w:tcW w:w="2266" w:type="dxa"/>
            <w:tcBorders>
              <w:top w:val="nil"/>
            </w:tcBorders>
            <w:shd w:val="clear" w:color="auto" w:fill="auto"/>
          </w:tcPr>
          <w:p w14:paraId="62A85AFF" w14:textId="77777777" w:rsidR="0087479B" w:rsidRPr="0084546B" w:rsidRDefault="00292300">
            <w:pPr>
              <w:spacing w:after="0" w:line="240" w:lineRule="auto"/>
              <w:jc w:val="both"/>
              <w:rPr>
                <w:rFonts w:ascii="Arial Narrow" w:hAnsi="Arial Narrow"/>
              </w:rPr>
            </w:pPr>
            <w:r w:rsidRPr="0084546B">
              <w:rPr>
                <w:rFonts w:ascii="Arial Narrow" w:hAnsi="Arial Narrow"/>
              </w:rPr>
              <w:t>Strana 14, „V rámci portálu oversi.gov.sk deklarujeme, že v priebehu mesiacov august až december 2018 (4 mesiace a 2 dni v auguste) došlo k poskytnutiu 60 252 výpisov zo 4 registrov, čím bola celková úspora kvantifikovaná na takmer 1 milión eur. V roku 2019 evidujeme výrazný nárast poskytnutých výpisov, v priebehu 1. polroka bolo poskytnutých 169 383 výpisov, čomu zodpovedá celková úspora vo výške viac ako 2,8 mil. EUR.“</w:t>
            </w:r>
            <w:r w:rsidRPr="0084546B">
              <w:rPr>
                <w:rFonts w:ascii="Arial Narrow" w:hAnsi="Arial Narrow"/>
                <w:color w:val="000000"/>
              </w:rPr>
              <w:t xml:space="preserve"> </w:t>
            </w:r>
          </w:p>
        </w:tc>
        <w:tc>
          <w:tcPr>
            <w:tcW w:w="2265" w:type="dxa"/>
            <w:tcBorders>
              <w:top w:val="nil"/>
            </w:tcBorders>
            <w:shd w:val="clear" w:color="auto" w:fill="auto"/>
          </w:tcPr>
          <w:p w14:paraId="6FB7E025" w14:textId="77777777" w:rsidR="0087479B" w:rsidRPr="0084546B" w:rsidRDefault="00292300">
            <w:pPr>
              <w:spacing w:after="0" w:line="240" w:lineRule="auto"/>
              <w:jc w:val="both"/>
              <w:rPr>
                <w:rFonts w:ascii="Arial Narrow" w:hAnsi="Arial Narrow"/>
              </w:rPr>
            </w:pPr>
            <w:r w:rsidRPr="0084546B">
              <w:rPr>
                <w:rFonts w:ascii="Arial Narrow" w:hAnsi="Arial Narrow"/>
              </w:rPr>
              <w:t xml:space="preserve">Tento pohľad je značne zjednodušený viď analýza vyššie. Taktiež tnto nárast nie je dostatočne podporený relevantným poklesom a preto nie je uveriteľný. </w:t>
            </w:r>
          </w:p>
        </w:tc>
        <w:tc>
          <w:tcPr>
            <w:tcW w:w="2266" w:type="dxa"/>
            <w:tcBorders>
              <w:top w:val="nil"/>
            </w:tcBorders>
            <w:shd w:val="clear" w:color="auto" w:fill="auto"/>
          </w:tcPr>
          <w:p w14:paraId="7C1EE0C7" w14:textId="77777777" w:rsidR="0087479B" w:rsidRPr="0084546B" w:rsidRDefault="0087479B">
            <w:pPr>
              <w:spacing w:after="0" w:line="240" w:lineRule="auto"/>
              <w:jc w:val="both"/>
              <w:rPr>
                <w:rFonts w:ascii="Arial Narrow" w:hAnsi="Arial Narrow"/>
              </w:rPr>
            </w:pPr>
          </w:p>
        </w:tc>
        <w:tc>
          <w:tcPr>
            <w:tcW w:w="2265" w:type="dxa"/>
            <w:tcBorders>
              <w:top w:val="nil"/>
            </w:tcBorders>
            <w:shd w:val="clear" w:color="auto" w:fill="auto"/>
          </w:tcPr>
          <w:p w14:paraId="47A21D84" w14:textId="77777777" w:rsidR="0087479B" w:rsidRPr="0084546B" w:rsidRDefault="00AE5854">
            <w:pPr>
              <w:spacing w:after="0" w:line="240" w:lineRule="auto"/>
              <w:jc w:val="both"/>
              <w:rPr>
                <w:rFonts w:ascii="Arial Narrow" w:hAnsi="Arial Narrow"/>
              </w:rPr>
            </w:pPr>
            <w:r w:rsidRPr="0084546B">
              <w:rPr>
                <w:rFonts w:ascii="Arial Narrow" w:hAnsi="Arial Narrow"/>
              </w:rPr>
              <w:t>Akceptované.</w:t>
            </w:r>
          </w:p>
          <w:p w14:paraId="31532819" w14:textId="77777777" w:rsidR="00AE5854" w:rsidRPr="0084546B" w:rsidRDefault="00AE5854">
            <w:pPr>
              <w:spacing w:after="0" w:line="240" w:lineRule="auto"/>
              <w:jc w:val="both"/>
              <w:rPr>
                <w:rFonts w:ascii="Arial Narrow" w:hAnsi="Arial Narrow"/>
              </w:rPr>
            </w:pPr>
            <w:r w:rsidRPr="0084546B">
              <w:rPr>
                <w:rFonts w:ascii="Arial Narrow" w:hAnsi="Arial Narrow"/>
              </w:rPr>
              <w:t>Upravené.</w:t>
            </w:r>
          </w:p>
        </w:tc>
      </w:tr>
      <w:tr w:rsidR="0087479B" w:rsidRPr="0084546B" w14:paraId="6A4303D3" w14:textId="77777777" w:rsidTr="001B6AAE">
        <w:trPr>
          <w:trHeight w:val="305"/>
        </w:trPr>
        <w:tc>
          <w:tcPr>
            <w:tcW w:w="2266" w:type="dxa"/>
            <w:tcBorders>
              <w:top w:val="nil"/>
              <w:bottom w:val="single" w:sz="4" w:space="0" w:color="auto"/>
            </w:tcBorders>
            <w:shd w:val="clear" w:color="auto" w:fill="auto"/>
          </w:tcPr>
          <w:p w14:paraId="59472132" w14:textId="77777777" w:rsidR="0087479B" w:rsidRPr="0084546B" w:rsidRDefault="00292300">
            <w:pPr>
              <w:spacing w:after="0" w:line="240" w:lineRule="auto"/>
              <w:jc w:val="both"/>
              <w:rPr>
                <w:rFonts w:ascii="Arial Narrow" w:hAnsi="Arial Narrow"/>
              </w:rPr>
            </w:pPr>
            <w:r w:rsidRPr="0084546B">
              <w:rPr>
                <w:rFonts w:ascii="Arial Narrow" w:hAnsi="Arial Narrow"/>
              </w:rPr>
              <w:t>Strana 16, „</w:t>
            </w:r>
            <w:r w:rsidRPr="0084546B">
              <w:rPr>
                <w:rFonts w:ascii="Arial Narrow" w:hAnsi="Arial Narrow"/>
                <w:color w:val="000000"/>
              </w:rPr>
              <w:t xml:space="preserve">celkový počet odpisov RPO cez DCOM“ </w:t>
            </w:r>
          </w:p>
        </w:tc>
        <w:tc>
          <w:tcPr>
            <w:tcW w:w="2265" w:type="dxa"/>
            <w:tcBorders>
              <w:top w:val="nil"/>
              <w:bottom w:val="single" w:sz="4" w:space="0" w:color="auto"/>
            </w:tcBorders>
            <w:shd w:val="clear" w:color="auto" w:fill="auto"/>
          </w:tcPr>
          <w:p w14:paraId="18D16245" w14:textId="77777777" w:rsidR="0087479B" w:rsidRPr="0084546B" w:rsidRDefault="00292300">
            <w:pPr>
              <w:spacing w:after="0" w:line="240" w:lineRule="auto"/>
              <w:jc w:val="both"/>
              <w:rPr>
                <w:rFonts w:ascii="Arial Narrow" w:hAnsi="Arial Narrow"/>
              </w:rPr>
            </w:pPr>
            <w:r w:rsidRPr="0084546B">
              <w:rPr>
                <w:rFonts w:ascii="Arial Narrow" w:hAnsi="Arial Narrow"/>
              </w:rPr>
              <w:t>Opäť je potrebné ukázať na medziročný nárast v IS DCOM a zároveň pokles na miestach, kde odpisy sa robili pred týmto projektom. Len tak je možné dôveryhodne preukázať, že prínosy boli spojené s touto reformou/projektom.</w:t>
            </w:r>
          </w:p>
        </w:tc>
        <w:tc>
          <w:tcPr>
            <w:tcW w:w="2266" w:type="dxa"/>
            <w:tcBorders>
              <w:top w:val="nil"/>
              <w:bottom w:val="single" w:sz="4" w:space="0" w:color="auto"/>
            </w:tcBorders>
            <w:shd w:val="clear" w:color="auto" w:fill="auto"/>
          </w:tcPr>
          <w:p w14:paraId="33B3A225" w14:textId="77777777" w:rsidR="0087479B" w:rsidRPr="0084546B" w:rsidRDefault="0087479B">
            <w:pPr>
              <w:spacing w:after="0" w:line="240" w:lineRule="auto"/>
              <w:jc w:val="both"/>
              <w:rPr>
                <w:rFonts w:ascii="Arial Narrow" w:hAnsi="Arial Narrow"/>
              </w:rPr>
            </w:pPr>
          </w:p>
        </w:tc>
        <w:tc>
          <w:tcPr>
            <w:tcW w:w="2265" w:type="dxa"/>
            <w:tcBorders>
              <w:top w:val="nil"/>
              <w:bottom w:val="single" w:sz="4" w:space="0" w:color="auto"/>
            </w:tcBorders>
            <w:shd w:val="clear" w:color="auto" w:fill="auto"/>
          </w:tcPr>
          <w:p w14:paraId="0D603E4F" w14:textId="77777777" w:rsidR="0087479B" w:rsidRPr="0084546B" w:rsidRDefault="00AE5854">
            <w:pPr>
              <w:spacing w:after="0" w:line="240" w:lineRule="auto"/>
              <w:jc w:val="both"/>
              <w:rPr>
                <w:rFonts w:ascii="Arial Narrow" w:hAnsi="Arial Narrow"/>
              </w:rPr>
            </w:pPr>
            <w:r w:rsidRPr="0084546B">
              <w:rPr>
                <w:rFonts w:ascii="Arial Narrow" w:hAnsi="Arial Narrow"/>
              </w:rPr>
              <w:t>Akceptované.</w:t>
            </w:r>
          </w:p>
          <w:p w14:paraId="40432082" w14:textId="77777777" w:rsidR="00AE5854" w:rsidRPr="0084546B" w:rsidRDefault="00AE5854">
            <w:pPr>
              <w:spacing w:after="0" w:line="240" w:lineRule="auto"/>
              <w:jc w:val="both"/>
              <w:rPr>
                <w:rFonts w:ascii="Arial Narrow" w:hAnsi="Arial Narrow"/>
              </w:rPr>
            </w:pPr>
            <w:r w:rsidRPr="0084546B">
              <w:rPr>
                <w:rFonts w:ascii="Arial Narrow" w:hAnsi="Arial Narrow"/>
              </w:rPr>
              <w:t>Údaje boli rozšírené aj o predchádzajúce obdobie.</w:t>
            </w:r>
          </w:p>
        </w:tc>
      </w:tr>
      <w:tr w:rsidR="001B6AAE" w:rsidRPr="0084546B" w14:paraId="465E6A63" w14:textId="77777777" w:rsidTr="001B6AAE">
        <w:trPr>
          <w:trHeight w:val="305"/>
        </w:trPr>
        <w:tc>
          <w:tcPr>
            <w:tcW w:w="2266" w:type="dxa"/>
            <w:tcBorders>
              <w:top w:val="single" w:sz="4" w:space="0" w:color="auto"/>
              <w:bottom w:val="single" w:sz="4" w:space="0" w:color="auto"/>
            </w:tcBorders>
            <w:shd w:val="clear" w:color="auto" w:fill="auto"/>
          </w:tcPr>
          <w:p w14:paraId="3C5A8594" w14:textId="4928B6AF" w:rsidR="001B6AAE" w:rsidRPr="0084546B" w:rsidRDefault="001B6AAE">
            <w:pPr>
              <w:spacing w:after="0" w:line="240" w:lineRule="auto"/>
              <w:jc w:val="both"/>
              <w:rPr>
                <w:rFonts w:ascii="Arial Narrow" w:hAnsi="Arial Narrow"/>
              </w:rPr>
            </w:pPr>
            <w:r>
              <w:rPr>
                <w:rFonts w:ascii="Arial Narrow" w:hAnsi="Arial Narrow"/>
              </w:rPr>
              <w:t>Strana 8</w:t>
            </w:r>
          </w:p>
        </w:tc>
        <w:tc>
          <w:tcPr>
            <w:tcW w:w="2265" w:type="dxa"/>
            <w:tcBorders>
              <w:top w:val="single" w:sz="4" w:space="0" w:color="auto"/>
              <w:bottom w:val="single" w:sz="4" w:space="0" w:color="auto"/>
            </w:tcBorders>
            <w:shd w:val="clear" w:color="auto" w:fill="auto"/>
          </w:tcPr>
          <w:p w14:paraId="77C34558" w14:textId="49EFE646" w:rsidR="001B6AAE" w:rsidRPr="0084546B" w:rsidRDefault="001B6AAE">
            <w:pPr>
              <w:spacing w:after="0" w:line="240" w:lineRule="auto"/>
              <w:jc w:val="both"/>
              <w:rPr>
                <w:rFonts w:ascii="Arial Narrow" w:hAnsi="Arial Narrow"/>
              </w:rPr>
            </w:pPr>
            <w:r>
              <w:rPr>
                <w:rFonts w:ascii="Arial Narrow" w:hAnsi="Arial Narrow"/>
              </w:rPr>
              <w:t>Názornosti by pomohlo uviesť grafy, ktoré by ukazovali jednotlivé potvrdenia (elektronické a papierové) - ich absolútne počty zarovnané na mesiace pre roky 2017 a 2018 a 2019. Takto by bolo vidieť veľkosť poklesu využívania papierových potvrdení a nástup elektronických.</w:t>
            </w:r>
          </w:p>
        </w:tc>
        <w:tc>
          <w:tcPr>
            <w:tcW w:w="2266" w:type="dxa"/>
            <w:tcBorders>
              <w:top w:val="single" w:sz="4" w:space="0" w:color="auto"/>
              <w:bottom w:val="single" w:sz="4" w:space="0" w:color="auto"/>
            </w:tcBorders>
            <w:shd w:val="clear" w:color="auto" w:fill="auto"/>
          </w:tcPr>
          <w:p w14:paraId="19484538" w14:textId="6E94F1AC" w:rsidR="001B6AAE" w:rsidRPr="0084546B" w:rsidRDefault="001B6AAE">
            <w:pPr>
              <w:spacing w:after="0" w:line="240" w:lineRule="auto"/>
              <w:jc w:val="both"/>
              <w:rPr>
                <w:rFonts w:ascii="Arial Narrow" w:hAnsi="Arial Narrow"/>
              </w:rPr>
            </w:pPr>
            <w:r>
              <w:rPr>
                <w:rFonts w:ascii="Arial Narrow" w:hAnsi="Arial Narrow"/>
              </w:rPr>
              <w:t>Z relatívnych počtov sa ťažšie určujú trendy a veľkosť zmeny, prípadne sezónnosť.</w:t>
            </w:r>
          </w:p>
        </w:tc>
        <w:tc>
          <w:tcPr>
            <w:tcW w:w="2265" w:type="dxa"/>
            <w:tcBorders>
              <w:top w:val="single" w:sz="4" w:space="0" w:color="auto"/>
              <w:bottom w:val="single" w:sz="4" w:space="0" w:color="auto"/>
            </w:tcBorders>
            <w:shd w:val="clear" w:color="auto" w:fill="auto"/>
          </w:tcPr>
          <w:p w14:paraId="22C8249C" w14:textId="77777777" w:rsidR="001B6AAE" w:rsidRDefault="001B6AAE">
            <w:pPr>
              <w:spacing w:after="0" w:line="240" w:lineRule="auto"/>
              <w:jc w:val="both"/>
              <w:rPr>
                <w:rFonts w:ascii="Arial Narrow" w:hAnsi="Arial Narrow"/>
              </w:rPr>
            </w:pPr>
            <w:r>
              <w:rPr>
                <w:rFonts w:ascii="Arial Narrow" w:hAnsi="Arial Narrow"/>
              </w:rPr>
              <w:t>Akceptované.</w:t>
            </w:r>
          </w:p>
          <w:p w14:paraId="04943FC0" w14:textId="4AC864F1" w:rsidR="001B6AAE" w:rsidRPr="0084546B" w:rsidRDefault="001B6AAE">
            <w:pPr>
              <w:spacing w:after="0" w:line="240" w:lineRule="auto"/>
              <w:jc w:val="both"/>
              <w:rPr>
                <w:rFonts w:ascii="Arial Narrow" w:hAnsi="Arial Narrow"/>
              </w:rPr>
            </w:pPr>
            <w:r>
              <w:rPr>
                <w:rFonts w:ascii="Arial Narrow" w:hAnsi="Arial Narrow"/>
              </w:rPr>
              <w:t>Doplnené</w:t>
            </w:r>
          </w:p>
        </w:tc>
      </w:tr>
      <w:tr w:rsidR="001B6AAE" w:rsidRPr="0084546B" w14:paraId="1637C2DA" w14:textId="77777777" w:rsidTr="001B6AAE">
        <w:trPr>
          <w:trHeight w:val="305"/>
        </w:trPr>
        <w:tc>
          <w:tcPr>
            <w:tcW w:w="2266" w:type="dxa"/>
            <w:tcBorders>
              <w:top w:val="single" w:sz="4" w:space="0" w:color="auto"/>
              <w:bottom w:val="single" w:sz="4" w:space="0" w:color="auto"/>
            </w:tcBorders>
            <w:shd w:val="clear" w:color="auto" w:fill="auto"/>
          </w:tcPr>
          <w:p w14:paraId="2B5D5405" w14:textId="7B865563" w:rsidR="001B6AAE" w:rsidRPr="0084546B" w:rsidRDefault="001B6AAE">
            <w:pPr>
              <w:spacing w:after="0" w:line="240" w:lineRule="auto"/>
              <w:jc w:val="both"/>
              <w:rPr>
                <w:rFonts w:ascii="Arial Narrow" w:hAnsi="Arial Narrow"/>
              </w:rPr>
            </w:pPr>
            <w:r>
              <w:rPr>
                <w:rFonts w:ascii="Arial Narrow" w:hAnsi="Arial Narrow"/>
              </w:rPr>
              <w:t xml:space="preserve">Strana 12 - „zamestnanci verejnej správy (úspora </w:t>
            </w:r>
            <w:r>
              <w:rPr>
                <w:rFonts w:ascii="Arial Narrow" w:hAnsi="Arial Narrow"/>
              </w:rPr>
              <w:lastRenderedPageBreak/>
              <w:t>20 min. pri poskytovaní listinných potvrdení) – 1,74 mil. EUR/ročne</w:t>
            </w:r>
          </w:p>
        </w:tc>
        <w:tc>
          <w:tcPr>
            <w:tcW w:w="2265" w:type="dxa"/>
            <w:tcBorders>
              <w:top w:val="single" w:sz="4" w:space="0" w:color="auto"/>
              <w:bottom w:val="single" w:sz="4" w:space="0" w:color="auto"/>
            </w:tcBorders>
            <w:shd w:val="clear" w:color="auto" w:fill="auto"/>
          </w:tcPr>
          <w:p w14:paraId="366D071A" w14:textId="32DE63E4" w:rsidR="001B6AAE" w:rsidRPr="0084546B" w:rsidRDefault="001B6AAE">
            <w:pPr>
              <w:spacing w:after="0" w:line="240" w:lineRule="auto"/>
              <w:jc w:val="both"/>
              <w:rPr>
                <w:rFonts w:ascii="Arial Narrow" w:hAnsi="Arial Narrow"/>
              </w:rPr>
            </w:pPr>
            <w:r>
              <w:rPr>
                <w:rFonts w:ascii="Arial Narrow" w:hAnsi="Arial Narrow"/>
              </w:rPr>
              <w:lastRenderedPageBreak/>
              <w:t xml:space="preserve">Žiadam vysvetliť, či bol započítaný aj zvýšený </w:t>
            </w:r>
            <w:r>
              <w:rPr>
                <w:rFonts w:ascii="Arial Narrow" w:hAnsi="Arial Narrow"/>
              </w:rPr>
              <w:lastRenderedPageBreak/>
              <w:t>čas na strane úradníka, ktorý musí teraz získavať el. potvrdenie cez oversi.sk a nedostane ho priamo od občana.</w:t>
            </w:r>
          </w:p>
        </w:tc>
        <w:tc>
          <w:tcPr>
            <w:tcW w:w="2266" w:type="dxa"/>
            <w:tcBorders>
              <w:top w:val="single" w:sz="4" w:space="0" w:color="auto"/>
              <w:bottom w:val="single" w:sz="4" w:space="0" w:color="auto"/>
            </w:tcBorders>
            <w:shd w:val="clear" w:color="auto" w:fill="auto"/>
          </w:tcPr>
          <w:p w14:paraId="0FB64EA2" w14:textId="783C5B8F" w:rsidR="001B6AAE" w:rsidRPr="0084546B" w:rsidRDefault="001B6AAE">
            <w:pPr>
              <w:spacing w:after="0" w:line="240" w:lineRule="auto"/>
              <w:jc w:val="both"/>
              <w:rPr>
                <w:rFonts w:ascii="Arial Narrow" w:hAnsi="Arial Narrow"/>
              </w:rPr>
            </w:pPr>
            <w:r>
              <w:rPr>
                <w:rFonts w:ascii="Arial Narrow" w:hAnsi="Arial Narrow"/>
              </w:rPr>
              <w:lastRenderedPageBreak/>
              <w:t xml:space="preserve">Na strane úradníka, ktorý výpis poskytoval v </w:t>
            </w:r>
            <w:r>
              <w:rPr>
                <w:rFonts w:ascii="Arial Narrow" w:hAnsi="Arial Narrow"/>
              </w:rPr>
              <w:lastRenderedPageBreak/>
              <w:t>papierovej forme jednoznačne príde k úspore času. Naopak na strane úradníka, ktorý si musí vyhľadať el. výpis sám v oversi tento čas podľa nášho názoru vzrastie.</w:t>
            </w:r>
          </w:p>
        </w:tc>
        <w:tc>
          <w:tcPr>
            <w:tcW w:w="2265" w:type="dxa"/>
            <w:tcBorders>
              <w:top w:val="single" w:sz="4" w:space="0" w:color="auto"/>
              <w:bottom w:val="single" w:sz="4" w:space="0" w:color="auto"/>
            </w:tcBorders>
            <w:shd w:val="clear" w:color="auto" w:fill="auto"/>
          </w:tcPr>
          <w:p w14:paraId="4634E2AD" w14:textId="77777777" w:rsidR="001B6AAE" w:rsidRDefault="001B6AAE">
            <w:pPr>
              <w:spacing w:after="0" w:line="240" w:lineRule="auto"/>
              <w:jc w:val="both"/>
              <w:rPr>
                <w:rFonts w:ascii="Arial Narrow" w:hAnsi="Arial Narrow"/>
              </w:rPr>
            </w:pPr>
            <w:r>
              <w:rPr>
                <w:rFonts w:ascii="Arial Narrow" w:hAnsi="Arial Narrow"/>
              </w:rPr>
              <w:lastRenderedPageBreak/>
              <w:t>Vysvetlené</w:t>
            </w:r>
          </w:p>
          <w:p w14:paraId="5FF35CB0" w14:textId="027A5BAF" w:rsidR="001B6AAE" w:rsidRPr="0084546B" w:rsidRDefault="001B6AAE">
            <w:pPr>
              <w:spacing w:after="0" w:line="240" w:lineRule="auto"/>
              <w:jc w:val="both"/>
              <w:rPr>
                <w:rFonts w:ascii="Arial Narrow" w:hAnsi="Arial Narrow"/>
              </w:rPr>
            </w:pPr>
            <w:r>
              <w:rPr>
                <w:rFonts w:ascii="Arial Narrow" w:hAnsi="Arial Narrow"/>
              </w:rPr>
              <w:lastRenderedPageBreak/>
              <w:t>V analýze je zahrnutý dodatočný náklad na strane úradníka, ktorý poskytuje elektronické výpisy/odpisy – 10 minút.</w:t>
            </w:r>
          </w:p>
        </w:tc>
      </w:tr>
    </w:tbl>
    <w:p w14:paraId="27F6A55F" w14:textId="77777777" w:rsidR="0087479B" w:rsidRDefault="0087479B">
      <w:pPr>
        <w:jc w:val="both"/>
        <w:rPr>
          <w:rFonts w:ascii="Arial Narrow" w:hAnsi="Arial Narrow"/>
          <w:b/>
        </w:rPr>
      </w:pPr>
    </w:p>
    <w:p w14:paraId="3C3300AF" w14:textId="77777777" w:rsidR="0087479B" w:rsidRDefault="00292300">
      <w:pPr>
        <w:jc w:val="both"/>
        <w:rPr>
          <w:rFonts w:ascii="Arial Narrow" w:hAnsi="Arial Narrow"/>
          <w:b/>
        </w:rPr>
      </w:pPr>
      <w:r>
        <w:rPr>
          <w:rFonts w:ascii="Arial Narrow" w:hAnsi="Arial Narrow"/>
          <w:b/>
        </w:rPr>
        <w:t>VŠEOBECNÉ PRIPOMIENKY:</w:t>
      </w:r>
    </w:p>
    <w:p w14:paraId="0BAE04E1" w14:textId="77777777" w:rsidR="0087479B" w:rsidRDefault="00292300">
      <w:pPr>
        <w:numPr>
          <w:ilvl w:val="0"/>
          <w:numId w:val="1"/>
        </w:numPr>
        <w:jc w:val="both"/>
        <w:rPr>
          <w:rFonts w:ascii="Arial Narrow" w:hAnsi="Arial Narrow"/>
        </w:rPr>
      </w:pPr>
      <w:r>
        <w:rPr>
          <w:rFonts w:ascii="Arial Narrow" w:hAnsi="Arial Narrow"/>
        </w:rPr>
        <w:t>Analytický dokument sa zameriava len na veľmi úzku skupinu elektronických služieb (povinnosť OVM vyhotovovať si výpisy/odpisy), ktoré zo svojej podstaty ani nie sú elektronickými službami pre občana. Občan tieto služby priamo nevyužíva, sú to backoffice služby, ktoré vykonáva úradník na strane OVM. V celom dokumente ako aj implementačnej správe chýba definícia prioritne elektronických služieb, čiže nie je možné vyhodnotiť, či bolo splnené zadanie. Žiadame doplniť a analýzu rozšíriť aj o iné elektronické služby (napr. povinnosť vyžívať elektronické schránky PO, pohľad na využívanie služieb FO...)</w:t>
      </w:r>
    </w:p>
    <w:p w14:paraId="2DFDF445" w14:textId="383BA29B" w:rsidR="0087479B" w:rsidRDefault="00292300">
      <w:pPr>
        <w:numPr>
          <w:ilvl w:val="0"/>
          <w:numId w:val="1"/>
        </w:numPr>
        <w:jc w:val="both"/>
        <w:rPr>
          <w:rFonts w:ascii="Arial Narrow" w:hAnsi="Arial Narrow"/>
        </w:rPr>
      </w:pPr>
      <w:r>
        <w:rPr>
          <w:rFonts w:ascii="Arial Narrow" w:hAnsi="Arial Narrow"/>
        </w:rPr>
        <w:t xml:space="preserve">V správe absentuje pohľad na náklady systémov, ktoré deklarujú prínosy na strane občana. Tento pohľad je veľmi zúžený, </w:t>
      </w:r>
      <w:r w:rsidR="00854080">
        <w:rPr>
          <w:rFonts w:ascii="Arial Narrow" w:hAnsi="Arial Narrow"/>
        </w:rPr>
        <w:t>keďže</w:t>
      </w:r>
      <w:r>
        <w:rPr>
          <w:rFonts w:ascii="Arial Narrow" w:hAnsi="Arial Narrow"/>
        </w:rPr>
        <w:t xml:space="preserve"> občan platí (napr. daňami), za prevádzku týchto systémov, pričom poplatky za výpisy, kolky sú adresnejšie. Veľká skupina občanov, ktorý výpisy v minulosti využívali len marginálne sa navyše skladá na prevádzku systémov, ktoré nevyužívajú. Zrušenie poplatkov tiež ťažko považovať za úsporu z elektronickej komunikácie, </w:t>
      </w:r>
      <w:r w:rsidR="00854080">
        <w:rPr>
          <w:rFonts w:ascii="Arial Narrow" w:hAnsi="Arial Narrow"/>
        </w:rPr>
        <w:t>keďže</w:t>
      </w:r>
      <w:r>
        <w:rPr>
          <w:rFonts w:ascii="Arial Narrow" w:hAnsi="Arial Narrow"/>
        </w:rPr>
        <w:t xml:space="preserve"> po zavedení systému oversi sa náklady na úradoch zvýšia (nová agenda) a zrušené poplatky nijako nevykrývajú tento náklad. Žiadame doplniť aj pohľad na náklady.</w:t>
      </w:r>
    </w:p>
    <w:p w14:paraId="0290CE51" w14:textId="77777777" w:rsidR="0087479B" w:rsidRDefault="0087479B">
      <w:pPr>
        <w:jc w:val="both"/>
        <w:rPr>
          <w:rFonts w:ascii="Arial Narrow" w:hAnsi="Arial Narrow"/>
          <w:b/>
        </w:rPr>
      </w:pPr>
    </w:p>
    <w:p w14:paraId="0847A556" w14:textId="77777777" w:rsidR="0087479B" w:rsidRDefault="00292300">
      <w:pPr>
        <w:jc w:val="both"/>
        <w:rPr>
          <w:rFonts w:ascii="Arial Narrow" w:hAnsi="Arial Narrow"/>
          <w:b/>
        </w:rPr>
      </w:pPr>
      <w:r>
        <w:rPr>
          <w:rFonts w:ascii="Arial Narrow" w:hAnsi="Arial Narrow"/>
          <w:b/>
        </w:rPr>
        <w:t>CELKOVÉ HODNOTENIE:</w:t>
      </w:r>
    </w:p>
    <w:p w14:paraId="3F9E98A8" w14:textId="77777777" w:rsidR="0087479B" w:rsidRDefault="00292300">
      <w:pPr>
        <w:jc w:val="both"/>
        <w:rPr>
          <w:rFonts w:ascii="Arial Narrow" w:hAnsi="Arial Narrow"/>
        </w:rPr>
      </w:pPr>
      <w:r>
        <w:rPr>
          <w:rFonts w:ascii="Arial Narrow" w:hAnsi="Arial Narrow"/>
        </w:rPr>
        <w:t>Analytický dokument sa zameriava len na veľmi špecifickú skupinu el. služieb a úplne absentuje pohľad na náklady na vývoj a prevádzku týchto systémov. Z poskytnutých údajov nie je zrejmé, či prínosy boli naozaj spôsobené reformou (antibyrokratický zákon), pohľad na počet poskytnutých výpisov na strane projektu OverSi nepovažujeme za dostatočný, kedže nevysvetľuje, kde a ako sa skutočne znížili počty výpisov, ktoré boli poskytované v minulosti. Práve tento (napr. medziročný) pokles by mal byť klúčová metrika pre vyhodnotenie úspešnosti reformy z pohľadu ušetreného času občana.</w:t>
      </w:r>
    </w:p>
    <w:p w14:paraId="42532948" w14:textId="77777777" w:rsidR="0087479B" w:rsidRDefault="0087479B">
      <w:pPr>
        <w:jc w:val="both"/>
        <w:rPr>
          <w:rFonts w:ascii="Arial Narrow" w:hAnsi="Arial Narrow"/>
        </w:rPr>
      </w:pPr>
    </w:p>
    <w:p w14:paraId="0B638BEC" w14:textId="011211DF" w:rsidR="0087479B" w:rsidRDefault="00292300">
      <w:pPr>
        <w:tabs>
          <w:tab w:val="left" w:pos="1134"/>
          <w:tab w:val="left" w:pos="1418"/>
        </w:tabs>
        <w:jc w:val="both"/>
        <w:rPr>
          <w:rFonts w:ascii="Arial Narrow" w:hAnsi="Arial Narrow"/>
        </w:rPr>
      </w:pPr>
      <w:r>
        <w:rPr>
          <w:rFonts w:ascii="Arial Narrow" w:hAnsi="Arial Narrow"/>
          <w:b/>
        </w:rPr>
        <w:t>SCHVÁLIŤ:</w:t>
      </w:r>
      <w:r>
        <w:rPr>
          <w:rFonts w:ascii="Arial Narrow" w:hAnsi="Arial Narrow"/>
        </w:rPr>
        <w:t xml:space="preserve">   </w:t>
      </w:r>
      <w:r>
        <w:rPr>
          <w:rFonts w:ascii="Arial Narrow" w:hAnsi="Arial Narrow"/>
        </w:rPr>
        <w:tab/>
      </w:r>
      <w:sdt>
        <w:sdtPr>
          <w:id w:val="344603482"/>
          <w14:checkbox>
            <w14:checked w14:val="1"/>
            <w14:checkedState w14:val="2612" w14:font="MS Gothic"/>
            <w14:uncheckedState w14:val="2610" w14:font="MS Gothic"/>
          </w14:checkbox>
        </w:sdtPr>
        <w:sdtEndPr/>
        <w:sdtContent>
          <w:r w:rsidR="00854080">
            <w:rPr>
              <w:rFonts w:ascii="MS Gothic" w:eastAsia="MS Gothic" w:hAnsi="MS Gothic" w:hint="eastAsia"/>
            </w:rPr>
            <w:t>☒</w:t>
          </w:r>
        </w:sdtContent>
      </w:sdt>
      <w:r>
        <w:rPr>
          <w:rFonts w:ascii="Arial Narrow" w:hAnsi="Arial Narrow"/>
        </w:rPr>
        <w:tab/>
        <w:t>odporúčam</w:t>
      </w:r>
    </w:p>
    <w:p w14:paraId="04FB8B45" w14:textId="00986F65" w:rsidR="0087479B" w:rsidRDefault="00292300">
      <w:pPr>
        <w:tabs>
          <w:tab w:val="left" w:pos="1134"/>
          <w:tab w:val="left" w:pos="1418"/>
        </w:tabs>
        <w:jc w:val="both"/>
      </w:pPr>
      <w:r>
        <w:rPr>
          <w:rFonts w:ascii="Arial Narrow" w:hAnsi="Arial Narrow"/>
        </w:rPr>
        <w:tab/>
      </w:r>
      <w:sdt>
        <w:sdtPr>
          <w:id w:val="1310209671"/>
          <w14:checkbox>
            <w14:checked w14:val="0"/>
            <w14:checkedState w14:val="2612" w14:font="MS Gothic"/>
            <w14:uncheckedState w14:val="2610" w14:font="MS Gothic"/>
          </w14:checkbox>
        </w:sdtPr>
        <w:sdtEndPr/>
        <w:sdtContent>
          <w:r w:rsidR="00854080">
            <w:rPr>
              <w:rFonts w:ascii="MS Gothic" w:eastAsia="MS Gothic" w:hAnsi="MS Gothic" w:hint="eastAsia"/>
            </w:rPr>
            <w:t>☐</w:t>
          </w:r>
        </w:sdtContent>
      </w:sdt>
      <w:r>
        <w:rPr>
          <w:rFonts w:ascii="Arial Narrow" w:hAnsi="Arial Narrow"/>
        </w:rPr>
        <w:tab/>
        <w:t>neodporúčam</w:t>
      </w:r>
    </w:p>
    <w:p w14:paraId="411A81D3" w14:textId="77777777" w:rsidR="0087479B" w:rsidRDefault="0087479B">
      <w:pPr>
        <w:tabs>
          <w:tab w:val="left" w:pos="1418"/>
        </w:tabs>
        <w:jc w:val="both"/>
        <w:rPr>
          <w:rFonts w:ascii="Arial Narrow" w:hAnsi="Arial Narrow"/>
        </w:rPr>
      </w:pPr>
    </w:p>
    <w:p w14:paraId="30F3587D" w14:textId="77777777" w:rsidR="0087479B" w:rsidRDefault="00292300">
      <w:pPr>
        <w:tabs>
          <w:tab w:val="left" w:pos="1418"/>
        </w:tabs>
        <w:jc w:val="both"/>
        <w:rPr>
          <w:rFonts w:ascii="Arial Narrow" w:hAnsi="Arial Narrow"/>
          <w:b/>
        </w:rPr>
      </w:pPr>
      <w:r>
        <w:rPr>
          <w:rFonts w:ascii="Arial Narrow" w:hAnsi="Arial Narrow"/>
          <w:b/>
        </w:rPr>
        <w:t>Súhlasím s uvedením svojho mena ako mena recenzenta v recenzovanej publikácii</w:t>
      </w:r>
    </w:p>
    <w:p w14:paraId="02968F47" w14:textId="77777777" w:rsidR="0087479B" w:rsidRDefault="00292300">
      <w:pPr>
        <w:tabs>
          <w:tab w:val="left" w:pos="1134"/>
          <w:tab w:val="left" w:pos="1418"/>
        </w:tabs>
        <w:jc w:val="both"/>
      </w:pPr>
      <w:r>
        <w:rPr>
          <w:rFonts w:ascii="Arial Narrow" w:hAnsi="Arial Narrow"/>
        </w:rPr>
        <w:tab/>
      </w:r>
      <w:sdt>
        <w:sdtPr>
          <w:id w:val="989069749"/>
          <w14:checkbox>
            <w14:checked w14:val="1"/>
            <w14:checkedState w14:val="2612" w14:font="MS Gothic"/>
            <w14:uncheckedState w14:val="2610" w14:font="MS Gothic"/>
          </w14:checkbox>
        </w:sdtPr>
        <w:sdtEndPr/>
        <w:sdtContent>
          <w:r>
            <w:rPr>
              <w:rFonts w:ascii="MS Gothic" w:eastAsia="MS Gothic" w:hAnsi="MS Gothic"/>
            </w:rPr>
            <w:t>X</w:t>
          </w:r>
        </w:sdtContent>
      </w:sdt>
      <w:r>
        <w:rPr>
          <w:rFonts w:ascii="Arial Narrow" w:hAnsi="Arial Narrow"/>
        </w:rPr>
        <w:tab/>
        <w:t>ÁNO</w:t>
      </w:r>
    </w:p>
    <w:p w14:paraId="65033E6E" w14:textId="77777777" w:rsidR="0087479B" w:rsidRDefault="00292300">
      <w:pPr>
        <w:tabs>
          <w:tab w:val="left" w:pos="1134"/>
          <w:tab w:val="left" w:pos="1418"/>
        </w:tabs>
        <w:jc w:val="both"/>
        <w:rPr>
          <w:rFonts w:ascii="Arial Narrow" w:hAnsi="Arial Narrow"/>
        </w:rPr>
      </w:pPr>
      <w:r>
        <w:rPr>
          <w:rFonts w:ascii="Arial Narrow" w:hAnsi="Arial Narrow"/>
        </w:rPr>
        <w:tab/>
      </w:r>
      <w:sdt>
        <w:sdtPr>
          <w:id w:val="-1072118973"/>
          <w14:checkbox>
            <w14:checked w14:val="1"/>
            <w14:checkedState w14:val="2612" w14:font="MS Gothic"/>
            <w14:uncheckedState w14:val="2610" w14:font="MS Gothic"/>
          </w14:checkbox>
        </w:sdtPr>
        <w:sdtEndPr/>
        <w:sdtContent>
          <w:r>
            <w:rPr>
              <w:rFonts w:ascii="MS Gothic" w:eastAsia="MS Gothic" w:hAnsi="MS Gothic"/>
            </w:rPr>
            <w:t>☐</w:t>
          </w:r>
        </w:sdtContent>
      </w:sdt>
      <w:r>
        <w:rPr>
          <w:rFonts w:ascii="Arial Narrow" w:hAnsi="Arial Narrow"/>
        </w:rPr>
        <w:tab/>
        <w:t>NIE</w:t>
      </w:r>
    </w:p>
    <w:p w14:paraId="487EDF2D" w14:textId="77777777" w:rsidR="0087479B" w:rsidRDefault="0087479B">
      <w:pPr>
        <w:tabs>
          <w:tab w:val="left" w:pos="1418"/>
        </w:tabs>
        <w:jc w:val="both"/>
        <w:rPr>
          <w:rFonts w:ascii="Arial Narrow" w:hAnsi="Arial Narrow"/>
        </w:rPr>
      </w:pPr>
    </w:p>
    <w:p w14:paraId="46448A54" w14:textId="77777777" w:rsidR="0087479B" w:rsidRDefault="00292300">
      <w:pPr>
        <w:tabs>
          <w:tab w:val="left" w:pos="1418"/>
        </w:tabs>
        <w:jc w:val="both"/>
        <w:rPr>
          <w:rFonts w:ascii="Arial Narrow" w:hAnsi="Arial Narrow"/>
          <w:b/>
        </w:rPr>
      </w:pPr>
      <w:r>
        <w:rPr>
          <w:rFonts w:ascii="Arial Narrow" w:hAnsi="Arial Narrow"/>
          <w:b/>
        </w:rPr>
        <w:t>Súhlasím so zverejnením tohto pripomienkovacieho hárka</w:t>
      </w:r>
    </w:p>
    <w:p w14:paraId="4E7B8F35" w14:textId="77777777" w:rsidR="0087479B" w:rsidRDefault="00292300">
      <w:pPr>
        <w:tabs>
          <w:tab w:val="left" w:pos="1134"/>
          <w:tab w:val="left" w:pos="1418"/>
        </w:tabs>
        <w:jc w:val="both"/>
      </w:pPr>
      <w:r>
        <w:rPr>
          <w:rFonts w:ascii="Arial Narrow" w:hAnsi="Arial Narrow"/>
        </w:rPr>
        <w:tab/>
        <w:t>X</w:t>
      </w:r>
      <w:r>
        <w:rPr>
          <w:rFonts w:ascii="Arial Narrow" w:hAnsi="Arial Narrow"/>
        </w:rPr>
        <w:tab/>
        <w:t>ÁNO</w:t>
      </w:r>
    </w:p>
    <w:p w14:paraId="5598F25D" w14:textId="023724AE" w:rsidR="0087479B" w:rsidRPr="00854080" w:rsidRDefault="00292300" w:rsidP="00854080">
      <w:pPr>
        <w:tabs>
          <w:tab w:val="left" w:pos="1134"/>
          <w:tab w:val="left" w:pos="1418"/>
        </w:tabs>
        <w:jc w:val="both"/>
        <w:rPr>
          <w:rFonts w:ascii="Arial Narrow" w:hAnsi="Arial Narrow"/>
        </w:rPr>
      </w:pPr>
      <w:r>
        <w:rPr>
          <w:rFonts w:ascii="Arial Narrow" w:hAnsi="Arial Narrow"/>
        </w:rPr>
        <w:tab/>
      </w:r>
      <w:sdt>
        <w:sdtPr>
          <w:id w:val="1016353452"/>
          <w14:checkbox>
            <w14:checked w14:val="1"/>
            <w14:checkedState w14:val="2612" w14:font="MS Gothic"/>
            <w14:uncheckedState w14:val="2610" w14:font="MS Gothic"/>
          </w14:checkbox>
        </w:sdtPr>
        <w:sdtEndPr/>
        <w:sdtContent>
          <w:r>
            <w:rPr>
              <w:rFonts w:ascii="MS Gothic" w:eastAsia="MS Gothic" w:hAnsi="MS Gothic"/>
            </w:rPr>
            <w:t>☐</w:t>
          </w:r>
        </w:sdtContent>
      </w:sdt>
      <w:r>
        <w:rPr>
          <w:rFonts w:ascii="Arial Narrow" w:hAnsi="Arial Narrow"/>
        </w:rPr>
        <w:tab/>
        <w:t>NIE</w:t>
      </w:r>
    </w:p>
    <w:sectPr w:rsidR="0087479B" w:rsidRPr="00854080">
      <w:headerReference w:type="default" r:id="rId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AF59B" w14:textId="77777777" w:rsidR="00065D46" w:rsidRDefault="00292300">
      <w:pPr>
        <w:spacing w:after="0" w:line="240" w:lineRule="auto"/>
      </w:pPr>
      <w:r>
        <w:separator/>
      </w:r>
    </w:p>
  </w:endnote>
  <w:endnote w:type="continuationSeparator" w:id="0">
    <w:p w14:paraId="2BFEA608" w14:textId="77777777" w:rsidR="00065D46" w:rsidRDefault="0029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477AE" w14:textId="77777777" w:rsidR="0087479B" w:rsidRDefault="00292300">
      <w:r>
        <w:separator/>
      </w:r>
    </w:p>
  </w:footnote>
  <w:footnote w:type="continuationSeparator" w:id="0">
    <w:p w14:paraId="7AFA5BF8" w14:textId="77777777" w:rsidR="0087479B" w:rsidRDefault="00292300">
      <w:r>
        <w:continuationSeparator/>
      </w:r>
    </w:p>
  </w:footnote>
  <w:footnote w:id="1">
    <w:p w14:paraId="4AF3326B" w14:textId="7591CE36" w:rsidR="00EF5EA5" w:rsidRPr="00EF5EA5" w:rsidRDefault="00EF5EA5" w:rsidP="00EF5EA5">
      <w:pPr>
        <w:pStyle w:val="Textpoznmkypodiarou"/>
        <w:jc w:val="both"/>
        <w:rPr>
          <w:u w:val="single"/>
        </w:rPr>
      </w:pPr>
      <w:r>
        <w:rPr>
          <w:rStyle w:val="Odkaznapoznmkupodiarou"/>
        </w:rPr>
        <w:footnoteRef/>
      </w:r>
      <w:r w:rsidR="007F72B6">
        <w:t xml:space="preserve"> </w:t>
      </w:r>
      <w:bookmarkStart w:id="0" w:name="_GoBack"/>
      <w:bookmarkEnd w:id="0"/>
      <w:r>
        <w:rPr>
          <w:rFonts w:ascii="Arial Narrow" w:hAnsi="Arial Narrow"/>
        </w:rPr>
        <w:t xml:space="preserve">V priebehu recenzného konania sa zmenil názov analýzy z </w:t>
      </w:r>
      <w:r w:rsidRPr="00EF5EA5">
        <w:rPr>
          <w:rFonts w:ascii="Arial Narrow" w:hAnsi="Arial Narrow"/>
          <w:i/>
        </w:rPr>
        <w:t>„</w:t>
      </w:r>
      <w:r w:rsidRPr="00EF5EA5">
        <w:rPr>
          <w:rFonts w:ascii="Arial Narrow" w:hAnsi="Arial Narrow"/>
          <w:i/>
        </w:rPr>
        <w:t>Analýza služieb pre prioritne elektronickú komunikáciu</w:t>
      </w:r>
      <w:r w:rsidRPr="00EF5EA5">
        <w:rPr>
          <w:rFonts w:ascii="Arial Narrow" w:hAnsi="Arial Narrow"/>
          <w:i/>
        </w:rPr>
        <w:t>“</w:t>
      </w:r>
      <w:r>
        <w:rPr>
          <w:rFonts w:ascii="Arial Narrow" w:hAnsi="Arial Narrow"/>
        </w:rPr>
        <w:t xml:space="preserve"> na </w:t>
      </w:r>
      <w:r w:rsidRPr="00EF5EA5">
        <w:rPr>
          <w:rFonts w:ascii="Arial Narrow" w:hAnsi="Arial Narrow"/>
          <w:i/>
        </w:rPr>
        <w:t>„Analýza elektronizácie poskytovania vybraných potvrdení“</w:t>
      </w:r>
      <w:r>
        <w:rPr>
          <w:rFonts w:ascii="Arial Narrow" w:hAnsi="Arial Narrow"/>
        </w:rPr>
        <w:t xml:space="preserve">, následne došlo k zmene na </w:t>
      </w:r>
      <w:r w:rsidRPr="00EF5EA5">
        <w:rPr>
          <w:rFonts w:ascii="Arial Narrow" w:hAnsi="Arial Narrow"/>
          <w:i/>
        </w:rPr>
        <w:t>„OverSi po roku“</w:t>
      </w:r>
      <w:r>
        <w:rPr>
          <w:rFonts w:ascii="Arial Narrow" w:hAnsi="Arial Narrow"/>
        </w:rPr>
        <w:t xml:space="preserve"> s podnázvom </w:t>
      </w:r>
      <w:r w:rsidRPr="00EF5EA5">
        <w:rPr>
          <w:rFonts w:ascii="Arial Narrow" w:hAnsi="Arial Narrow"/>
          <w:i/>
        </w:rPr>
        <w:t>„Analýza dopadov zákona proti byrokracii“</w:t>
      </w:r>
      <w:r>
        <w:rPr>
          <w:rFonts w:ascii="Arial Narrow" w:hAnsi="Arial Narrow"/>
          <w:i/>
        </w:rPr>
        <w:t>.</w:t>
      </w:r>
    </w:p>
  </w:footnote>
  <w:footnote w:id="2">
    <w:p w14:paraId="46BFA5D7" w14:textId="4EC67575" w:rsidR="0087479B" w:rsidRDefault="00292300">
      <w:pPr>
        <w:pStyle w:val="Textpoznmkypodiarou"/>
        <w:jc w:val="both"/>
      </w:pPr>
      <w:r>
        <w:rPr>
          <w:rStyle w:val="FootnoteCharacters"/>
        </w:rPr>
        <w:footnoteRef/>
      </w:r>
      <w:r w:rsidR="007F72B6">
        <w:rPr>
          <w:rFonts w:ascii="Arial Narrow" w:hAnsi="Arial Narrow"/>
        </w:rPr>
        <w:t xml:space="preserve"> </w:t>
      </w:r>
      <w:r>
        <w:rPr>
          <w:rFonts w:ascii="Arial Narrow" w:hAnsi="Arial Narrow"/>
        </w:rPr>
        <w:t>Podľa parametrov analytických výstupov opísaných v Metodike pre budovanie analytických kapacít</w:t>
      </w:r>
    </w:p>
  </w:footnote>
  <w:footnote w:id="3">
    <w:p w14:paraId="414A0E42" w14:textId="54C96F7A" w:rsidR="0087479B" w:rsidRDefault="00292300">
      <w:pPr>
        <w:pStyle w:val="Textpoznmkypodiarou"/>
        <w:jc w:val="both"/>
      </w:pPr>
      <w:r>
        <w:rPr>
          <w:rStyle w:val="FootnoteCharacters"/>
        </w:rPr>
        <w:footnoteRef/>
      </w:r>
      <w:r w:rsidR="007F72B6">
        <w:rPr>
          <w:rFonts w:ascii="Arial Narrow" w:hAnsi="Arial Narrow"/>
        </w:rPr>
        <w:t xml:space="preserve"> </w:t>
      </w:r>
      <w:r>
        <w:rPr>
          <w:rFonts w:ascii="Arial Narrow" w:hAnsi="Arial Narrow"/>
        </w:rPr>
        <w:t>Podľa možností opísaných v Metodike pre budovanie analytických kapacít</w:t>
      </w:r>
    </w:p>
  </w:footnote>
  <w:footnote w:id="4">
    <w:p w14:paraId="5111DC0F" w14:textId="716F457B" w:rsidR="0087479B" w:rsidRDefault="00292300">
      <w:pPr>
        <w:pStyle w:val="Textpoznmkypodiarou"/>
        <w:jc w:val="both"/>
      </w:pPr>
      <w:r>
        <w:rPr>
          <w:rStyle w:val="FootnoteCharacters"/>
        </w:rPr>
        <w:footnoteRef/>
      </w:r>
      <w:r w:rsidR="007F72B6">
        <w:rPr>
          <w:rStyle w:val="FootnoteCharacters"/>
          <w:rFonts w:ascii="Arial Narrow" w:hAnsi="Arial Narrow"/>
        </w:rPr>
        <w:t xml:space="preserve"> </w:t>
      </w:r>
      <w:r>
        <w:rPr>
          <w:rFonts w:ascii="Arial Narrow" w:hAnsi="Arial Narrow"/>
        </w:rPr>
        <w:t>Pripomienka bola akceptovaná / pripomienka nebola akceptovaná a zdôvodnenie/ pripomienka bola čiastočne akceptovaná a zdôvodnenie.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52A6" w14:textId="77777777" w:rsidR="0087479B" w:rsidRDefault="00292300">
    <w:pPr>
      <w:tabs>
        <w:tab w:val="left" w:pos="6521"/>
      </w:tabs>
      <w:jc w:val="both"/>
      <w:rPr>
        <w:rFonts w:ascii="Arial Narrow" w:hAnsi="Arial Narrow"/>
        <w:b/>
      </w:rPr>
    </w:pPr>
    <w:r>
      <w:rPr>
        <w:rFonts w:ascii="Arial Narrow" w:hAnsi="Arial Narrow"/>
        <w:b/>
      </w:rPr>
      <w:t>RECENZNÉ KONANIE</w:t>
    </w:r>
    <w:r>
      <w:rPr>
        <w:rFonts w:ascii="Arial Narrow" w:hAnsi="Arial Narrow"/>
        <w:b/>
      </w:rPr>
      <w:tab/>
      <w:t>PRIPOMIENKOVACÍ HÁROK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A03"/>
    <w:multiLevelType w:val="multilevel"/>
    <w:tmpl w:val="95F8EF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E6253D7"/>
    <w:multiLevelType w:val="multilevel"/>
    <w:tmpl w:val="3C084C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9B"/>
    <w:rsid w:val="00065D46"/>
    <w:rsid w:val="001B6AAE"/>
    <w:rsid w:val="00292300"/>
    <w:rsid w:val="00564512"/>
    <w:rsid w:val="00793246"/>
    <w:rsid w:val="007F72B6"/>
    <w:rsid w:val="0084546B"/>
    <w:rsid w:val="00854080"/>
    <w:rsid w:val="0087479B"/>
    <w:rsid w:val="00AE5854"/>
    <w:rsid w:val="00E83A66"/>
    <w:rsid w:val="00EF5EA5"/>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1CFD"/>
  <w15:docId w15:val="{429458C1-BD5E-498B-9615-AF40DB8B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poznmkypodiarouChar">
    <w:name w:val="Text poznámky pod čiarou Char"/>
    <w:basedOn w:val="Predvolenpsmoodseku"/>
    <w:link w:val="Textpoznmkypodiarou"/>
    <w:uiPriority w:val="99"/>
    <w:semiHidden/>
    <w:qFormat/>
    <w:rsid w:val="00EA299F"/>
    <w:rPr>
      <w:sz w:val="20"/>
      <w:szCs w:val="20"/>
    </w:rPr>
  </w:style>
  <w:style w:type="character" w:customStyle="1" w:styleId="FootnoteCharacters">
    <w:name w:val="Footnote Characters"/>
    <w:basedOn w:val="Predvolenpsmoodseku"/>
    <w:uiPriority w:val="99"/>
    <w:semiHidden/>
    <w:unhideWhenUsed/>
    <w:qFormat/>
    <w:rsid w:val="00EA299F"/>
    <w:rPr>
      <w:vertAlign w:val="superscript"/>
    </w:rPr>
  </w:style>
  <w:style w:type="character" w:customStyle="1" w:styleId="FootnoteAnchor">
    <w:name w:val="Footnote Anchor"/>
    <w:rPr>
      <w:vertAlign w:val="superscript"/>
    </w:rPr>
  </w:style>
  <w:style w:type="character" w:customStyle="1" w:styleId="HlavikaChar">
    <w:name w:val="Hlavička Char"/>
    <w:basedOn w:val="Predvolenpsmoodseku"/>
    <w:link w:val="Hlavika"/>
    <w:uiPriority w:val="99"/>
    <w:qFormat/>
    <w:rsid w:val="005E58C9"/>
  </w:style>
  <w:style w:type="character" w:customStyle="1" w:styleId="PtaChar">
    <w:name w:val="Päta Char"/>
    <w:basedOn w:val="Predvolenpsmoodseku"/>
    <w:link w:val="Pta"/>
    <w:uiPriority w:val="99"/>
    <w:qFormat/>
    <w:rsid w:val="005E58C9"/>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InternetLink">
    <w:name w:val="Internet Link"/>
    <w:rPr>
      <w:color w:val="000080"/>
      <w:u w:val="single"/>
    </w:rPr>
  </w:style>
  <w:style w:type="character" w:customStyle="1" w:styleId="NumberingSymbols">
    <w:name w:val="Numbering Symbols"/>
    <w:qFormat/>
  </w:style>
  <w:style w:type="paragraph" w:customStyle="1" w:styleId="Heading">
    <w:name w:val="Heading"/>
    <w:basedOn w:val="Normlny"/>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y"/>
    <w:pPr>
      <w:spacing w:after="140" w:line="276" w:lineRule="auto"/>
    </w:pPr>
  </w:style>
  <w:style w:type="paragraph" w:styleId="Zoznam">
    <w:name w:val="List"/>
    <w:basedOn w:val="Zkladntext"/>
    <w:rPr>
      <w:rFonts w:cs="Lohit Devanagari"/>
    </w:rPr>
  </w:style>
  <w:style w:type="paragraph" w:styleId="Popis">
    <w:name w:val="caption"/>
    <w:basedOn w:val="Normlny"/>
    <w:qFormat/>
    <w:pPr>
      <w:suppressLineNumbers/>
      <w:spacing w:before="120" w:after="120"/>
    </w:pPr>
    <w:rPr>
      <w:rFonts w:cs="Lohit Devanagari"/>
      <w:i/>
      <w:iCs/>
      <w:sz w:val="24"/>
      <w:szCs w:val="24"/>
    </w:rPr>
  </w:style>
  <w:style w:type="paragraph" w:customStyle="1" w:styleId="Index">
    <w:name w:val="Index"/>
    <w:basedOn w:val="Normlny"/>
    <w:qFormat/>
    <w:pPr>
      <w:suppressLineNumbers/>
    </w:pPr>
    <w:rPr>
      <w:rFonts w:cs="Lohit Devanagari"/>
    </w:rPr>
  </w:style>
  <w:style w:type="paragraph" w:styleId="Textpoznmkypodiarou">
    <w:name w:val="footnote text"/>
    <w:basedOn w:val="Normlny"/>
    <w:link w:val="TextpoznmkypodiarouChar"/>
    <w:uiPriority w:val="99"/>
    <w:semiHidden/>
    <w:unhideWhenUsed/>
    <w:rsid w:val="00EA299F"/>
    <w:pPr>
      <w:spacing w:after="0" w:line="240" w:lineRule="auto"/>
    </w:pPr>
    <w:rPr>
      <w:sz w:val="20"/>
      <w:szCs w:val="20"/>
    </w:rPr>
  </w:style>
  <w:style w:type="paragraph" w:styleId="Hlavika">
    <w:name w:val="header"/>
    <w:basedOn w:val="Normlny"/>
    <w:link w:val="HlavikaChar"/>
    <w:uiPriority w:val="99"/>
    <w:unhideWhenUsed/>
    <w:rsid w:val="005E58C9"/>
    <w:pPr>
      <w:tabs>
        <w:tab w:val="center" w:pos="4536"/>
        <w:tab w:val="right" w:pos="9072"/>
      </w:tabs>
      <w:spacing w:after="0" w:line="240" w:lineRule="auto"/>
    </w:pPr>
  </w:style>
  <w:style w:type="paragraph" w:styleId="Pta">
    <w:name w:val="footer"/>
    <w:basedOn w:val="Normlny"/>
    <w:link w:val="PtaChar"/>
    <w:uiPriority w:val="99"/>
    <w:unhideWhenUsed/>
    <w:rsid w:val="005E58C9"/>
    <w:pPr>
      <w:tabs>
        <w:tab w:val="center" w:pos="4536"/>
        <w:tab w:val="right" w:pos="9072"/>
      </w:tabs>
      <w:spacing w:after="0" w:line="240" w:lineRule="auto"/>
    </w:pPr>
  </w:style>
  <w:style w:type="table" w:styleId="Mriekatabuky">
    <w:name w:val="Table Grid"/>
    <w:basedOn w:val="Normlnatabuka"/>
    <w:uiPriority w:val="39"/>
    <w:rsid w:val="00EA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F5EA5"/>
    <w:rPr>
      <w:sz w:val="16"/>
      <w:szCs w:val="16"/>
    </w:rPr>
  </w:style>
  <w:style w:type="paragraph" w:styleId="Textkomentra">
    <w:name w:val="annotation text"/>
    <w:basedOn w:val="Normlny"/>
    <w:link w:val="TextkomentraChar"/>
    <w:uiPriority w:val="99"/>
    <w:semiHidden/>
    <w:unhideWhenUsed/>
    <w:rsid w:val="00EF5EA5"/>
    <w:pPr>
      <w:spacing w:line="240" w:lineRule="auto"/>
    </w:pPr>
    <w:rPr>
      <w:sz w:val="20"/>
      <w:szCs w:val="20"/>
    </w:rPr>
  </w:style>
  <w:style w:type="character" w:customStyle="1" w:styleId="TextkomentraChar">
    <w:name w:val="Text komentára Char"/>
    <w:basedOn w:val="Predvolenpsmoodseku"/>
    <w:link w:val="Textkomentra"/>
    <w:uiPriority w:val="99"/>
    <w:semiHidden/>
    <w:rsid w:val="00EF5EA5"/>
    <w:rPr>
      <w:sz w:val="20"/>
      <w:szCs w:val="20"/>
    </w:rPr>
  </w:style>
  <w:style w:type="paragraph" w:styleId="Predmetkomentra">
    <w:name w:val="annotation subject"/>
    <w:basedOn w:val="Textkomentra"/>
    <w:next w:val="Textkomentra"/>
    <w:link w:val="PredmetkomentraChar"/>
    <w:uiPriority w:val="99"/>
    <w:semiHidden/>
    <w:unhideWhenUsed/>
    <w:rsid w:val="00EF5EA5"/>
    <w:rPr>
      <w:b/>
      <w:bCs/>
    </w:rPr>
  </w:style>
  <w:style w:type="character" w:customStyle="1" w:styleId="PredmetkomentraChar">
    <w:name w:val="Predmet komentára Char"/>
    <w:basedOn w:val="TextkomentraChar"/>
    <w:link w:val="Predmetkomentra"/>
    <w:uiPriority w:val="99"/>
    <w:semiHidden/>
    <w:rsid w:val="00EF5EA5"/>
    <w:rPr>
      <w:b/>
      <w:bCs/>
      <w:sz w:val="20"/>
      <w:szCs w:val="20"/>
    </w:rPr>
  </w:style>
  <w:style w:type="paragraph" w:styleId="Textbubliny">
    <w:name w:val="Balloon Text"/>
    <w:basedOn w:val="Normlny"/>
    <w:link w:val="TextbublinyChar"/>
    <w:uiPriority w:val="99"/>
    <w:semiHidden/>
    <w:unhideWhenUsed/>
    <w:rsid w:val="00EF5EA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5EA5"/>
    <w:rPr>
      <w:rFonts w:ascii="Segoe UI" w:hAnsi="Segoe UI" w:cs="Segoe UI"/>
      <w:sz w:val="18"/>
      <w:szCs w:val="18"/>
    </w:rPr>
  </w:style>
  <w:style w:type="character" w:styleId="Odkaznapoznmkupodiarou">
    <w:name w:val="footnote reference"/>
    <w:basedOn w:val="Predvolenpsmoodseku"/>
    <w:uiPriority w:val="99"/>
    <w:semiHidden/>
    <w:unhideWhenUsed/>
    <w:rsid w:val="00EF5E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2934">
      <w:bodyDiv w:val="1"/>
      <w:marLeft w:val="0"/>
      <w:marRight w:val="0"/>
      <w:marTop w:val="0"/>
      <w:marBottom w:val="0"/>
      <w:divBdr>
        <w:top w:val="none" w:sz="0" w:space="0" w:color="auto"/>
        <w:left w:val="none" w:sz="0" w:space="0" w:color="auto"/>
        <w:bottom w:val="none" w:sz="0" w:space="0" w:color="auto"/>
        <w:right w:val="none" w:sz="0" w:space="0" w:color="auto"/>
      </w:divBdr>
    </w:div>
    <w:div w:id="1245916289">
      <w:bodyDiv w:val="1"/>
      <w:marLeft w:val="0"/>
      <w:marRight w:val="0"/>
      <w:marTop w:val="0"/>
      <w:marBottom w:val="0"/>
      <w:divBdr>
        <w:top w:val="none" w:sz="0" w:space="0" w:color="auto"/>
        <w:left w:val="none" w:sz="0" w:space="0" w:color="auto"/>
        <w:bottom w:val="none" w:sz="0" w:space="0" w:color="auto"/>
        <w:right w:val="none" w:sz="0" w:space="0" w:color="auto"/>
      </w:divBdr>
    </w:div>
    <w:div w:id="2124496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A24E-DD69-45E1-B068-F629F720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1712</Words>
  <Characters>9765</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Fedor</dc:creator>
  <dc:description/>
  <cp:lastModifiedBy>Pavol Fedor</cp:lastModifiedBy>
  <cp:revision>5</cp:revision>
  <dcterms:created xsi:type="dcterms:W3CDTF">2020-11-18T10:18:00Z</dcterms:created>
  <dcterms:modified xsi:type="dcterms:W3CDTF">2020-11-18T10:31:00Z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