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225942EC" w14:textId="77777777" w:rsidTr="00E1659F">
        <w:trPr>
          <w:trHeight w:val="534"/>
          <w:jc w:val="center"/>
        </w:trPr>
        <w:tc>
          <w:tcPr>
            <w:tcW w:w="5000" w:type="pct"/>
            <w:tcBorders>
              <w:bottom w:val="single" w:sz="4" w:space="0" w:color="auto"/>
            </w:tcBorders>
            <w:shd w:val="clear" w:color="auto" w:fill="D9D9D9"/>
          </w:tcPr>
          <w:p w14:paraId="225942EA" w14:textId="77777777"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14:paraId="225942EB" w14:textId="77777777"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14:paraId="225942EE" w14:textId="77777777" w:rsidTr="00E1659F">
        <w:trPr>
          <w:jc w:val="center"/>
        </w:trPr>
        <w:tc>
          <w:tcPr>
            <w:tcW w:w="5000" w:type="pct"/>
            <w:tcBorders>
              <w:bottom w:val="nil"/>
            </w:tcBorders>
            <w:shd w:val="clear" w:color="auto" w:fill="D9D9D9"/>
          </w:tcPr>
          <w:p w14:paraId="225942ED" w14:textId="77777777"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14:paraId="225942EF" w14:textId="77777777"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12"/>
          <w:footerReference w:type="default" r:id="rId1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225942F3" w14:textId="77777777" w:rsidTr="00E1659F">
        <w:trPr>
          <w:trHeight w:val="736"/>
          <w:jc w:val="center"/>
        </w:trPr>
        <w:tc>
          <w:tcPr>
            <w:tcW w:w="5000" w:type="pct"/>
            <w:tcBorders>
              <w:bottom w:val="single" w:sz="4" w:space="0" w:color="auto"/>
            </w:tcBorders>
            <w:shd w:val="clear" w:color="auto" w:fill="F2F2F2"/>
          </w:tcPr>
          <w:p w14:paraId="225942F0" w14:textId="77777777"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14:paraId="225942F1" w14:textId="77777777"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14:paraId="225942F2" w14:textId="77777777"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14:paraId="225942F4" w14:textId="77777777"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225942F7" w14:textId="77777777" w:rsidTr="00E1659F">
        <w:trPr>
          <w:trHeight w:val="759"/>
          <w:jc w:val="center"/>
        </w:trPr>
        <w:tc>
          <w:tcPr>
            <w:tcW w:w="2500" w:type="pct"/>
            <w:tcBorders>
              <w:top w:val="nil"/>
              <w:bottom w:val="dotted" w:sz="4" w:space="0" w:color="auto"/>
            </w:tcBorders>
            <w:shd w:val="clear" w:color="auto" w:fill="auto"/>
          </w:tcPr>
          <w:p w14:paraId="225942F5"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225942F6" w14:textId="6DBFA399"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2FA" w14:textId="77777777" w:rsidTr="00E1659F">
        <w:trPr>
          <w:trHeight w:val="624"/>
          <w:jc w:val="center"/>
        </w:trPr>
        <w:tc>
          <w:tcPr>
            <w:tcW w:w="2500" w:type="pct"/>
            <w:tcBorders>
              <w:top w:val="dotted" w:sz="4" w:space="0" w:color="auto"/>
            </w:tcBorders>
            <w:shd w:val="clear" w:color="auto" w:fill="auto"/>
          </w:tcPr>
          <w:p w14:paraId="225942F8"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14:paraId="225942F9" w14:textId="6BF411E6"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2FD" w14:textId="77777777" w:rsidTr="00E1659F">
        <w:trPr>
          <w:trHeight w:val="759"/>
          <w:jc w:val="center"/>
        </w:trPr>
        <w:tc>
          <w:tcPr>
            <w:tcW w:w="2500" w:type="pct"/>
            <w:tcBorders>
              <w:bottom w:val="dotted" w:sz="4" w:space="0" w:color="auto"/>
            </w:tcBorders>
            <w:shd w:val="clear" w:color="auto" w:fill="auto"/>
          </w:tcPr>
          <w:p w14:paraId="225942FB" w14:textId="77777777"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225942FC" w14:textId="0D5FA55C"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300" w14:textId="77777777" w:rsidTr="00E1659F">
        <w:trPr>
          <w:trHeight w:val="624"/>
          <w:jc w:val="center"/>
        </w:trPr>
        <w:tc>
          <w:tcPr>
            <w:tcW w:w="2500" w:type="pct"/>
            <w:tcBorders>
              <w:top w:val="dotted" w:sz="4" w:space="0" w:color="auto"/>
              <w:bottom w:val="single" w:sz="4" w:space="0" w:color="auto"/>
            </w:tcBorders>
            <w:shd w:val="clear" w:color="auto" w:fill="auto"/>
          </w:tcPr>
          <w:p w14:paraId="225942FE"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225942FF" w14:textId="29577731"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14:paraId="22594303" w14:textId="77777777" w:rsidTr="00E1659F">
        <w:trPr>
          <w:trHeight w:val="680"/>
          <w:jc w:val="center"/>
        </w:trPr>
        <w:tc>
          <w:tcPr>
            <w:tcW w:w="2500" w:type="pct"/>
            <w:tcBorders>
              <w:bottom w:val="nil"/>
            </w:tcBorders>
            <w:shd w:val="clear" w:color="auto" w:fill="auto"/>
          </w:tcPr>
          <w:p w14:paraId="22594301"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14:paraId="22594302" w14:textId="77777777"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14:paraId="22594304" w14:textId="77777777"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22594308" w14:textId="77777777" w:rsidTr="00E1659F">
        <w:trPr>
          <w:trHeight w:val="680"/>
          <w:jc w:val="center"/>
        </w:trPr>
        <w:tc>
          <w:tcPr>
            <w:tcW w:w="5000" w:type="pct"/>
            <w:shd w:val="clear" w:color="auto" w:fill="F2F2F2" w:themeFill="background1" w:themeFillShade="F2"/>
          </w:tcPr>
          <w:p w14:paraId="22594305" w14:textId="77777777"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14:paraId="22594306" w14:textId="77777777"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14:paraId="22594307" w14:textId="77777777"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14:paraId="22594309" w14:textId="77777777"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2259430B" w14:textId="77777777" w:rsidTr="00E1659F">
        <w:trPr>
          <w:trHeight w:val="286"/>
          <w:jc w:val="center"/>
        </w:trPr>
        <w:tc>
          <w:tcPr>
            <w:tcW w:w="5000" w:type="pct"/>
            <w:gridSpan w:val="2"/>
            <w:tcBorders>
              <w:top w:val="nil"/>
            </w:tcBorders>
            <w:shd w:val="clear" w:color="auto" w:fill="auto"/>
          </w:tcPr>
          <w:p w14:paraId="2259430A" w14:textId="77777777"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p>
        </w:tc>
      </w:tr>
      <w:tr w:rsidR="00224847" w:rsidRPr="00CD4982" w14:paraId="2259430E" w14:textId="77777777" w:rsidTr="00E1659F">
        <w:trPr>
          <w:trHeight w:val="503"/>
          <w:jc w:val="center"/>
        </w:trPr>
        <w:tc>
          <w:tcPr>
            <w:tcW w:w="2500" w:type="pct"/>
            <w:tcBorders>
              <w:bottom w:val="single" w:sz="4" w:space="0" w:color="BFBFBF" w:themeColor="background1" w:themeShade="BF"/>
            </w:tcBorders>
            <w:shd w:val="clear" w:color="auto" w:fill="auto"/>
          </w:tcPr>
          <w:p w14:paraId="2259430C"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2259430D"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1" w14:textId="77777777"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2259430F"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2594310"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4" w14:textId="77777777"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14:paraId="22594312"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22594313"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6" w14:textId="77777777" w:rsidTr="00E1659F">
        <w:trPr>
          <w:trHeight w:val="265"/>
          <w:jc w:val="center"/>
        </w:trPr>
        <w:tc>
          <w:tcPr>
            <w:tcW w:w="5000" w:type="pct"/>
            <w:gridSpan w:val="2"/>
            <w:tcBorders>
              <w:top w:val="single" w:sz="4" w:space="0" w:color="auto"/>
            </w:tcBorders>
            <w:shd w:val="clear" w:color="auto" w:fill="auto"/>
          </w:tcPr>
          <w:p w14:paraId="22594315" w14:textId="77777777"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14:paraId="22594319" w14:textId="77777777" w:rsidTr="00E1659F">
        <w:trPr>
          <w:trHeight w:val="587"/>
          <w:jc w:val="center"/>
        </w:trPr>
        <w:tc>
          <w:tcPr>
            <w:tcW w:w="2500" w:type="pct"/>
            <w:tcBorders>
              <w:bottom w:val="single" w:sz="4" w:space="0" w:color="BFBFBF" w:themeColor="background1" w:themeShade="BF"/>
            </w:tcBorders>
            <w:shd w:val="clear" w:color="auto" w:fill="auto"/>
          </w:tcPr>
          <w:p w14:paraId="22594317"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22594318"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C" w14:textId="77777777"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2259431A"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259431B"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1F" w14:textId="77777777" w:rsidTr="00E1659F">
        <w:trPr>
          <w:trHeight w:val="363"/>
          <w:jc w:val="center"/>
        </w:trPr>
        <w:tc>
          <w:tcPr>
            <w:tcW w:w="2500" w:type="pct"/>
            <w:tcBorders>
              <w:top w:val="single" w:sz="4" w:space="0" w:color="BFBFBF" w:themeColor="background1" w:themeShade="BF"/>
            </w:tcBorders>
            <w:shd w:val="clear" w:color="auto" w:fill="auto"/>
          </w:tcPr>
          <w:p w14:paraId="2259431D"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14:paraId="2259431E"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22" w14:textId="77777777" w:rsidTr="00E1659F">
        <w:trPr>
          <w:trHeight w:val="670"/>
          <w:jc w:val="center"/>
        </w:trPr>
        <w:tc>
          <w:tcPr>
            <w:tcW w:w="2500" w:type="pct"/>
            <w:shd w:val="clear" w:color="auto" w:fill="auto"/>
          </w:tcPr>
          <w:p w14:paraId="22594320" w14:textId="77777777"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14:paraId="22594321"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14:paraId="22594325" w14:textId="77777777" w:rsidTr="00E1659F">
        <w:trPr>
          <w:trHeight w:val="670"/>
          <w:jc w:val="center"/>
        </w:trPr>
        <w:tc>
          <w:tcPr>
            <w:tcW w:w="2500" w:type="pct"/>
            <w:shd w:val="clear" w:color="auto" w:fill="auto"/>
          </w:tcPr>
          <w:p w14:paraId="22594323" w14:textId="77777777"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22594324" w14:textId="77777777"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14:paraId="22594327" w14:textId="5C908480" w:rsidR="00A30F1C" w:rsidRDefault="00A30F1C" w:rsidP="00224847">
      <w:pPr>
        <w:spacing w:after="0" w:line="240" w:lineRule="auto"/>
        <w:rPr>
          <w:rFonts w:ascii="Times New Roman" w:eastAsia="Calibri" w:hAnsi="Times New Roman" w:cs="Times New Roman"/>
          <w:b/>
          <w:sz w:val="24"/>
          <w:szCs w:val="24"/>
          <w:lang w:eastAsia="sk-SK"/>
        </w:rPr>
      </w:pPr>
    </w:p>
    <w:p w14:paraId="22594328" w14:textId="77777777"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2259432A" w14:textId="77777777" w:rsidTr="00E1659F">
        <w:trPr>
          <w:trHeight w:val="339"/>
          <w:jc w:val="center"/>
        </w:trPr>
        <w:tc>
          <w:tcPr>
            <w:tcW w:w="5000" w:type="pct"/>
            <w:tcBorders>
              <w:bottom w:val="single" w:sz="4" w:space="0" w:color="auto"/>
            </w:tcBorders>
            <w:shd w:val="clear" w:color="auto" w:fill="D9D9D9"/>
          </w:tcPr>
          <w:p w14:paraId="22594329" w14:textId="77777777"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14:paraId="2259432D" w14:textId="77777777" w:rsidTr="00E1659F">
        <w:trPr>
          <w:trHeight w:val="290"/>
          <w:jc w:val="center"/>
        </w:trPr>
        <w:tc>
          <w:tcPr>
            <w:tcW w:w="5000" w:type="pct"/>
            <w:tcBorders>
              <w:bottom w:val="single" w:sz="4" w:space="0" w:color="auto"/>
            </w:tcBorders>
            <w:shd w:val="clear" w:color="auto" w:fill="F2F2F2"/>
          </w:tcPr>
          <w:p w14:paraId="2259432B" w14:textId="77777777"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14:paraId="2259432C" w14:textId="77777777"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14:paraId="2259432E"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2259433E" w14:textId="77777777" w:rsidTr="00E1659F">
        <w:trPr>
          <w:trHeight w:val="557"/>
          <w:jc w:val="center"/>
        </w:trPr>
        <w:tc>
          <w:tcPr>
            <w:tcW w:w="1993" w:type="pct"/>
            <w:shd w:val="clear" w:color="auto" w:fill="auto"/>
          </w:tcPr>
          <w:p w14:paraId="2259432F" w14:textId="77777777"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14:paraId="22594330"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22594331"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22594332"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14:paraId="22594333"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22594334"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22594335"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14:paraId="22594336"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14:paraId="22594337"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14:paraId="22594338"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14:paraId="22594339"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14:paraId="2259433A" w14:textId="77777777"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14:paraId="2259433B" w14:textId="77777777"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14:paraId="2259433C" w14:textId="77777777" w:rsidR="00A30F1C" w:rsidRDefault="00A30F1C" w:rsidP="00E1659F">
            <w:pPr>
              <w:spacing w:after="0" w:line="240" w:lineRule="auto"/>
              <w:rPr>
                <w:rFonts w:ascii="Times New Roman" w:eastAsia="Calibri" w:hAnsi="Times New Roman" w:cs="Times New Roman"/>
                <w:sz w:val="20"/>
                <w:szCs w:val="20"/>
                <w:lang w:eastAsia="sk-SK"/>
              </w:rPr>
            </w:pPr>
          </w:p>
          <w:p w14:paraId="2259433D" w14:textId="77777777" w:rsidR="00A30F1C" w:rsidRPr="0040544D" w:rsidRDefault="00A30F1C" w:rsidP="00BC3B5C">
            <w:pPr>
              <w:rPr>
                <w:rFonts w:ascii="Times New Roman" w:eastAsia="Calibri" w:hAnsi="Times New Roman" w:cs="Times New Roman"/>
                <w:sz w:val="20"/>
                <w:szCs w:val="20"/>
                <w:lang w:eastAsia="sk-SK"/>
              </w:rPr>
            </w:pPr>
          </w:p>
        </w:tc>
      </w:tr>
    </w:tbl>
    <w:p w14:paraId="2259433F" w14:textId="77777777"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22594342" w14:textId="77777777" w:rsidTr="00E1659F">
        <w:trPr>
          <w:jc w:val="center"/>
        </w:trPr>
        <w:tc>
          <w:tcPr>
            <w:tcW w:w="5000" w:type="pct"/>
            <w:tcBorders>
              <w:bottom w:val="single" w:sz="4" w:space="0" w:color="auto"/>
            </w:tcBorders>
            <w:shd w:val="clear" w:color="auto" w:fill="F2F2F2"/>
          </w:tcPr>
          <w:p w14:paraId="22594340" w14:textId="77777777"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14:paraId="22594341" w14:textId="77777777"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14:paraId="22594343"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22594352" w14:textId="77777777" w:rsidTr="00E1659F">
        <w:trPr>
          <w:trHeight w:val="677"/>
          <w:jc w:val="center"/>
        </w:trPr>
        <w:tc>
          <w:tcPr>
            <w:tcW w:w="1993" w:type="pct"/>
            <w:shd w:val="clear" w:color="auto" w:fill="auto"/>
          </w:tcPr>
          <w:p w14:paraId="22594344" w14:textId="77777777"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14:paraId="22594345"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22594346"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14:paraId="22594347"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14:paraId="22594348"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14:paraId="22594349"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14:paraId="2259434A"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14:paraId="2259434B"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14:paraId="2259434C"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14:paraId="2259434D"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14:paraId="2259434E"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14:paraId="2259434F" w14:textId="77777777"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14:paraId="22594350" w14:textId="77777777" w:rsidR="00A30F1C" w:rsidRPr="0040544D" w:rsidRDefault="00A30F1C" w:rsidP="00E1659F">
            <w:pPr>
              <w:spacing w:after="0" w:line="240" w:lineRule="auto"/>
              <w:rPr>
                <w:rFonts w:ascii="Times New Roman" w:eastAsia="Calibri" w:hAnsi="Times New Roman" w:cs="Times New Roman"/>
                <w:sz w:val="20"/>
                <w:lang w:eastAsia="sk-SK"/>
              </w:rPr>
            </w:pPr>
          </w:p>
          <w:p w14:paraId="22594351" w14:textId="5A2A56D1" w:rsidR="00A30F1C" w:rsidRPr="0040544D" w:rsidRDefault="001C719A" w:rsidP="00E1659F">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n/a</w:t>
            </w:r>
          </w:p>
        </w:tc>
      </w:tr>
    </w:tbl>
    <w:p w14:paraId="22594353" w14:textId="77777777" w:rsidR="00A87D5B" w:rsidRDefault="00A87D5B"/>
    <w:p w14:paraId="22594354" w14:textId="77777777"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22594357" w14:textId="77777777" w:rsidTr="00DA4453">
        <w:trPr>
          <w:jc w:val="center"/>
        </w:trPr>
        <w:tc>
          <w:tcPr>
            <w:tcW w:w="5000" w:type="pct"/>
            <w:shd w:val="clear" w:color="auto" w:fill="D9D9D9"/>
          </w:tcPr>
          <w:p w14:paraId="22594355" w14:textId="77777777"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14:paraId="22594356" w14:textId="77777777"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14:paraId="22594359" w14:textId="77777777" w:rsidTr="00DA4453">
        <w:trPr>
          <w:jc w:val="center"/>
        </w:trPr>
        <w:tc>
          <w:tcPr>
            <w:tcW w:w="5000" w:type="pct"/>
            <w:tcBorders>
              <w:bottom w:val="single" w:sz="4" w:space="0" w:color="auto"/>
            </w:tcBorders>
            <w:shd w:val="clear" w:color="auto" w:fill="F2F2F2"/>
          </w:tcPr>
          <w:p w14:paraId="22594358" w14:textId="77777777"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14:paraId="2259435A" w14:textId="77777777"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14:paraId="2259435F" w14:textId="77777777" w:rsidTr="007B003C">
        <w:trPr>
          <w:trHeight w:val="928"/>
          <w:jc w:val="center"/>
        </w:trPr>
        <w:tc>
          <w:tcPr>
            <w:tcW w:w="5000" w:type="pct"/>
            <w:tcBorders>
              <w:top w:val="nil"/>
              <w:bottom w:val="nil"/>
            </w:tcBorders>
            <w:shd w:val="clear" w:color="auto" w:fill="auto"/>
          </w:tcPr>
          <w:p w14:paraId="33C8D072" w14:textId="7FF7AEE3" w:rsidR="006C0F0F" w:rsidRPr="001B27B4" w:rsidRDefault="006C0F0F" w:rsidP="006C0F0F">
            <w:pPr>
              <w:spacing w:after="0" w:line="240" w:lineRule="auto"/>
              <w:rPr>
                <w:rFonts w:ascii="Times New Roman" w:eastAsia="Calibri" w:hAnsi="Times New Roman" w:cs="Times New Roman"/>
                <w:sz w:val="20"/>
                <w:highlight w:val="yellow"/>
                <w:lang w:eastAsia="sk-SK"/>
              </w:rPr>
            </w:pPr>
            <w:r w:rsidRPr="001B27B4">
              <w:rPr>
                <w:rFonts w:ascii="Times New Roman" w:eastAsia="Calibri" w:hAnsi="Times New Roman" w:cs="Times New Roman"/>
                <w:sz w:val="20"/>
                <w:highlight w:val="yellow"/>
                <w:lang w:eastAsia="sk-SK"/>
              </w:rPr>
              <w:lastRenderedPageBreak/>
              <w:t>Využitím navrhovanej elektronickej komunikácie</w:t>
            </w:r>
            <w:r w:rsidR="00830712" w:rsidRPr="001B27B4">
              <w:rPr>
                <w:rFonts w:ascii="Times New Roman" w:eastAsia="Calibri" w:hAnsi="Times New Roman" w:cs="Times New Roman"/>
                <w:sz w:val="20"/>
                <w:highlight w:val="yellow"/>
                <w:lang w:eastAsia="sk-SK"/>
              </w:rPr>
              <w:t xml:space="preserve"> </w:t>
            </w:r>
            <w:r w:rsidR="00206185" w:rsidRPr="001B27B4">
              <w:rPr>
                <w:rFonts w:ascii="Times New Roman" w:eastAsia="Calibri" w:hAnsi="Times New Roman" w:cs="Times New Roman"/>
                <w:sz w:val="20"/>
                <w:highlight w:val="yellow"/>
                <w:lang w:eastAsia="sk-SK"/>
              </w:rPr>
              <w:t xml:space="preserve">prostredníctvom služieb </w:t>
            </w:r>
            <w:r w:rsidR="00830712" w:rsidRPr="001B27B4">
              <w:rPr>
                <w:rFonts w:ascii="Times New Roman" w:eastAsia="Calibri" w:hAnsi="Times New Roman" w:cs="Times New Roman"/>
                <w:sz w:val="20"/>
                <w:highlight w:val="yellow"/>
                <w:lang w:eastAsia="sk-SK"/>
              </w:rPr>
              <w:t xml:space="preserve">nového informačného systému </w:t>
            </w:r>
            <w:r w:rsidRPr="001B27B4">
              <w:rPr>
                <w:rFonts w:ascii="Times New Roman" w:eastAsia="Calibri" w:hAnsi="Times New Roman" w:cs="Times New Roman"/>
                <w:sz w:val="20"/>
                <w:highlight w:val="yellow"/>
                <w:lang w:eastAsia="sk-SK"/>
              </w:rPr>
              <w:t xml:space="preserve">je </w:t>
            </w:r>
          </w:p>
          <w:p w14:paraId="6C02C1B9" w14:textId="3E1EDB14" w:rsidR="005E51CF" w:rsidRPr="001B27B4" w:rsidRDefault="006C0F0F" w:rsidP="005E51CF">
            <w:pPr>
              <w:pStyle w:val="ListParagraph"/>
              <w:numPr>
                <w:ilvl w:val="0"/>
                <w:numId w:val="13"/>
              </w:numPr>
              <w:spacing w:after="0" w:line="240" w:lineRule="auto"/>
              <w:rPr>
                <w:rFonts w:ascii="Times New Roman" w:eastAsia="Calibri" w:hAnsi="Times New Roman" w:cs="Times New Roman"/>
                <w:sz w:val="20"/>
                <w:highlight w:val="yellow"/>
                <w:lang w:eastAsia="sk-SK"/>
              </w:rPr>
            </w:pPr>
            <w:r w:rsidRPr="001B27B4">
              <w:rPr>
                <w:rFonts w:ascii="Times New Roman" w:eastAsia="Calibri" w:hAnsi="Times New Roman" w:cs="Times New Roman"/>
                <w:sz w:val="20"/>
                <w:highlight w:val="yellow"/>
                <w:lang w:eastAsia="sk-SK"/>
              </w:rPr>
              <w:t xml:space="preserve">dodržaná </w:t>
            </w:r>
            <w:r w:rsidR="00317A60" w:rsidRPr="001B27B4">
              <w:rPr>
                <w:rFonts w:ascii="Times New Roman" w:eastAsia="Calibri" w:hAnsi="Times New Roman" w:cs="Times New Roman"/>
                <w:sz w:val="20"/>
                <w:highlight w:val="yellow"/>
                <w:lang w:eastAsia="sk-SK"/>
              </w:rPr>
              <w:t xml:space="preserve">povinnosť rovnakého zaobchádzania so skupinami alebo jednotlivcami </w:t>
            </w:r>
            <w:r w:rsidR="00B74505" w:rsidRPr="001B27B4">
              <w:rPr>
                <w:rFonts w:ascii="Times New Roman" w:eastAsia="Calibri" w:hAnsi="Times New Roman" w:cs="Times New Roman"/>
                <w:sz w:val="20"/>
                <w:highlight w:val="yellow"/>
                <w:lang w:eastAsia="sk-SK"/>
              </w:rPr>
              <w:t>...</w:t>
            </w:r>
          </w:p>
          <w:p w14:paraId="39F17297" w14:textId="77777777" w:rsidR="006C0F0F" w:rsidRPr="001B27B4" w:rsidRDefault="006C0F0F" w:rsidP="006C0F0F">
            <w:pPr>
              <w:pStyle w:val="ListParagraph"/>
              <w:numPr>
                <w:ilvl w:val="0"/>
                <w:numId w:val="13"/>
              </w:numPr>
              <w:spacing w:after="0" w:line="240" w:lineRule="auto"/>
              <w:rPr>
                <w:rFonts w:ascii="Times New Roman" w:eastAsia="Calibri" w:hAnsi="Times New Roman" w:cs="Times New Roman"/>
                <w:sz w:val="20"/>
                <w:highlight w:val="yellow"/>
                <w:lang w:eastAsia="sk-SK"/>
              </w:rPr>
            </w:pPr>
            <w:r w:rsidRPr="001B27B4">
              <w:rPr>
                <w:rFonts w:ascii="Times New Roman" w:eastAsia="Calibri" w:hAnsi="Times New Roman" w:cs="Times New Roman"/>
                <w:sz w:val="20"/>
                <w:highlight w:val="yellow"/>
                <w:lang w:eastAsia="sk-SK"/>
              </w:rPr>
              <w:t>diskriminácia medzi ženami a mužmi neprípustná</w:t>
            </w:r>
          </w:p>
          <w:p w14:paraId="7EC5E823" w14:textId="4220E7E9" w:rsidR="006C0F0F" w:rsidRPr="001B27B4" w:rsidRDefault="006C0F0F" w:rsidP="006C0F0F">
            <w:pPr>
              <w:pStyle w:val="ListParagraph"/>
              <w:numPr>
                <w:ilvl w:val="0"/>
                <w:numId w:val="13"/>
              </w:numPr>
              <w:spacing w:after="0" w:line="240" w:lineRule="auto"/>
              <w:rPr>
                <w:rFonts w:ascii="Times New Roman" w:eastAsia="Calibri" w:hAnsi="Times New Roman" w:cs="Times New Roman"/>
                <w:sz w:val="20"/>
                <w:highlight w:val="yellow"/>
                <w:lang w:eastAsia="sk-SK"/>
              </w:rPr>
            </w:pPr>
            <w:r w:rsidRPr="001B27B4">
              <w:rPr>
                <w:rFonts w:ascii="Times New Roman" w:eastAsia="Calibri" w:hAnsi="Times New Roman" w:cs="Times New Roman"/>
                <w:sz w:val="20"/>
                <w:highlight w:val="yellow"/>
                <w:lang w:eastAsia="sk-SK"/>
              </w:rPr>
              <w:t>podporená rovná participácia na rozhodovaní</w:t>
            </w:r>
          </w:p>
          <w:p w14:paraId="5CE3EC88" w14:textId="77777777" w:rsidR="00DD4A21" w:rsidRPr="001B27B4" w:rsidRDefault="00DD4A21" w:rsidP="00DD4A21">
            <w:pPr>
              <w:spacing w:after="0" w:line="240" w:lineRule="auto"/>
              <w:rPr>
                <w:rFonts w:ascii="Times New Roman" w:eastAsia="Calibri" w:hAnsi="Times New Roman" w:cs="Times New Roman"/>
                <w:sz w:val="20"/>
                <w:highlight w:val="yellow"/>
                <w:lang w:eastAsia="sk-SK"/>
              </w:rPr>
            </w:pPr>
            <w:r w:rsidRPr="001B27B4">
              <w:rPr>
                <w:rFonts w:ascii="Times New Roman" w:eastAsia="Calibri" w:hAnsi="Times New Roman" w:cs="Times New Roman"/>
                <w:sz w:val="20"/>
                <w:highlight w:val="yellow"/>
                <w:lang w:eastAsia="sk-SK"/>
              </w:rPr>
              <w:t xml:space="preserve">Dopady vyššie považuje predkladateľ za pozitívne. </w:t>
            </w:r>
          </w:p>
          <w:p w14:paraId="036DBE19" w14:textId="5C584979" w:rsidR="00B74505" w:rsidRPr="001B27B4" w:rsidRDefault="00B74505" w:rsidP="00B74505">
            <w:pPr>
              <w:spacing w:after="0" w:line="240" w:lineRule="auto"/>
              <w:rPr>
                <w:rFonts w:ascii="Times New Roman" w:eastAsia="Calibri" w:hAnsi="Times New Roman" w:cs="Times New Roman"/>
                <w:sz w:val="20"/>
                <w:highlight w:val="yellow"/>
                <w:lang w:eastAsia="sk-SK"/>
              </w:rPr>
            </w:pPr>
          </w:p>
          <w:p w14:paraId="2259435E" w14:textId="51FA21BE" w:rsidR="00CD4982" w:rsidRPr="0040544D" w:rsidRDefault="00B74505" w:rsidP="008F4197">
            <w:pPr>
              <w:spacing w:after="0" w:line="240" w:lineRule="auto"/>
              <w:rPr>
                <w:rFonts w:ascii="Times New Roman" w:eastAsia="Calibri" w:hAnsi="Times New Roman" w:cs="Times New Roman"/>
                <w:i/>
                <w:sz w:val="20"/>
                <w:lang w:eastAsia="sk-SK"/>
              </w:rPr>
            </w:pPr>
            <w:r w:rsidRPr="001B27B4">
              <w:rPr>
                <w:rFonts w:ascii="Times New Roman" w:eastAsia="Calibri" w:hAnsi="Times New Roman" w:cs="Times New Roman"/>
                <w:sz w:val="20"/>
                <w:highlight w:val="yellow"/>
                <w:lang w:eastAsia="sk-SK"/>
              </w:rPr>
              <w:t>Pri skupi</w:t>
            </w:r>
            <w:r w:rsidR="0045694B" w:rsidRPr="001B27B4">
              <w:rPr>
                <w:rFonts w:ascii="Times New Roman" w:eastAsia="Calibri" w:hAnsi="Times New Roman" w:cs="Times New Roman"/>
                <w:sz w:val="20"/>
                <w:highlight w:val="yellow"/>
                <w:lang w:eastAsia="sk-SK"/>
              </w:rPr>
              <w:t>n</w:t>
            </w:r>
            <w:r w:rsidRPr="001B27B4">
              <w:rPr>
                <w:rFonts w:ascii="Times New Roman" w:eastAsia="Calibri" w:hAnsi="Times New Roman" w:cs="Times New Roman"/>
                <w:sz w:val="20"/>
                <w:highlight w:val="yellow"/>
                <w:lang w:eastAsia="sk-SK"/>
              </w:rPr>
              <w:t xml:space="preserve">ách obyvateľstva, ktoré nemajú / nevyužijú </w:t>
            </w:r>
            <w:r w:rsidR="00984EDB" w:rsidRPr="001B27B4">
              <w:rPr>
                <w:rFonts w:ascii="Times New Roman" w:eastAsia="Calibri" w:hAnsi="Times New Roman" w:cs="Times New Roman"/>
                <w:sz w:val="20"/>
                <w:highlight w:val="yellow"/>
                <w:lang w:eastAsia="sk-SK"/>
              </w:rPr>
              <w:t xml:space="preserve">navrhovaný </w:t>
            </w:r>
            <w:r w:rsidRPr="001B27B4">
              <w:rPr>
                <w:rFonts w:ascii="Times New Roman" w:eastAsia="Calibri" w:hAnsi="Times New Roman" w:cs="Times New Roman"/>
                <w:sz w:val="20"/>
                <w:highlight w:val="yellow"/>
                <w:lang w:eastAsia="sk-SK"/>
              </w:rPr>
              <w:t>prístup</w:t>
            </w:r>
            <w:r w:rsidR="00984EDB" w:rsidRPr="001B27B4">
              <w:rPr>
                <w:rFonts w:ascii="Times New Roman" w:eastAsia="Calibri" w:hAnsi="Times New Roman" w:cs="Times New Roman"/>
                <w:sz w:val="20"/>
                <w:highlight w:val="yellow"/>
                <w:lang w:eastAsia="sk-SK"/>
              </w:rPr>
              <w:t xml:space="preserve"> el</w:t>
            </w:r>
            <w:r w:rsidR="00620ADE" w:rsidRPr="001B27B4">
              <w:rPr>
                <w:rFonts w:ascii="Times New Roman" w:eastAsia="Calibri" w:hAnsi="Times New Roman" w:cs="Times New Roman"/>
                <w:sz w:val="20"/>
                <w:highlight w:val="yellow"/>
                <w:lang w:eastAsia="sk-SK"/>
              </w:rPr>
              <w:t>.</w:t>
            </w:r>
            <w:r w:rsidR="00984EDB" w:rsidRPr="001B27B4">
              <w:rPr>
                <w:rFonts w:ascii="Times New Roman" w:eastAsia="Calibri" w:hAnsi="Times New Roman" w:cs="Times New Roman"/>
                <w:sz w:val="20"/>
                <w:highlight w:val="yellow"/>
                <w:lang w:eastAsia="sk-SK"/>
              </w:rPr>
              <w:t xml:space="preserve">  </w:t>
            </w:r>
            <w:r w:rsidR="0045694B" w:rsidRPr="001B27B4">
              <w:rPr>
                <w:rFonts w:ascii="Times New Roman" w:eastAsia="Calibri" w:hAnsi="Times New Roman" w:cs="Times New Roman"/>
                <w:sz w:val="20"/>
                <w:highlight w:val="yellow"/>
                <w:lang w:eastAsia="sk-SK"/>
              </w:rPr>
              <w:t>komunikácie</w:t>
            </w:r>
            <w:r w:rsidR="00984EDB" w:rsidRPr="001B27B4">
              <w:rPr>
                <w:rFonts w:ascii="Times New Roman" w:eastAsia="Calibri" w:hAnsi="Times New Roman" w:cs="Times New Roman"/>
                <w:sz w:val="20"/>
                <w:highlight w:val="yellow"/>
                <w:lang w:eastAsia="sk-SK"/>
              </w:rPr>
              <w:t xml:space="preserve"> je možnosť využiť služby existujúcej siete OIMO.</w:t>
            </w:r>
            <w:bookmarkStart w:id="0" w:name="_GoBack"/>
            <w:bookmarkEnd w:id="0"/>
            <w:r w:rsidR="00984EDB">
              <w:rPr>
                <w:rFonts w:ascii="Times New Roman" w:eastAsia="Calibri" w:hAnsi="Times New Roman" w:cs="Times New Roman"/>
                <w:sz w:val="20"/>
                <w:lang w:eastAsia="sk-SK"/>
              </w:rPr>
              <w:t xml:space="preserve"> </w:t>
            </w:r>
          </w:p>
        </w:tc>
      </w:tr>
    </w:tbl>
    <w:p w14:paraId="22594360" w14:textId="77777777"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22594362" w14:textId="77777777" w:rsidTr="00DA4453">
        <w:trPr>
          <w:trHeight w:val="345"/>
          <w:jc w:val="center"/>
        </w:trPr>
        <w:tc>
          <w:tcPr>
            <w:tcW w:w="5000" w:type="pct"/>
            <w:tcBorders>
              <w:bottom w:val="single" w:sz="4" w:space="0" w:color="auto"/>
            </w:tcBorders>
            <w:shd w:val="clear" w:color="auto" w:fill="F2F2F2"/>
            <w:vAlign w:val="center"/>
          </w:tcPr>
          <w:p w14:paraId="22594361" w14:textId="77777777"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14:paraId="22594363" w14:textId="77777777"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14:paraId="2259436F" w14:textId="77777777" w:rsidTr="007B003C">
        <w:trPr>
          <w:trHeight w:val="1235"/>
          <w:jc w:val="center"/>
        </w:trPr>
        <w:tc>
          <w:tcPr>
            <w:tcW w:w="1993" w:type="pct"/>
            <w:shd w:val="clear" w:color="auto" w:fill="auto"/>
          </w:tcPr>
          <w:p w14:paraId="22594364" w14:textId="77777777"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22594365"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14:paraId="22594366"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14:paraId="22594367"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14:paraId="22594368"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14:paraId="22594369"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14:paraId="2259436A" w14:textId="77777777" w:rsidR="00CA6BAF" w:rsidRDefault="00CA6BAF" w:rsidP="00DA4453">
            <w:pPr>
              <w:spacing w:after="0" w:line="240" w:lineRule="auto"/>
              <w:rPr>
                <w:rFonts w:ascii="Times New Roman" w:eastAsia="Calibri" w:hAnsi="Times New Roman" w:cs="Times New Roman"/>
                <w:sz w:val="20"/>
                <w:lang w:eastAsia="sk-SK"/>
              </w:rPr>
            </w:pPr>
          </w:p>
          <w:p w14:paraId="2259436D" w14:textId="5DE309B0" w:rsidR="00CA6BAF" w:rsidRDefault="00732A68" w:rsidP="00DA4453">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n/a</w:t>
            </w:r>
          </w:p>
          <w:p w14:paraId="2259436E" w14:textId="77777777" w:rsidR="00CA6BAF" w:rsidRPr="00CA6BAF" w:rsidRDefault="00CA6BAF" w:rsidP="00DA4453">
            <w:pPr>
              <w:spacing w:after="0" w:line="240" w:lineRule="auto"/>
              <w:rPr>
                <w:rFonts w:ascii="Times New Roman" w:eastAsia="Calibri" w:hAnsi="Times New Roman" w:cs="Times New Roman"/>
                <w:sz w:val="20"/>
                <w:lang w:eastAsia="sk-SK"/>
              </w:rPr>
            </w:pPr>
          </w:p>
        </w:tc>
      </w:tr>
    </w:tbl>
    <w:p w14:paraId="22594370" w14:textId="77777777"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22594373" w14:textId="77777777" w:rsidTr="00DA4453">
        <w:trPr>
          <w:jc w:val="center"/>
        </w:trPr>
        <w:tc>
          <w:tcPr>
            <w:tcW w:w="5000" w:type="pct"/>
            <w:shd w:val="clear" w:color="auto" w:fill="D9D9D9"/>
          </w:tcPr>
          <w:p w14:paraId="22594371" w14:textId="77777777"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14:paraId="22594372" w14:textId="77777777"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14:paraId="22594374" w14:textId="77777777"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14:paraId="22594376" w14:textId="77777777" w:rsidTr="000D226A">
        <w:trPr>
          <w:trHeight w:val="287"/>
          <w:jc w:val="center"/>
        </w:trPr>
        <w:tc>
          <w:tcPr>
            <w:tcW w:w="5000" w:type="pct"/>
            <w:gridSpan w:val="2"/>
            <w:tcBorders>
              <w:top w:val="nil"/>
              <w:bottom w:val="single" w:sz="4" w:space="0" w:color="auto"/>
            </w:tcBorders>
            <w:shd w:val="clear" w:color="auto" w:fill="F2F2F2"/>
          </w:tcPr>
          <w:p w14:paraId="22594375"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14:paraId="22594379" w14:textId="77777777" w:rsidTr="000D226A">
        <w:trPr>
          <w:trHeight w:val="567"/>
          <w:jc w:val="center"/>
        </w:trPr>
        <w:tc>
          <w:tcPr>
            <w:tcW w:w="1993" w:type="pct"/>
            <w:tcBorders>
              <w:top w:val="nil"/>
              <w:bottom w:val="single" w:sz="4" w:space="0" w:color="auto"/>
            </w:tcBorders>
            <w:shd w:val="clear" w:color="auto" w:fill="FFFFFF"/>
          </w:tcPr>
          <w:p w14:paraId="22594377"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60B637EC" w14:textId="77777777" w:rsidR="00A1333C" w:rsidRDefault="00A1333C" w:rsidP="00A1333C">
            <w:pPr>
              <w:rPr>
                <w:bCs/>
                <w:szCs w:val="20"/>
              </w:rPr>
            </w:pPr>
          </w:p>
          <w:p w14:paraId="22594378" w14:textId="77777777"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14:paraId="2259437B" w14:textId="77777777" w:rsidTr="000D226A">
        <w:trPr>
          <w:trHeight w:val="270"/>
          <w:jc w:val="center"/>
        </w:trPr>
        <w:tc>
          <w:tcPr>
            <w:tcW w:w="5000" w:type="pct"/>
            <w:gridSpan w:val="2"/>
            <w:tcBorders>
              <w:bottom w:val="single" w:sz="4" w:space="0" w:color="auto"/>
            </w:tcBorders>
            <w:shd w:val="clear" w:color="auto" w:fill="F2F2F2"/>
          </w:tcPr>
          <w:p w14:paraId="2259437A"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14:paraId="2259437E" w14:textId="77777777" w:rsidTr="000D226A">
        <w:trPr>
          <w:trHeight w:val="454"/>
          <w:jc w:val="center"/>
        </w:trPr>
        <w:tc>
          <w:tcPr>
            <w:tcW w:w="1993" w:type="pct"/>
            <w:tcBorders>
              <w:bottom w:val="single" w:sz="4" w:space="0" w:color="auto"/>
            </w:tcBorders>
            <w:shd w:val="clear" w:color="auto" w:fill="FFFFFF"/>
          </w:tcPr>
          <w:p w14:paraId="2259437C"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2259437D" w14:textId="77777777" w:rsidR="00994C53" w:rsidRPr="00A30F1C" w:rsidRDefault="00994C53" w:rsidP="00BC14F8">
            <w:pPr>
              <w:spacing w:line="240" w:lineRule="auto"/>
              <w:rPr>
                <w:rFonts w:ascii="Times New Roman" w:eastAsia="Calibri" w:hAnsi="Times New Roman" w:cs="Times New Roman"/>
                <w:sz w:val="20"/>
                <w:szCs w:val="18"/>
              </w:rPr>
            </w:pPr>
          </w:p>
        </w:tc>
      </w:tr>
      <w:tr w:rsidR="00994C53" w:rsidRPr="00994C53" w14:paraId="22594380" w14:textId="77777777" w:rsidTr="000D226A">
        <w:trPr>
          <w:trHeight w:val="248"/>
          <w:jc w:val="center"/>
        </w:trPr>
        <w:tc>
          <w:tcPr>
            <w:tcW w:w="5000" w:type="pct"/>
            <w:gridSpan w:val="2"/>
            <w:tcBorders>
              <w:bottom w:val="single" w:sz="4" w:space="0" w:color="auto"/>
            </w:tcBorders>
            <w:shd w:val="clear" w:color="auto" w:fill="F2F2F2"/>
          </w:tcPr>
          <w:p w14:paraId="2259437F"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14:paraId="22594383" w14:textId="77777777" w:rsidTr="000D226A">
        <w:trPr>
          <w:trHeight w:val="209"/>
          <w:jc w:val="center"/>
        </w:trPr>
        <w:tc>
          <w:tcPr>
            <w:tcW w:w="1993" w:type="pct"/>
            <w:tcBorders>
              <w:bottom w:val="single" w:sz="4" w:space="0" w:color="auto"/>
            </w:tcBorders>
            <w:shd w:val="clear" w:color="auto" w:fill="FFFFFF"/>
          </w:tcPr>
          <w:p w14:paraId="22594381"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22594382" w14:textId="37DD3611" w:rsidR="00806283" w:rsidRPr="00A30F1C" w:rsidRDefault="00806283" w:rsidP="00BC14F8">
            <w:pPr>
              <w:spacing w:after="0" w:line="240" w:lineRule="auto"/>
              <w:rPr>
                <w:rFonts w:ascii="Times New Roman" w:eastAsia="Calibri" w:hAnsi="Times New Roman" w:cs="Times New Roman"/>
                <w:sz w:val="20"/>
                <w:szCs w:val="18"/>
              </w:rPr>
            </w:pPr>
          </w:p>
        </w:tc>
      </w:tr>
      <w:tr w:rsidR="00994C53" w:rsidRPr="00994C53" w14:paraId="22594385" w14:textId="77777777" w:rsidTr="000D226A">
        <w:trPr>
          <w:trHeight w:val="208"/>
          <w:jc w:val="center"/>
        </w:trPr>
        <w:tc>
          <w:tcPr>
            <w:tcW w:w="5000" w:type="pct"/>
            <w:gridSpan w:val="2"/>
            <w:tcBorders>
              <w:bottom w:val="single" w:sz="4" w:space="0" w:color="auto"/>
            </w:tcBorders>
            <w:shd w:val="clear" w:color="auto" w:fill="F2F2F2"/>
          </w:tcPr>
          <w:p w14:paraId="22594384"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14:paraId="22594388" w14:textId="77777777" w:rsidTr="000D226A">
        <w:trPr>
          <w:trHeight w:val="794"/>
          <w:jc w:val="center"/>
        </w:trPr>
        <w:tc>
          <w:tcPr>
            <w:tcW w:w="1993" w:type="pct"/>
            <w:tcBorders>
              <w:bottom w:val="single" w:sz="4" w:space="0" w:color="auto"/>
            </w:tcBorders>
            <w:shd w:val="clear" w:color="auto" w:fill="FFFFFF"/>
          </w:tcPr>
          <w:p w14:paraId="22594386"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lastRenderedPageBreak/>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22594387" w14:textId="1894598D"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14:paraId="2259438A" w14:textId="77777777" w:rsidTr="000D226A">
        <w:trPr>
          <w:trHeight w:val="324"/>
          <w:jc w:val="center"/>
        </w:trPr>
        <w:tc>
          <w:tcPr>
            <w:tcW w:w="5000" w:type="pct"/>
            <w:gridSpan w:val="2"/>
            <w:tcBorders>
              <w:bottom w:val="single" w:sz="4" w:space="0" w:color="auto"/>
            </w:tcBorders>
            <w:shd w:val="clear" w:color="auto" w:fill="F2F2F2"/>
          </w:tcPr>
          <w:p w14:paraId="22594389"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14:paraId="2259438D" w14:textId="77777777" w:rsidTr="000D226A">
        <w:trPr>
          <w:trHeight w:val="216"/>
          <w:jc w:val="center"/>
        </w:trPr>
        <w:tc>
          <w:tcPr>
            <w:tcW w:w="1993" w:type="pct"/>
            <w:tcBorders>
              <w:bottom w:val="single" w:sz="4" w:space="0" w:color="auto"/>
            </w:tcBorders>
            <w:shd w:val="clear" w:color="auto" w:fill="FFFFFF"/>
          </w:tcPr>
          <w:p w14:paraId="2259438B"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2259438C" w14:textId="0E3C4161"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14:paraId="2259438F" w14:textId="77777777" w:rsidTr="000D226A">
        <w:trPr>
          <w:trHeight w:val="219"/>
          <w:jc w:val="center"/>
        </w:trPr>
        <w:tc>
          <w:tcPr>
            <w:tcW w:w="5000" w:type="pct"/>
            <w:gridSpan w:val="2"/>
            <w:tcBorders>
              <w:bottom w:val="single" w:sz="4" w:space="0" w:color="auto"/>
            </w:tcBorders>
            <w:shd w:val="clear" w:color="auto" w:fill="F2F2F2"/>
          </w:tcPr>
          <w:p w14:paraId="2259438E"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14:paraId="22594392" w14:textId="77777777" w:rsidTr="000D226A">
        <w:trPr>
          <w:trHeight w:val="497"/>
          <w:jc w:val="center"/>
        </w:trPr>
        <w:tc>
          <w:tcPr>
            <w:tcW w:w="1993" w:type="pct"/>
            <w:tcBorders>
              <w:bottom w:val="single" w:sz="4" w:space="0" w:color="auto"/>
            </w:tcBorders>
            <w:shd w:val="clear" w:color="auto" w:fill="FFFFFF"/>
          </w:tcPr>
          <w:p w14:paraId="22594390"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22594391" w14:textId="2FF1E6EE" w:rsidR="00994C53" w:rsidRPr="00A30F1C" w:rsidRDefault="00F67E8A"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n/a</w:t>
            </w:r>
          </w:p>
        </w:tc>
      </w:tr>
    </w:tbl>
    <w:p w14:paraId="22594393" w14:textId="77777777"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14:paraId="22594394" w14:textId="77777777"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14:paraId="22594395" w14:textId="77777777"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14:paraId="22594396" w14:textId="77777777"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14:paraId="22594397" w14:textId="77777777"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antidiskrimináciou, posilňovaním rovnosti príležitostí žien a mužov a so zvyšovaním zamestnanosti.</w:t>
      </w:r>
    </w:p>
    <w:p w14:paraId="22594398" w14:textId="77777777"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14:paraId="22594399"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14:paraId="2259439A"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14:paraId="2259439B" w14:textId="77777777"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14:paraId="2259439C"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14:paraId="2259439D"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lastRenderedPageBreak/>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14:paraId="2259439E"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14:paraId="2259439F"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14:paraId="225943A0" w14:textId="77777777"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14:paraId="225943A1" w14:textId="77777777"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14:paraId="225943A2" w14:textId="77777777"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14:paraId="225943A3"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14:paraId="225943A4"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225943A5" w14:textId="77777777"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14:paraId="225943A6" w14:textId="77777777"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14:paraId="225943A7"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14:paraId="225943A8"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225943A9"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14:paraId="225943AA" w14:textId="77777777"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14:paraId="225943AB"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14:paraId="225943AC" w14:textId="77777777"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14:paraId="225943AD"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14:paraId="225943AE" w14:textId="77777777"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14:paraId="225943AF" w14:textId="77777777"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14:paraId="225943B0"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14:paraId="225943B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225943B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14:paraId="225943B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225943B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225943B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14:paraId="225943B6"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14:paraId="225943B7"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domácnosti žijúce v marginalizovaných rómskych komunitách, </w:t>
      </w:r>
    </w:p>
    <w:p w14:paraId="225943B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14:paraId="225943B9"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14:paraId="225943BA"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3BB"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14:paraId="225943BC" w14:textId="77777777"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14:paraId="225943BD"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14:paraId="225943BE"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14:paraId="225943BF"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14:paraId="225943C0"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14:paraId="225943C1"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14:paraId="225943C2" w14:textId="77777777"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14:paraId="225943C3"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14:paraId="225943C4"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14:paraId="225943C5"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14:paraId="225943C6" w14:textId="77777777"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14:paraId="225943C7"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225943C8"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14:paraId="225943C9" w14:textId="77777777"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14:paraId="225943CA"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14:paraId="225943C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14:paraId="225943C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14:paraId="225943C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14:paraId="225943C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14:paraId="225943CF"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14:paraId="225943D0"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14:paraId="225943D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14:paraId="225943D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14:paraId="225943D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14:paraId="225943D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14:paraId="225943D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14:paraId="225943D6"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14:paraId="225943D7"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14:paraId="225943D8"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14:paraId="225943D9"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14:paraId="225943DA"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14:paraId="225943D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225943D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14:paraId="225943D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14:paraId="225943D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14:paraId="225943DF"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14:paraId="225943E0"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14:paraId="225943E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marginalizované rómske komunity </w:t>
      </w:r>
    </w:p>
    <w:p w14:paraId="225943E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225943E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225943E4"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14:paraId="225943E5"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14:paraId="225943E6" w14:textId="77777777"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14:paraId="225943E7"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14:paraId="225943E8"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3E9" w14:textId="77777777"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14:paraId="225943EA"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14:paraId="225943EB"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14:paraId="225943EC"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14:paraId="225943ED" w14:textId="77777777"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14:paraId="225943EE" w14:textId="77777777"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225943EF"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antidiskriminácii. Analýza má potvrdiť, že je zabezpečená formálna rovnosť (de jure) ako aj materiálna rovnosť (de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14:paraId="225943F0"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3F1"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14:paraId="225943F2"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14:paraId="225943F3"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zamestnaniu, samozamestnaniu a vykonávaniu povolania,</w:t>
      </w:r>
    </w:p>
    <w:p w14:paraId="225943F4"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14:paraId="225943F5"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14:paraId="225943F6"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14:paraId="225943F7"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14:paraId="225943F8"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14:paraId="225943F9"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14:paraId="225943FA"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14:paraId="225943FB"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14:paraId="225943FC"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14:paraId="225943FD"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14:paraId="225943FE"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14:paraId="225943FF"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14:paraId="22594400"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01"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14:paraId="22594402" w14:textId="77777777"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 mainstreaming</w:t>
      </w:r>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evaluácia. Rodová rovnosť by mala byť podporená v každej politickej oblasti, najmä v oblastiach:</w:t>
      </w:r>
    </w:p>
    <w:p w14:paraId="22594403"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14:paraId="22594404"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14:paraId="22594405"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14:paraId="22594406"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14:paraId="22594407" w14:textId="77777777"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14:paraId="22594408"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09"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gender mainstreamingu</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14:paraId="2259440A"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14:paraId="2259440B"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2259440C"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14:paraId="2259440D" w14:textId="77777777"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14:paraId="2259440E"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0F"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14:paraId="22594410"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14:paraId="22594411"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14:paraId="22594412"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14:paraId="22594413"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14:paraId="22594414"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14:paraId="22594415"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22594416"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14:paraId="22594417"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14:paraId="22594418" w14:textId="77777777"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22594419"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14:paraId="2259441A"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14:paraId="2259441B"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14:paraId="2259441C"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14:paraId="2259441D"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14:paraId="2259441E"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14:paraId="2259441F"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20"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14:paraId="22594421"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14:paraId="22594422"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14:paraId="22594423"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14:paraId="22594424"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25"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14:paraId="22594426"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14:paraId="22594427"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14:paraId="22594428"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14:paraId="22594429"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14:paraId="2259442A"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2B" w14:textId="77777777"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14:paraId="2259442C"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14:paraId="2259442D"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14:paraId="2259442E"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14:paraId="2259442F"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14:paraId="22594430"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31"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14:paraId="22594432"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14:paraId="22594433"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14:paraId="22594434"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35"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14:paraId="22594436"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14:paraId="22594437"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22594438"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14:paraId="22594439"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14:paraId="2259443A"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(mikro, malý, stredný a veľký podnik).</w:t>
      </w:r>
    </w:p>
    <w:p w14:paraId="2259443B" w14:textId="77777777"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14:paraId="2259443C" w14:textId="77777777"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14:paraId="2259443D" w14:textId="77777777"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14EE" w14:textId="77777777" w:rsidR="005A5774" w:rsidRDefault="005A5774" w:rsidP="001D6749">
      <w:pPr>
        <w:spacing w:after="0" w:line="240" w:lineRule="auto"/>
      </w:pPr>
      <w:r>
        <w:separator/>
      </w:r>
    </w:p>
  </w:endnote>
  <w:endnote w:type="continuationSeparator" w:id="0">
    <w:p w14:paraId="5D8CCE0D" w14:textId="77777777" w:rsidR="005A5774" w:rsidRDefault="005A5774"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22620"/>
      <w:docPartObj>
        <w:docPartGallery w:val="Page Numbers (Bottom of Page)"/>
        <w:docPartUnique/>
      </w:docPartObj>
    </w:sdtPr>
    <w:sdtEndPr>
      <w:rPr>
        <w:rFonts w:ascii="Times New Roman" w:hAnsi="Times New Roman" w:cs="Times New Roman"/>
      </w:rPr>
    </w:sdtEndPr>
    <w:sdtContent>
      <w:p w14:paraId="22594443" w14:textId="77777777" w:rsidR="00224847" w:rsidRPr="001D6749" w:rsidRDefault="00224847">
        <w:pPr>
          <w:pStyle w:val="Footer"/>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1B27B4">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14:paraId="22594445" w14:textId="77777777" w:rsidR="001D6749" w:rsidRPr="001D6749" w:rsidRDefault="001D6749">
        <w:pPr>
          <w:pStyle w:val="Footer"/>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1B27B4">
          <w:rPr>
            <w:rFonts w:ascii="Times New Roman" w:hAnsi="Times New Roman" w:cs="Times New Roman"/>
            <w:noProof/>
          </w:rPr>
          <w:t>13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71AC4" w14:textId="77777777" w:rsidR="005A5774" w:rsidRDefault="005A5774" w:rsidP="001D6749">
      <w:pPr>
        <w:spacing w:after="0" w:line="240" w:lineRule="auto"/>
      </w:pPr>
      <w:r>
        <w:separator/>
      </w:r>
    </w:p>
  </w:footnote>
  <w:footnote w:type="continuationSeparator" w:id="0">
    <w:p w14:paraId="42CD3A6B" w14:textId="77777777" w:rsidR="005A5774" w:rsidRDefault="005A5774" w:rsidP="001D6749">
      <w:pPr>
        <w:spacing w:after="0" w:line="240" w:lineRule="auto"/>
      </w:pPr>
      <w:r>
        <w:continuationSeparator/>
      </w:r>
    </w:p>
  </w:footnote>
  <w:footnote w:id="1">
    <w:p w14:paraId="22594446" w14:textId="77777777" w:rsidR="001D6749" w:rsidRPr="00227A26" w:rsidRDefault="001D6749" w:rsidP="001F7932">
      <w:pPr>
        <w:spacing w:after="120" w:line="240" w:lineRule="auto"/>
        <w:jc w:val="both"/>
        <w:rPr>
          <w:rFonts w:ascii="Times New Roman" w:hAnsi="Times New Roman" w:cs="Times New Roman"/>
          <w:bCs/>
        </w:rPr>
      </w:pPr>
      <w:r w:rsidRPr="00227A26">
        <w:rPr>
          <w:rStyle w:val="FootnoteReference"/>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14:paraId="22594447" w14:textId="77777777" w:rsidR="001D6749" w:rsidRDefault="001D6749" w:rsidP="001D6749">
      <w:pPr>
        <w:pStyle w:val="FootnoteText"/>
      </w:pPr>
      <w:r w:rsidRPr="00227A26">
        <w:rPr>
          <w:rStyle w:val="FootnoteReference"/>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4442" w14:textId="77777777"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4444" w14:textId="77777777"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043344"/>
    <w:multiLevelType w:val="hybridMultilevel"/>
    <w:tmpl w:val="D6981ABC"/>
    <w:lvl w:ilvl="0" w:tplc="662AF0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9"/>
  </w:num>
  <w:num w:numId="6">
    <w:abstractNumId w:val="12"/>
  </w:num>
  <w:num w:numId="7">
    <w:abstractNumId w:val="0"/>
  </w:num>
  <w:num w:numId="8">
    <w:abstractNumId w:val="10"/>
  </w:num>
  <w:num w:numId="9">
    <w:abstractNumId w:val="5"/>
  </w:num>
  <w:num w:numId="10">
    <w:abstractNumId w:val="8"/>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2B10"/>
    <w:rsid w:val="000274D0"/>
    <w:rsid w:val="000636FF"/>
    <w:rsid w:val="000672DE"/>
    <w:rsid w:val="00076654"/>
    <w:rsid w:val="000B2E4F"/>
    <w:rsid w:val="00165321"/>
    <w:rsid w:val="001B27B4"/>
    <w:rsid w:val="001C719A"/>
    <w:rsid w:val="001D6749"/>
    <w:rsid w:val="001E1ACA"/>
    <w:rsid w:val="001F7932"/>
    <w:rsid w:val="00204D10"/>
    <w:rsid w:val="00206185"/>
    <w:rsid w:val="00224847"/>
    <w:rsid w:val="00227A26"/>
    <w:rsid w:val="00275F99"/>
    <w:rsid w:val="00284C99"/>
    <w:rsid w:val="002B4F65"/>
    <w:rsid w:val="00317A60"/>
    <w:rsid w:val="00337B5D"/>
    <w:rsid w:val="003541E9"/>
    <w:rsid w:val="00357E2A"/>
    <w:rsid w:val="00362CBF"/>
    <w:rsid w:val="003770B7"/>
    <w:rsid w:val="003849C7"/>
    <w:rsid w:val="003A7DC7"/>
    <w:rsid w:val="003E7C7D"/>
    <w:rsid w:val="0040544D"/>
    <w:rsid w:val="004119F2"/>
    <w:rsid w:val="0045694B"/>
    <w:rsid w:val="00466488"/>
    <w:rsid w:val="004F2664"/>
    <w:rsid w:val="0051643C"/>
    <w:rsid w:val="00520808"/>
    <w:rsid w:val="00585AD3"/>
    <w:rsid w:val="005A5774"/>
    <w:rsid w:val="005A57C8"/>
    <w:rsid w:val="005E51CF"/>
    <w:rsid w:val="00620ADE"/>
    <w:rsid w:val="006561D9"/>
    <w:rsid w:val="00666A65"/>
    <w:rsid w:val="006B34DA"/>
    <w:rsid w:val="006C0F0F"/>
    <w:rsid w:val="006E455F"/>
    <w:rsid w:val="00732A68"/>
    <w:rsid w:val="007336E3"/>
    <w:rsid w:val="007825E2"/>
    <w:rsid w:val="007B003C"/>
    <w:rsid w:val="007E3206"/>
    <w:rsid w:val="007E5CEA"/>
    <w:rsid w:val="00806283"/>
    <w:rsid w:val="00827C2F"/>
    <w:rsid w:val="00830712"/>
    <w:rsid w:val="00846D14"/>
    <w:rsid w:val="00881728"/>
    <w:rsid w:val="008A4F7C"/>
    <w:rsid w:val="008F4197"/>
    <w:rsid w:val="008F4AB0"/>
    <w:rsid w:val="00921D53"/>
    <w:rsid w:val="009329E7"/>
    <w:rsid w:val="00943698"/>
    <w:rsid w:val="00972E46"/>
    <w:rsid w:val="00984EDB"/>
    <w:rsid w:val="00994C53"/>
    <w:rsid w:val="00997B26"/>
    <w:rsid w:val="009B755F"/>
    <w:rsid w:val="009D35B2"/>
    <w:rsid w:val="009F385D"/>
    <w:rsid w:val="00A1333C"/>
    <w:rsid w:val="00A30F1C"/>
    <w:rsid w:val="00A53AFA"/>
    <w:rsid w:val="00A605B0"/>
    <w:rsid w:val="00A87D5B"/>
    <w:rsid w:val="00AB399F"/>
    <w:rsid w:val="00AF39B8"/>
    <w:rsid w:val="00B4080A"/>
    <w:rsid w:val="00B437B3"/>
    <w:rsid w:val="00B52A2F"/>
    <w:rsid w:val="00B74505"/>
    <w:rsid w:val="00B90A2F"/>
    <w:rsid w:val="00BC14F8"/>
    <w:rsid w:val="00BC22E3"/>
    <w:rsid w:val="00BC3B5C"/>
    <w:rsid w:val="00C37CCB"/>
    <w:rsid w:val="00C63956"/>
    <w:rsid w:val="00C706ED"/>
    <w:rsid w:val="00C77AA2"/>
    <w:rsid w:val="00C837F7"/>
    <w:rsid w:val="00CA023C"/>
    <w:rsid w:val="00CA3E12"/>
    <w:rsid w:val="00CA6BAF"/>
    <w:rsid w:val="00CB3623"/>
    <w:rsid w:val="00CD4982"/>
    <w:rsid w:val="00D829FE"/>
    <w:rsid w:val="00D921AE"/>
    <w:rsid w:val="00DA4453"/>
    <w:rsid w:val="00DB2B38"/>
    <w:rsid w:val="00DD4A21"/>
    <w:rsid w:val="00E22685"/>
    <w:rsid w:val="00E40428"/>
    <w:rsid w:val="00E538C0"/>
    <w:rsid w:val="00ED6B39"/>
    <w:rsid w:val="00EF0C21"/>
    <w:rsid w:val="00EF1CF7"/>
    <w:rsid w:val="00F2597D"/>
    <w:rsid w:val="00F30B4E"/>
    <w:rsid w:val="00F67E8A"/>
    <w:rsid w:val="00F74B56"/>
    <w:rsid w:val="00F7696B"/>
    <w:rsid w:val="00F77D10"/>
    <w:rsid w:val="00F906E1"/>
    <w:rsid w:val="00F938A1"/>
    <w:rsid w:val="00FA11DD"/>
    <w:rsid w:val="00FA2AAD"/>
    <w:rsid w:val="00FB7660"/>
    <w:rsid w:val="00FF69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42EA"/>
  <w15:docId w15:val="{DD55E2A9-790F-432C-97FA-F649B161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6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749"/>
    <w:rPr>
      <w:sz w:val="20"/>
      <w:szCs w:val="20"/>
    </w:rPr>
  </w:style>
  <w:style w:type="character" w:styleId="FootnoteReference">
    <w:name w:val="footnote reference"/>
    <w:aliases w:val="Footnote symbol,Footnote reference number"/>
    <w:semiHidden/>
    <w:unhideWhenUsed/>
    <w:rsid w:val="001D6749"/>
    <w:rPr>
      <w:vertAlign w:val="superscript"/>
    </w:rPr>
  </w:style>
  <w:style w:type="paragraph" w:styleId="Header">
    <w:name w:val="header"/>
    <w:basedOn w:val="Normal"/>
    <w:link w:val="HeaderChar"/>
    <w:uiPriority w:val="99"/>
    <w:unhideWhenUsed/>
    <w:rsid w:val="001D67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6749"/>
  </w:style>
  <w:style w:type="paragraph" w:styleId="Footer">
    <w:name w:val="footer"/>
    <w:basedOn w:val="Normal"/>
    <w:link w:val="FooterChar"/>
    <w:uiPriority w:val="99"/>
    <w:unhideWhenUsed/>
    <w:rsid w:val="001D67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6749"/>
  </w:style>
  <w:style w:type="character" w:styleId="CommentReference">
    <w:name w:val="annotation reference"/>
    <w:basedOn w:val="DefaultParagraphFont"/>
    <w:uiPriority w:val="99"/>
    <w:semiHidden/>
    <w:unhideWhenUsed/>
    <w:rsid w:val="00CD4982"/>
    <w:rPr>
      <w:sz w:val="16"/>
      <w:szCs w:val="16"/>
    </w:rPr>
  </w:style>
  <w:style w:type="paragraph" w:styleId="CommentText">
    <w:name w:val="annotation text"/>
    <w:basedOn w:val="Normal"/>
    <w:link w:val="CommentText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CommentTextChar">
    <w:name w:val="Comment Text Char"/>
    <w:basedOn w:val="DefaultParagraphFont"/>
    <w:link w:val="CommentText"/>
    <w:uiPriority w:val="99"/>
    <w:semiHidden/>
    <w:rsid w:val="00CD4982"/>
    <w:rPr>
      <w:rFonts w:ascii="Times New Roman" w:eastAsia="Times New Roman" w:hAnsi="Times New Roman" w:cs="Times New Roman"/>
      <w:sz w:val="20"/>
      <w:szCs w:val="20"/>
      <w:lang w:eastAsia="sk-SK"/>
    </w:rPr>
  </w:style>
  <w:style w:type="paragraph" w:styleId="BalloonText">
    <w:name w:val="Balloon Text"/>
    <w:basedOn w:val="Normal"/>
    <w:link w:val="BalloonTextChar"/>
    <w:uiPriority w:val="99"/>
    <w:semiHidden/>
    <w:unhideWhenUsed/>
    <w:rsid w:val="00CD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82"/>
    <w:rPr>
      <w:rFonts w:ascii="Tahoma" w:hAnsi="Tahoma" w:cs="Tahoma"/>
      <w:sz w:val="16"/>
      <w:szCs w:val="16"/>
    </w:rPr>
  </w:style>
  <w:style w:type="paragraph" w:styleId="ListParagraph">
    <w:name w:val="List Paragraph"/>
    <w:basedOn w:val="Normal"/>
    <w:uiPriority w:val="34"/>
    <w:qFormat/>
    <w:rsid w:val="002B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ZoUP_4_Analyza-socialnych-vplyvov_MPK"/>
    <f:field ref="objsubject" par="" edit="true" text=""/>
    <f:field ref="objcreatedby" par="" text="Semanco, Martin, JUDr."/>
    <f:field ref="objcreatedat" par="" text="6.5.2021 16:33:45"/>
    <f:field ref="objchangedby" par="" text="Administrator, System"/>
    <f:field ref="objmodifiedat" par="" text="6.5.2021 16:33: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C7AB56986862B4F94A6B608D238A215" ma:contentTypeVersion="4" ma:contentTypeDescription="Umožňuje vytvoriť nový dokument." ma:contentTypeScope="" ma:versionID="7e0837fb011c55a21436e52642e946af">
  <xsd:schema xmlns:xsd="http://www.w3.org/2001/XMLSchema" xmlns:xs="http://www.w3.org/2001/XMLSchema" xmlns:p="http://schemas.microsoft.com/office/2006/metadata/properties" xmlns:ns2="e45bbbf5-a1d0-4848-af39-c4d3f6f53a09" xmlns:ns3="cd0e9f70-9565-4466-ba8a-c0de7ea0a715" targetNamespace="http://schemas.microsoft.com/office/2006/metadata/properties" ma:root="true" ma:fieldsID="5b14feb3139c0c812f66ad7c127428bf" ns2:_="" ns3:_="">
    <xsd:import namespace="e45bbbf5-a1d0-4848-af39-c4d3f6f53a09"/>
    <xsd:import namespace="cd0e9f70-9565-4466-ba8a-c0de7ea0a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bbf5-a1d0-4848-af39-c4d3f6f53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e9f70-9565-4466-ba8a-c0de7ea0a71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0226E2-3DAA-4A61-9671-B6E49288A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33CE4-C349-46E5-848A-940578D1A71D}">
  <ds:schemaRefs>
    <ds:schemaRef ds:uri="http://schemas.microsoft.com/sharepoint/v3/contenttype/forms"/>
  </ds:schemaRefs>
</ds:datastoreItem>
</file>

<file path=customXml/itemProps4.xml><?xml version="1.0" encoding="utf-8"?>
<ds:datastoreItem xmlns:ds="http://schemas.openxmlformats.org/officeDocument/2006/customXml" ds:itemID="{0A077F6F-CDCB-448A-985E-3C94D73F3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bbf5-a1d0-4848-af39-c4d3f6f53a09"/>
    <ds:schemaRef ds:uri="cd0e9f70-9565-4466-ba8a-c0de7ea0a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135A1-318D-4F59-880D-6AF78CEB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5356</Words>
  <Characters>30534</Characters>
  <Application>Microsoft Office Word</Application>
  <DocSecurity>0</DocSecurity>
  <Lines>254</Lines>
  <Paragraphs>71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Ľubor Illek</cp:lastModifiedBy>
  <cp:revision>2</cp:revision>
  <cp:lastPrinted>2016-03-03T08:34:00Z</cp:lastPrinted>
  <dcterms:created xsi:type="dcterms:W3CDTF">2021-05-26T10:51:00Z</dcterms:created>
  <dcterms:modified xsi:type="dcterms:W3CDTF">2021-05-26T10:51:00Z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0x0101003C7AB56986862B4F94A6B608D238A215</vt:lpwstr>
  </property>
  <property fmtid="{D5CDD505-2E9C-101B-9397-08002B2CF9AE}" pid="3" name="FSC#SKEDITIONSLOVLEX@103.510:spravaucastverej">
    <vt:lpwstr>&lt;p style="text-align:justify;text-indent:35.4pt"&gt;Verejnosť nebola o&amp;nbsp;príprave návrhu zákona o&amp;nbsp;územnom plánovaní informovaná prostredníctvom predbežnej informácie k&amp;nbsp;predmetnému návrhu zákona zverejnenej v&amp;nbsp;informačnom systéme verejnej spr</vt:lpwstr>
  </property>
  <property fmtid="{D5CDD505-2E9C-101B-9397-08002B2CF9AE}" pid="4" name="FSC#SKEDITIONSLOVLEX@103.510:typpredpis">
    <vt:lpwstr>Zákon</vt:lpwstr>
  </property>
  <property fmtid="{D5CDD505-2E9C-101B-9397-08002B2CF9AE}" pid="5" name="FSC#SKEDITIONSLOVLEX@103.510:aktualnyrok">
    <vt:lpwstr>2021</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Geológia, geodézia, kartografia_x000d_
Štátna správa_x000d_
Územná samospráva_x000d_
Životné prostredie_x000d_
Posudzovanie vplyvov na životné prostredie_x000d_
Stavebníctvo a architektúra</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Martin Semanco</vt:lpwstr>
  </property>
  <property fmtid="{D5CDD505-2E9C-101B-9397-08002B2CF9AE}" pid="13" name="FSC#SKEDITIONSLOVLEX@103.510:zodppredkladatel">
    <vt:lpwstr>Štefan Holý</vt:lpwstr>
  </property>
  <property fmtid="{D5CDD505-2E9C-101B-9397-08002B2CF9AE}" pid="14" name="FSC#SKEDITIONSLOVLEX@103.510:dalsipredkladatel">
    <vt:lpwstr>Andrej Doležal</vt:lpwstr>
  </property>
  <property fmtid="{D5CDD505-2E9C-101B-9397-08002B2CF9AE}" pid="15" name="FSC#SKEDITIONSLOVLEX@103.510:nazovpredpis">
    <vt:lpwstr> o územnom plánovaní</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Úrad vlády Slovenskej republiky - podpredseda vlády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Programové vyhlásenie vlády na roky 2021-2024</vt:lpwstr>
  </property>
  <property fmtid="{D5CDD505-2E9C-101B-9397-08002B2CF9AE}" pid="24" name="FSC#SKEDITIONSLOVLEX@103.510:plnynazovpredpis">
    <vt:lpwstr> Zákon o územnom plánovaní</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4070/2021/OLOUOŠS</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LP/2021/218</vt:lpwstr>
  </property>
  <property fmtid="{D5CDD505-2E9C-101B-9397-08002B2CF9AE}" pid="38" name="FSC#SKEDITIONSLOVLEX@103.510:typsprievdok">
    <vt:lpwstr>Príloha všeobecná</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čl. 191 až 193 Zmluvy o fungovaní Európskej únie </vt:lpwstr>
  </property>
  <property fmtid="{D5CDD505-2E9C-101B-9397-08002B2CF9AE}" pid="48" name="FSC#SKEDITIONSLOVLEX@103.510:AttrStrListDocPropSekundarneLegPravoPO">
    <vt:lpwstr>smernica Európskeho parlamentu a Rady 2001/42/ES z 27. júna 2001 o posudzovaní účinkov určitých plánov a programov na životné prostredie (Ú. v. ES L 197, 21.7.2001; Mimoriadne vydanie Ú. v. EÚ, kap. 15/zv. 6)- gestor: Ministerstvo životného prostredia SR</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V súčasnosti nie je upravené v judikatúre Súdneho dvora Európskej únie</vt:lpwstr>
  </property>
  <property fmtid="{D5CDD505-2E9C-101B-9397-08002B2CF9AE}" pid="53" name="FSC#SKEDITIONSLOVLEX@103.510:AttrStrListDocPropLehotaPrebratieSmernice">
    <vt:lpwstr>lehota na prebranie smernice Európskeho parlamentu a Rady 2001/42/ES z 27. júna 2001 o posudzovaní účinkov určitých plánov a programov na životné prostredie (Ú. v. ES L 197, 21.7.2001; Mimoriadne vydanie Ú. v. EÚ, kap. 15/zv. 6)- 21. júla 2004</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neboli začaté</vt:lpwstr>
  </property>
  <property fmtid="{D5CDD505-2E9C-101B-9397-08002B2CF9AE}" pid="56" name="FSC#SKEDITIONSLOVLEX@103.510:AttrStrListDocPropInfoUzPreberanePP">
    <vt:lpwstr>Zákon č. 24/2006 Z. z. o posudzovaní vplyvov na životné prostredie a o zmene a doplnení niektorých zákonov v znení neskorších predpisov - úplný </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19. 4. 2021</vt:lpwstr>
  </property>
  <property fmtid="{D5CDD505-2E9C-101B-9397-08002B2CF9AE}" pid="60" name="FSC#SKEDITIONSLOVLEX@103.510:AttrDateDocPropUkonceniePKK">
    <vt:lpwstr>3. 5. 2021</vt:lpwstr>
  </property>
  <property fmtid="{D5CDD505-2E9C-101B-9397-08002B2CF9AE}" pid="61" name="FSC#SKEDITIONSLOVLEX@103.510:AttrStrDocPropVplyvRozpocetVS">
    <vt:lpwstr>Pozitívne_x000d_
Negatívne</vt:lpwstr>
  </property>
  <property fmtid="{D5CDD505-2E9C-101B-9397-08002B2CF9AE}" pid="62" name="FSC#SKEDITIONSLOVLEX@103.510:AttrStrDocPropVplyvPodnikatelskeProstr">
    <vt:lpwstr>Žiadne</vt:lpwstr>
  </property>
  <property fmtid="{D5CDD505-2E9C-101B-9397-08002B2CF9AE}" pid="63" name="FSC#SKEDITIONSLOVLEX@103.510:AttrStrDocPropVplyvSocialny">
    <vt:lpwstr>Pozitívne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Pozitívne</vt:lpwstr>
  </property>
  <property fmtid="{D5CDD505-2E9C-101B-9397-08002B2CF9AE}" pid="66" name="FSC#SKEDITIONSLOVLEX@103.510:AttrStrListDocPropPoznamkaVplyv">
    <vt:lpwstr>&lt;p&gt;&lt;strong&gt;Analýza vplyvov na podnikateľské prostredie je zahrnutá v materiáli k súbežne pozmeňovanom zákone o výstavbe.&lt;/strong&gt;&lt;/p&gt;&lt;p&gt;Tab. nižšie popisuje,&amp;nbsp; v&amp;nbsp;ktorom z&amp;nbsp;trojice zákonov je hlavná zmena ukotvená („Kmeňový“) a&amp;nbsp;ktoré návr</vt:lpwstr>
  </property>
  <property fmtid="{D5CDD505-2E9C-101B-9397-08002B2CF9AE}" pid="67" name="FSC#SKEDITIONSLOVLEX@103.510:AttrStrListDocPropAltRiesenia">
    <vt:lpwstr>Alternatíva	krátky popis	popisA1	as is 	Žiadna zmena legislatívy. Žiadny IS. (tj ponechanie procesov územného plánovania a procesov výstavby úpravou doterajšieho zákona č. 50/1976 Zb. o územnom plánovaní a stavebnom poriadku (stavebný zákon).A2	MDV2019  b</vt:lpwstr>
  </property>
  <property fmtid="{D5CDD505-2E9C-101B-9397-08002B2CF9AE}" pid="68" name="FSC#SKEDITIONSLOVLEX@103.510:AttrStrListDocPropStanoviskoGest">
    <vt:lpwstr>&lt;p&gt;&amp;nbsp;&lt;strong&gt;I. Úvod: &lt;/strong&gt;Úrad vlády SR dňa 19. apríla 2021 predložil na PPK materiál &lt;em&gt;„&lt;/em&gt;&lt;em&gt;Návrh zákona o územnom plánovaní a o zmene a doplnení niektorých zákonov&lt;/em&gt;&lt;em&gt;“&lt;/em&gt;. Materiál predpokladá pozitívno-negatívne vplyvy na rozpoč</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podpredseda vlády Slovenskej republiky_x000d_
ministri_x000d_
predsedovia ostatných ústredných orgánov</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podpredseda vlády Slovenskej republiky</vt:lpwstr>
  </property>
  <property fmtid="{D5CDD505-2E9C-101B-9397-08002B2CF9AE}" pid="143" name="FSC#SKEDITIONSLOVLEX@103.510:funkciaZodpPredAkuzativ">
    <vt:lpwstr>podpredsedu vlády Slovenskej republiky</vt:lpwstr>
  </property>
  <property fmtid="{D5CDD505-2E9C-101B-9397-08002B2CF9AE}" pid="144" name="FSC#SKEDITIONSLOVLEX@103.510:funkciaZodpPredDativ">
    <vt:lpwstr>podpredsedovi vlády Slovenskej republiky</vt:lpwstr>
  </property>
  <property fmtid="{D5CDD505-2E9C-101B-9397-08002B2CF9AE}" pid="145" name="FSC#SKEDITIONSLOVLEX@103.510:funkciaDalsiPred">
    <vt:lpwstr>minister dopravy a výstavby Slovenskej republiky, </vt:lpwstr>
  </property>
  <property fmtid="{D5CDD505-2E9C-101B-9397-08002B2CF9AE}" pid="146" name="FSC#SKEDITIONSLOVLEX@103.510:funkciaDalsiPredAkuzativ">
    <vt:lpwstr>ministra dopravy a výstavby Slovenskej republiky, </vt:lpwstr>
  </property>
  <property fmtid="{D5CDD505-2E9C-101B-9397-08002B2CF9AE}" pid="147" name="FSC#SKEDITIONSLOVLEX@103.510:funkciaDalsiPredDativ">
    <vt:lpwstr>ministrovi dopravy a výstavby Slovenskej republiky, </vt:lpwstr>
  </property>
  <property fmtid="{D5CDD505-2E9C-101B-9397-08002B2CF9AE}" pid="148" name="FSC#SKEDITIONSLOVLEX@103.510:predkladateliaObalSD">
    <vt:lpwstr>Štefan Holý_x000d_
podpredseda vlády Slovenskej republiky_x000d_
Andrej Doležal_x000d_
minister dopravy a výstavby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justify;"&gt;Podpredseda vlády Slovenskej republiky a&amp;nbsp;minister dopravy a&amp;nbsp;výstavby Slovenskej republiky predkladajú návrh zákona o&amp;nbsp;územnom plánovaní (ďalej len „návrh zákona“) vypracovaný na základe Programového vyhlásenia</vt:lpwstr>
  </property>
  <property fmtid="{D5CDD505-2E9C-101B-9397-08002B2CF9AE}" pid="151" name="FSC#SKEDITIONSLOVLEX@103.510:vytvorenedna">
    <vt:lpwstr>6. 5. 2021</vt:lpwstr>
  </property>
  <property fmtid="{D5CDD505-2E9C-101B-9397-08002B2CF9AE}" pid="152" name="FSC#COOSYSTEM@1.1:Container">
    <vt:lpwstr>COO.2145.1000.3.4349660</vt:lpwstr>
  </property>
  <property fmtid="{D5CDD505-2E9C-101B-9397-08002B2CF9AE}" pid="153" name="FSC#FSCFOLIO@1.1001:docpropproject">
    <vt:lpwstr/>
  </property>
</Properties>
</file>