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16" w:rsidRPr="00AF527B" w:rsidRDefault="005B7C6C" w:rsidP="00834999">
      <w:pPr>
        <w:pStyle w:val="Pagedecouverture"/>
      </w:pPr>
      <w:bookmarkStart w:id="0" w:name="_GoBack"/>
      <w:bookmarkEnd w:id="0"/>
      <w:r>
        <w:pict w14:anchorId="0FC3F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1AA8547-CB09-4BB9-A523-81EDB2552B2E" style="width:454.8pt;height:386.4pt">
            <v:imagedata r:id="rId11" o:title=""/>
          </v:shape>
        </w:pict>
      </w:r>
    </w:p>
    <w:p w:rsidR="00673A63" w:rsidRPr="00AF527B" w:rsidRDefault="00673A63">
      <w:pPr>
        <w:sectPr w:rsidR="00673A63" w:rsidRPr="00AF527B" w:rsidSect="009474D2">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673A63" w:rsidRPr="00AF527B" w:rsidRDefault="00834999" w:rsidP="00834999">
      <w:pPr>
        <w:pStyle w:val="Typedudocument"/>
      </w:pPr>
      <w:r w:rsidRPr="00834999">
        <w:lastRenderedPageBreak/>
        <w:t>COMMISSION IMPLEMENTING REGULATION (EU) …/...</w:t>
      </w:r>
    </w:p>
    <w:p w:rsidR="00673A63" w:rsidRPr="00AF527B" w:rsidRDefault="00834999" w:rsidP="00834999">
      <w:pPr>
        <w:pStyle w:val="Datedadoption"/>
      </w:pPr>
      <w:r w:rsidRPr="00834999">
        <w:t xml:space="preserve">of </w:t>
      </w:r>
      <w:r w:rsidRPr="00834999">
        <w:rPr>
          <w:rStyle w:val="Marker2"/>
        </w:rPr>
        <w:t>XXX</w:t>
      </w:r>
    </w:p>
    <w:p w:rsidR="00673A63" w:rsidRPr="00AF527B" w:rsidRDefault="00834999" w:rsidP="00834999">
      <w:pPr>
        <w:pStyle w:val="Titreobjet"/>
      </w:pPr>
      <w:r w:rsidRPr="00834999">
        <w:t>laying down a list of specific high-value datasets and the arrangements for their publication and re-use</w:t>
      </w:r>
    </w:p>
    <w:p w:rsidR="00673A63" w:rsidRPr="00AF527B" w:rsidRDefault="00834999" w:rsidP="00834999">
      <w:pPr>
        <w:pStyle w:val="IntrtEEE"/>
      </w:pPr>
      <w:r w:rsidRPr="00834999">
        <w:t>(Text with EEA relevance)</w:t>
      </w:r>
    </w:p>
    <w:p w:rsidR="00673A63" w:rsidRPr="00AF527B" w:rsidRDefault="00673A63" w:rsidP="00D651B8">
      <w:pPr>
        <w:pStyle w:val="Institutionquiagit"/>
      </w:pPr>
      <w:r w:rsidRPr="00AF527B">
        <w:t>THE EUROPEAN COMMISSION,</w:t>
      </w:r>
    </w:p>
    <w:p w:rsidR="00673A63" w:rsidRPr="00AF527B" w:rsidRDefault="00673A63" w:rsidP="00D651B8">
      <w:r w:rsidRPr="00AF527B">
        <w:rPr>
          <w:color w:val="000000"/>
        </w:rPr>
        <w:t>Having regard to the Treaty on the Functioning of the European Union</w:t>
      </w:r>
      <w:r w:rsidRPr="00AF527B">
        <w:t>,</w:t>
      </w:r>
    </w:p>
    <w:p w:rsidR="00673A63" w:rsidRPr="00AF527B" w:rsidRDefault="00673A63" w:rsidP="00D651B8">
      <w:r w:rsidRPr="00AF527B">
        <w:t>Having regard to</w:t>
      </w:r>
      <w:r w:rsidR="008A618D" w:rsidRPr="00AF527B">
        <w:rPr>
          <w:rStyle w:val="Marker"/>
        </w:rPr>
        <w:t xml:space="preserve"> </w:t>
      </w:r>
      <w:r w:rsidR="008A618D" w:rsidRPr="00AF527B">
        <w:t>Directive (EU) 2019/1024 of the European Parliament and of the Council of 20</w:t>
      </w:r>
      <w:r w:rsidR="00AF527B">
        <w:t> </w:t>
      </w:r>
      <w:r w:rsidR="008A618D" w:rsidRPr="00AF527B">
        <w:t>June 2019 on open data and the re-use of public sector information</w:t>
      </w:r>
      <w:r w:rsidRPr="00AF527B">
        <w:rPr>
          <w:rStyle w:val="FootnoteReference"/>
        </w:rPr>
        <w:footnoteReference w:id="2"/>
      </w:r>
      <w:r w:rsidRPr="00AF527B">
        <w:t>, and in particular Article</w:t>
      </w:r>
      <w:r w:rsidR="00AF527B">
        <w:t> </w:t>
      </w:r>
      <w:r w:rsidR="00237EEC" w:rsidRPr="00AF527B">
        <w:t>14(1)</w:t>
      </w:r>
      <w:r w:rsidRPr="00AF527B">
        <w:t xml:space="preserve"> thereof,</w:t>
      </w:r>
    </w:p>
    <w:p w:rsidR="00673A63" w:rsidRPr="00AF527B" w:rsidRDefault="00673A63" w:rsidP="00D651B8">
      <w:r w:rsidRPr="00AF527B">
        <w:t>Whereas:</w:t>
      </w:r>
    </w:p>
    <w:p w:rsidR="00673A63" w:rsidRPr="00AF527B" w:rsidRDefault="007355E8" w:rsidP="006002EC">
      <w:pPr>
        <w:pStyle w:val="Considrant"/>
        <w:numPr>
          <w:ilvl w:val="0"/>
          <w:numId w:val="8"/>
        </w:numPr>
      </w:pPr>
      <w:r>
        <w:t xml:space="preserve">It transpires from </w:t>
      </w:r>
      <w:r w:rsidR="00237EEC" w:rsidRPr="00AF527B">
        <w:t>Directive (EU) 2019/1024 that a</w:t>
      </w:r>
      <w:r w:rsidR="006321B5">
        <w:t>n</w:t>
      </w:r>
      <w:r w:rsidR="00237EEC" w:rsidRPr="00AF527B">
        <w:t xml:space="preserve"> </w:t>
      </w:r>
      <w:r w:rsidR="006321B5">
        <w:t>EU</w:t>
      </w:r>
      <w:r w:rsidR="00237EEC" w:rsidRPr="00AF527B">
        <w:t>-wide list of datasets with a particular potential to generate socio</w:t>
      </w:r>
      <w:r w:rsidR="00CF29A3">
        <w:t>-</w:t>
      </w:r>
      <w:r w:rsidR="00237EEC" w:rsidRPr="00AF527B">
        <w:t xml:space="preserve">economic benefits </w:t>
      </w:r>
      <w:r w:rsidR="009C6383">
        <w:t xml:space="preserve">and </w:t>
      </w:r>
      <w:r w:rsidR="003E28F1">
        <w:t xml:space="preserve">with </w:t>
      </w:r>
      <w:r w:rsidR="00237EEC" w:rsidRPr="00AF527B">
        <w:t xml:space="preserve">harmonised reuse conditions </w:t>
      </w:r>
      <w:r w:rsidR="002F28A8">
        <w:t xml:space="preserve">is </w:t>
      </w:r>
      <w:r w:rsidR="00237EEC" w:rsidRPr="00AF527B">
        <w:t xml:space="preserve">a </w:t>
      </w:r>
      <w:r w:rsidR="002F28A8">
        <w:t>significant</w:t>
      </w:r>
      <w:r w:rsidR="002F28A8" w:rsidRPr="00AF527B">
        <w:t xml:space="preserve"> </w:t>
      </w:r>
      <w:r w:rsidR="00237EEC" w:rsidRPr="00AF527B">
        <w:t>enabler of cross-border data applications and services.</w:t>
      </w:r>
    </w:p>
    <w:p w:rsidR="00673A63" w:rsidRDefault="672B4335" w:rsidP="006002EC">
      <w:pPr>
        <w:pStyle w:val="Considrant"/>
        <w:numPr>
          <w:ilvl w:val="0"/>
          <w:numId w:val="8"/>
        </w:numPr>
      </w:pPr>
      <w:r>
        <w:t>The main objective of</w:t>
      </w:r>
      <w:r w:rsidR="32C4AA30">
        <w:t xml:space="preserve"> </w:t>
      </w:r>
      <w:r w:rsidR="00EC6A4A">
        <w:t xml:space="preserve">establishing the list of </w:t>
      </w:r>
      <w:r>
        <w:t>high-value datasets is</w:t>
      </w:r>
      <w:r w:rsidR="00F456DB" w:rsidRPr="00F456DB">
        <w:t xml:space="preserve"> to ensure that public data of highest socio-economic potential are made available for re-use with minimal legal</w:t>
      </w:r>
      <w:r w:rsidR="00F456DB">
        <w:t xml:space="preserve"> and technical</w:t>
      </w:r>
      <w:r w:rsidR="00F456DB" w:rsidRPr="00F456DB">
        <w:t xml:space="preserve"> restriction and free of charge</w:t>
      </w:r>
      <w:r>
        <w:t>.</w:t>
      </w:r>
    </w:p>
    <w:p w:rsidR="00EC6A4A" w:rsidRPr="00AF527B" w:rsidRDefault="00EC6A4A" w:rsidP="006002EC">
      <w:pPr>
        <w:pStyle w:val="Considrant"/>
        <w:numPr>
          <w:ilvl w:val="0"/>
          <w:numId w:val="8"/>
        </w:numPr>
      </w:pPr>
      <w:r w:rsidRPr="00EC6A4A">
        <w:t xml:space="preserve">Harmonising the implementation of the re-use conditions of high-value datasets entails the technical specification for making the datasets available in a machine-readable format and via application processing interfaces (APIs). </w:t>
      </w:r>
      <w:r w:rsidR="000321D1">
        <w:t>M</w:t>
      </w:r>
      <w:r w:rsidRPr="00EC6A4A">
        <w:t xml:space="preserve">aking high-value datasets available under optimal conditions strengthens the open data policies in the Member States, building on the principles of findability, accessibility, </w:t>
      </w:r>
      <w:r w:rsidR="003A3DF4" w:rsidRPr="00EC6A4A">
        <w:t>interoperability</w:t>
      </w:r>
      <w:r w:rsidR="003A3DF4">
        <w:t xml:space="preserve"> and</w:t>
      </w:r>
      <w:r w:rsidR="003A3DF4" w:rsidRPr="00EC6A4A">
        <w:t xml:space="preserve"> </w:t>
      </w:r>
      <w:r w:rsidRPr="00EC6A4A">
        <w:t>reusability (FAIR principles)</w:t>
      </w:r>
      <w:r>
        <w:t>.</w:t>
      </w:r>
    </w:p>
    <w:p w:rsidR="00C87C4A" w:rsidRPr="00AF527B" w:rsidRDefault="27F25A0E" w:rsidP="006002EC">
      <w:pPr>
        <w:pStyle w:val="Considrant"/>
        <w:numPr>
          <w:ilvl w:val="0"/>
          <w:numId w:val="8"/>
        </w:numPr>
      </w:pPr>
      <w:r>
        <w:t xml:space="preserve">Annex I to Directive (EU) 2019/1024 lays down the </w:t>
      </w:r>
      <w:r w:rsidR="7DF8ECF4">
        <w:t>themes</w:t>
      </w:r>
      <w:r>
        <w:t xml:space="preserve"> of high-value datasets by listing six</w:t>
      </w:r>
      <w:r w:rsidR="32C4AA30">
        <w:t xml:space="preserve"> thematic</w:t>
      </w:r>
      <w:r>
        <w:t xml:space="preserve"> data categories</w:t>
      </w:r>
      <w:r w:rsidR="000D0827">
        <w:t>:</w:t>
      </w:r>
      <w:r>
        <w:t xml:space="preserve"> 1) geospatial</w:t>
      </w:r>
      <w:r w:rsidR="7DF8ECF4">
        <w:t xml:space="preserve">; </w:t>
      </w:r>
      <w:r>
        <w:t>2) earth observation and environment</w:t>
      </w:r>
      <w:r w:rsidR="7DF8ECF4">
        <w:t xml:space="preserve">; </w:t>
      </w:r>
      <w:r>
        <w:t>3) meteorological</w:t>
      </w:r>
      <w:r w:rsidR="7DF8ECF4">
        <w:t xml:space="preserve">; </w:t>
      </w:r>
      <w:r>
        <w:t>4) statistics</w:t>
      </w:r>
      <w:r w:rsidR="7DF8ECF4">
        <w:t xml:space="preserve">; </w:t>
      </w:r>
      <w:r>
        <w:t>5) companies and company ownership</w:t>
      </w:r>
      <w:r w:rsidR="7DF8ECF4">
        <w:t>;</w:t>
      </w:r>
      <w:r>
        <w:t xml:space="preserve"> and 6) mobility.</w:t>
      </w:r>
    </w:p>
    <w:p w:rsidR="008B60BA" w:rsidRDefault="27F25A0E" w:rsidP="006002EC">
      <w:pPr>
        <w:pStyle w:val="Considrant"/>
        <w:numPr>
          <w:ilvl w:val="0"/>
          <w:numId w:val="8"/>
        </w:numPr>
      </w:pPr>
      <w:r>
        <w:t xml:space="preserve">Following a wide stakeholder consultation and </w:t>
      </w:r>
      <w:r w:rsidR="0E89F7A9">
        <w:t>given</w:t>
      </w:r>
      <w:r>
        <w:t xml:space="preserve"> the result of the impact assessment</w:t>
      </w:r>
      <w:r w:rsidR="000E6D10">
        <w:t xml:space="preserve"> for this Implementing Regulation</w:t>
      </w:r>
      <w:r w:rsidR="00A410C7">
        <w:rPr>
          <w:rStyle w:val="FootnoteReference"/>
        </w:rPr>
        <w:footnoteReference w:id="3"/>
      </w:r>
      <w:r>
        <w:t xml:space="preserve">, the Commission identified, within each of the six data categories, </w:t>
      </w:r>
      <w:r w:rsidR="0E89F7A9">
        <w:t>several</w:t>
      </w:r>
      <w:r>
        <w:t xml:space="preserve"> datasets of particularly high value</w:t>
      </w:r>
      <w:r w:rsidR="0E89F7A9">
        <w:t xml:space="preserve"> and </w:t>
      </w:r>
      <w:r>
        <w:t>the arrangements for their publication and re</w:t>
      </w:r>
      <w:r w:rsidR="00CB344B">
        <w:t>-</w:t>
      </w:r>
      <w:r>
        <w:t>use.</w:t>
      </w:r>
      <w:r w:rsidR="00A6364F">
        <w:t xml:space="preserve"> </w:t>
      </w:r>
      <w:r w:rsidR="28100598">
        <w:t xml:space="preserve">The provisions of </w:t>
      </w:r>
      <w:r w:rsidR="00A6364F">
        <w:t xml:space="preserve">Union </w:t>
      </w:r>
      <w:r w:rsidR="28100598">
        <w:t xml:space="preserve">and </w:t>
      </w:r>
      <w:r w:rsidR="00133FF9">
        <w:t>Member State legislation</w:t>
      </w:r>
      <w:r w:rsidR="28100598">
        <w:t xml:space="preserve"> that go beyond the minimum requirements set out in this Implementing Regulation, in particular in cases of sectoral law, </w:t>
      </w:r>
      <w:r w:rsidR="002619DF">
        <w:t>are to</w:t>
      </w:r>
      <w:r w:rsidR="28100598">
        <w:t xml:space="preserve"> continue to apply. </w:t>
      </w:r>
    </w:p>
    <w:p w:rsidR="00447875" w:rsidRPr="009B49FC" w:rsidRDefault="00447875" w:rsidP="006002EC">
      <w:pPr>
        <w:pStyle w:val="Considrant"/>
        <w:numPr>
          <w:ilvl w:val="0"/>
          <w:numId w:val="8"/>
        </w:numPr>
        <w:tabs>
          <w:tab w:val="clear" w:pos="709"/>
          <w:tab w:val="left" w:pos="720"/>
        </w:tabs>
        <w:rPr>
          <w:szCs w:val="24"/>
          <w:lang w:val="en-US" w:eastAsia="fr-BE"/>
        </w:rPr>
      </w:pPr>
      <w:r w:rsidRPr="009B49FC">
        <w:rPr>
          <w:iCs/>
          <w:szCs w:val="24"/>
          <w:lang w:eastAsia="fr-BE"/>
        </w:rPr>
        <w:t xml:space="preserve">Pursuant to Directive (EU) 2019/1024, the requirement to make high-value datasets available free of charge shall not apply to libraries, including university libraries, </w:t>
      </w:r>
      <w:r w:rsidRPr="009B49FC">
        <w:rPr>
          <w:iCs/>
          <w:szCs w:val="24"/>
          <w:lang w:eastAsia="fr-BE"/>
        </w:rPr>
        <w:lastRenderedPageBreak/>
        <w:t>museums and archives. Member States may exempt individual public sector bodies, upon their request and in line with the criteria set out in the Directive from the requirement to make high-value datasets available free of charge for a period not exceeding two years from the date of the entry into force of this Implementing Regulation</w:t>
      </w:r>
      <w:r w:rsidRPr="009B49FC">
        <w:rPr>
          <w:i/>
          <w:iCs/>
          <w:szCs w:val="24"/>
          <w:lang w:eastAsia="fr-BE"/>
        </w:rPr>
        <w:t>.</w:t>
      </w:r>
    </w:p>
    <w:p w:rsidR="0014161D" w:rsidRDefault="0068174E" w:rsidP="006002EC">
      <w:pPr>
        <w:pStyle w:val="Considrant"/>
        <w:numPr>
          <w:ilvl w:val="0"/>
          <w:numId w:val="8"/>
        </w:numPr>
      </w:pPr>
      <w:r w:rsidRPr="009B49FC">
        <w:t xml:space="preserve">Directive (EU) 2019/1024 stipulates in its Article 14(3) that </w:t>
      </w:r>
      <w:r>
        <w:t xml:space="preserve">this Implementing Regulation </w:t>
      </w:r>
      <w:r w:rsidR="0014161D">
        <w:t>shall provide that the availability of high-value datasets free of charge is not to apply to specific high-value datasets held by public undertakings where that would lead to a distortion of competition in the relevant markets.</w:t>
      </w:r>
      <w:r>
        <w:t xml:space="preserve"> However,</w:t>
      </w:r>
      <w:r w:rsidR="000321D1">
        <w:t xml:space="preserve"> d</w:t>
      </w:r>
      <w:r w:rsidR="003720BB">
        <w:t>ata held by public undertakings</w:t>
      </w:r>
      <w:r w:rsidR="000321D1">
        <w:t xml:space="preserve"> are not included in the scope of this Implementing Regulation.</w:t>
      </w:r>
      <w:r>
        <w:t xml:space="preserve"> </w:t>
      </w:r>
    </w:p>
    <w:p w:rsidR="008638EA" w:rsidRDefault="008638EA" w:rsidP="006002EC">
      <w:pPr>
        <w:pStyle w:val="Considrant"/>
        <w:numPr>
          <w:ilvl w:val="0"/>
          <w:numId w:val="8"/>
        </w:numPr>
      </w:pPr>
      <w:r w:rsidRPr="001A5F85">
        <w:rPr>
          <w:lang w:val="en-IE"/>
        </w:rPr>
        <w:t xml:space="preserve">Where making </w:t>
      </w:r>
      <w:r w:rsidRPr="001A5F85">
        <w:t>high-value datasets available</w:t>
      </w:r>
      <w:r w:rsidRPr="001A5F85">
        <w:rPr>
          <w:lang w:val="en-IE"/>
        </w:rPr>
        <w:t xml:space="preserve"> </w:t>
      </w:r>
      <w:r w:rsidRPr="001A5F85">
        <w:t xml:space="preserve">entails the processing of personal data, such processing </w:t>
      </w:r>
      <w:r w:rsidRPr="001A5F85">
        <w:rPr>
          <w:lang w:val="en-IE"/>
        </w:rPr>
        <w:t>should be carried out in accordance with Union law on the protection of individuals with regard to the processing of personal data, in particular Regulation (EU) 2016/679 of the European Parliament and of the Council</w:t>
      </w:r>
      <w:r>
        <w:rPr>
          <w:rStyle w:val="FootnoteReference"/>
          <w:lang w:val="en-IE"/>
        </w:rPr>
        <w:footnoteReference w:id="4"/>
      </w:r>
      <w:r w:rsidRPr="001A5F85">
        <w:rPr>
          <w:lang w:val="en-IE"/>
        </w:rPr>
        <w:t>.</w:t>
      </w:r>
    </w:p>
    <w:p w:rsidR="00975802" w:rsidRDefault="00084D7C" w:rsidP="006002EC">
      <w:pPr>
        <w:pStyle w:val="Considrant"/>
        <w:numPr>
          <w:ilvl w:val="0"/>
          <w:numId w:val="8"/>
        </w:numPr>
      </w:pPr>
      <w:r>
        <w:t>I</w:t>
      </w:r>
      <w:r w:rsidRPr="00084D7C">
        <w:t xml:space="preserve">n addition to Directive </w:t>
      </w:r>
      <w:r w:rsidR="00D479EF">
        <w:t xml:space="preserve">(EU) </w:t>
      </w:r>
      <w:r w:rsidRPr="00084D7C">
        <w:t>2019/1024, other Union legal acts, including Directive 2007/2/EC</w:t>
      </w:r>
      <w:r w:rsidR="00643AA8">
        <w:t xml:space="preserve"> of the European Parliament and of the Council</w:t>
      </w:r>
      <w:r w:rsidR="00FF4C40">
        <w:rPr>
          <w:rStyle w:val="FootnoteReference"/>
        </w:rPr>
        <w:footnoteReference w:id="5"/>
      </w:r>
      <w:r w:rsidRPr="00084D7C">
        <w:t xml:space="preserve"> and Directive 2005/44/EC</w:t>
      </w:r>
      <w:r w:rsidR="00643AA8">
        <w:t xml:space="preserve"> of the European Parliament and of the Council</w:t>
      </w:r>
      <w:r w:rsidR="00E653C8">
        <w:rPr>
          <w:rStyle w:val="FootnoteReference"/>
        </w:rPr>
        <w:footnoteReference w:id="6"/>
      </w:r>
      <w:r w:rsidRPr="00084D7C">
        <w:t xml:space="preserve"> </w:t>
      </w:r>
      <w:r w:rsidR="00002B5C">
        <w:t>may be</w:t>
      </w:r>
      <w:r w:rsidRPr="00084D7C">
        <w:t xml:space="preserve"> of relevance for the re-use of public sector information</w:t>
      </w:r>
      <w:r w:rsidR="00931582">
        <w:t xml:space="preserve"> </w:t>
      </w:r>
      <w:r w:rsidR="00A6364F">
        <w:t>falling with</w:t>
      </w:r>
      <w:r w:rsidR="00931582">
        <w:t>in</w:t>
      </w:r>
      <w:r w:rsidR="00A6364F">
        <w:t xml:space="preserve"> the</w:t>
      </w:r>
      <w:r w:rsidR="00931582">
        <w:t xml:space="preserve"> scope of this Implementing Regulation</w:t>
      </w:r>
      <w:r w:rsidRPr="00084D7C">
        <w:t xml:space="preserve">, notably </w:t>
      </w:r>
      <w:r w:rsidR="00651937">
        <w:t xml:space="preserve">where </w:t>
      </w:r>
      <w:r w:rsidR="00A6364F">
        <w:t>those Union acts</w:t>
      </w:r>
      <w:r w:rsidR="00A6364F" w:rsidRPr="00084D7C">
        <w:t xml:space="preserve"> </w:t>
      </w:r>
      <w:r w:rsidRPr="00084D7C">
        <w:t>lay down common requirements for data quality and interoperability.</w:t>
      </w:r>
    </w:p>
    <w:p w:rsidR="00035B57" w:rsidRDefault="00035B57" w:rsidP="006002EC">
      <w:pPr>
        <w:pStyle w:val="Considrant"/>
        <w:numPr>
          <w:ilvl w:val="0"/>
          <w:numId w:val="8"/>
        </w:numPr>
      </w:pPr>
      <w:r>
        <w:t>Regarding</w:t>
      </w:r>
      <w:r w:rsidR="7C992910">
        <w:t xml:space="preserve"> the thematic category ‘</w:t>
      </w:r>
      <w:r w:rsidR="67E36CE2">
        <w:t xml:space="preserve">companies </w:t>
      </w:r>
      <w:r w:rsidR="7C992910">
        <w:t>and company ownership’, Member States are encouraged to go beyond the minimum requirements</w:t>
      </w:r>
      <w:r w:rsidR="7BEC3464">
        <w:t xml:space="preserve"> with respect to the scope of datasets and arrangements for re-use</w:t>
      </w:r>
      <w:r w:rsidR="7C992910">
        <w:t xml:space="preserve"> set out in this Regulation</w:t>
      </w:r>
      <w:r w:rsidR="5BCDFDD6">
        <w:t xml:space="preserve">. </w:t>
      </w:r>
    </w:p>
    <w:p w:rsidR="0092386A" w:rsidRPr="00AF527B" w:rsidRDefault="5BCDFDD6" w:rsidP="006002EC">
      <w:pPr>
        <w:pStyle w:val="Considrant"/>
        <w:numPr>
          <w:ilvl w:val="0"/>
          <w:numId w:val="8"/>
        </w:numPr>
      </w:pPr>
      <w:r>
        <w:t xml:space="preserve">Member States </w:t>
      </w:r>
      <w:r w:rsidR="00035B57">
        <w:t xml:space="preserve">should be able to </w:t>
      </w:r>
      <w:r w:rsidR="7C992910">
        <w:t xml:space="preserve">complement the datasets </w:t>
      </w:r>
      <w:r>
        <w:t xml:space="preserve">listed </w:t>
      </w:r>
      <w:r w:rsidR="7C992910">
        <w:t xml:space="preserve">in the Annex to this Regulation with public sector information </w:t>
      </w:r>
      <w:r>
        <w:t>already accessible</w:t>
      </w:r>
      <w:r w:rsidR="7C992910">
        <w:t xml:space="preserve">, whenever such data are thematically related and considered of high value </w:t>
      </w:r>
      <w:r>
        <w:t xml:space="preserve">based on </w:t>
      </w:r>
      <w:r w:rsidR="7C992910">
        <w:t xml:space="preserve">the </w:t>
      </w:r>
      <w:r>
        <w:t xml:space="preserve">criteria </w:t>
      </w:r>
      <w:r w:rsidR="7C992910">
        <w:t xml:space="preserve">described </w:t>
      </w:r>
      <w:r>
        <w:t xml:space="preserve">under </w:t>
      </w:r>
      <w:r w:rsidR="7C992910">
        <w:t xml:space="preserve">in </w:t>
      </w:r>
      <w:r w:rsidR="6CE50C15">
        <w:t>A</w:t>
      </w:r>
      <w:r w:rsidR="7C992910">
        <w:t>rticle</w:t>
      </w:r>
      <w:r w:rsidR="6CE50C15">
        <w:t> </w:t>
      </w:r>
      <w:r w:rsidR="7C992910">
        <w:t>14(2) of Directive (</w:t>
      </w:r>
      <w:r w:rsidR="7C992910" w:rsidRPr="0001340E">
        <w:t>EU) 2019/1024</w:t>
      </w:r>
      <w:r w:rsidR="00EC6A4A" w:rsidRPr="0068174E">
        <w:rPr>
          <w:rStyle w:val="CommentReference"/>
        </w:rPr>
        <w:t>.</w:t>
      </w:r>
      <w:r w:rsidR="0001340E" w:rsidRPr="0001340E">
        <w:rPr>
          <w:rStyle w:val="CommentReference"/>
        </w:rPr>
        <w:t xml:space="preserve"> </w:t>
      </w:r>
      <w:r w:rsidR="00EC6A4A" w:rsidRPr="0001340E">
        <w:rPr>
          <w:lang w:val="en-IE"/>
        </w:rPr>
        <w:t xml:space="preserve">This includes </w:t>
      </w:r>
      <w:r w:rsidR="707CD0F2" w:rsidRPr="0001340E">
        <w:rPr>
          <w:lang w:val="en-IE"/>
        </w:rPr>
        <w:t>information that constitutes personal data, whenever Member States consider that this is necessary and genuinely meets objectives of general interest, e.g. anti-money laundering and combatting terrorist financing</w:t>
      </w:r>
      <w:r w:rsidR="7C992910" w:rsidRPr="0001340E">
        <w:t>.</w:t>
      </w:r>
    </w:p>
    <w:p w:rsidR="007B5CEC" w:rsidRDefault="6E44A1D8" w:rsidP="006002EC">
      <w:pPr>
        <w:pStyle w:val="Considrant"/>
        <w:numPr>
          <w:ilvl w:val="0"/>
          <w:numId w:val="8"/>
        </w:numPr>
        <w:rPr>
          <w:rFonts w:asciiTheme="minorHAnsi" w:eastAsiaTheme="minorEastAsia" w:hAnsiTheme="minorHAnsi" w:cstheme="minorBidi"/>
          <w:szCs w:val="24"/>
        </w:rPr>
      </w:pPr>
      <w:r w:rsidRPr="00AF527B">
        <w:t xml:space="preserve">It is </w:t>
      </w:r>
      <w:r w:rsidR="00D479EF">
        <w:t xml:space="preserve">the </w:t>
      </w:r>
      <w:r w:rsidRPr="00AF527B">
        <w:t>objective of Directive (EU) 2019/1024 to promote the use of standard public licences available online for re</w:t>
      </w:r>
      <w:r w:rsidR="00CB344B">
        <w:t>-</w:t>
      </w:r>
      <w:r w:rsidRPr="00AF527B">
        <w:t>us</w:t>
      </w:r>
      <w:r w:rsidR="0E89F7A9">
        <w:t>ing</w:t>
      </w:r>
      <w:r w:rsidRPr="00AF527B">
        <w:t xml:space="preserve"> public sector information. The Commission’s Guidelines on recommended standard licences, datasets and charging for the re</w:t>
      </w:r>
      <w:r w:rsidR="00CB344B">
        <w:t>-</w:t>
      </w:r>
      <w:r w:rsidRPr="00AF527B">
        <w:t>use of documents</w:t>
      </w:r>
      <w:r w:rsidR="007B5CEC" w:rsidRPr="00AF527B">
        <w:rPr>
          <w:rStyle w:val="FootnoteReference"/>
        </w:rPr>
        <w:footnoteReference w:id="7"/>
      </w:r>
      <w:r w:rsidRPr="00AF527B">
        <w:t xml:space="preserve"> identify Creative Commons (</w:t>
      </w:r>
      <w:r w:rsidR="00CB344B">
        <w:t>‘</w:t>
      </w:r>
      <w:r w:rsidRPr="00AF527B">
        <w:t>CC</w:t>
      </w:r>
      <w:r w:rsidR="00CB344B">
        <w:t>’</w:t>
      </w:r>
      <w:r w:rsidRPr="00AF527B">
        <w:t>) licences as a</w:t>
      </w:r>
      <w:r w:rsidR="633B40D7">
        <w:t>n</w:t>
      </w:r>
      <w:r w:rsidRPr="00AF527B">
        <w:t xml:space="preserve"> example of </w:t>
      </w:r>
      <w:r w:rsidR="00D85929">
        <w:t>recommended</w:t>
      </w:r>
      <w:r w:rsidR="21041B58">
        <w:t xml:space="preserve"> </w:t>
      </w:r>
      <w:r w:rsidRPr="00AF527B">
        <w:t xml:space="preserve">standard public licences. CC licences are developed by a non-profit organisation and have become a leading licensing solution for public sector information, research results and cultural domain material across the world. It is therefore necessary to refer in this </w:t>
      </w:r>
      <w:r w:rsidR="002E6EB5">
        <w:t xml:space="preserve">Implementing </w:t>
      </w:r>
      <w:r w:rsidRPr="00AF527B">
        <w:t>Regulation to the most recent version of the CC licence suite, namely CC 4.0.</w:t>
      </w:r>
      <w:r w:rsidR="13B5C691" w:rsidRPr="00AF527B">
        <w:t xml:space="preserve"> A licence equivalent to the CC licence suite may include additional arrangements, such as the obligation on the re</w:t>
      </w:r>
      <w:r w:rsidR="00CB344B">
        <w:t>-</w:t>
      </w:r>
      <w:r w:rsidR="13B5C691" w:rsidRPr="00AF527B">
        <w:t>user to include updates provided by the data holder and to specify when the data w</w:t>
      </w:r>
      <w:r w:rsidR="27CC9F6E">
        <w:t>ere</w:t>
      </w:r>
      <w:r w:rsidR="13B5C691" w:rsidRPr="00AF527B">
        <w:t xml:space="preserve"> last updated, as long as they do </w:t>
      </w:r>
      <w:r w:rsidR="13B5C691" w:rsidRPr="72174531">
        <w:rPr>
          <w:rFonts w:eastAsia="Times New Roman"/>
          <w:lang w:eastAsia="fr-BE"/>
        </w:rPr>
        <w:t>not restrict the possibilities for re</w:t>
      </w:r>
      <w:r w:rsidR="00CB344B">
        <w:rPr>
          <w:rFonts w:eastAsia="Times New Roman"/>
          <w:lang w:eastAsia="fr-BE"/>
        </w:rPr>
        <w:t>-</w:t>
      </w:r>
      <w:r w:rsidR="13B5C691" w:rsidRPr="72174531">
        <w:rPr>
          <w:rFonts w:eastAsia="Times New Roman"/>
          <w:lang w:eastAsia="fr-BE"/>
        </w:rPr>
        <w:t>us</w:t>
      </w:r>
      <w:r w:rsidR="633B40D7" w:rsidRPr="72174531">
        <w:rPr>
          <w:rFonts w:eastAsia="Times New Roman"/>
          <w:lang w:eastAsia="fr-BE"/>
        </w:rPr>
        <w:t>ing</w:t>
      </w:r>
      <w:r w:rsidR="13B5C691" w:rsidRPr="72174531">
        <w:rPr>
          <w:rFonts w:eastAsia="Times New Roman"/>
          <w:lang w:eastAsia="fr-BE"/>
        </w:rPr>
        <w:t xml:space="preserve"> the data</w:t>
      </w:r>
      <w:r w:rsidR="13B5C691" w:rsidRPr="00AF527B">
        <w:t>.</w:t>
      </w:r>
    </w:p>
    <w:p w:rsidR="00462A7F" w:rsidRPr="00AF527B" w:rsidRDefault="3B6CF6ED" w:rsidP="006002EC">
      <w:pPr>
        <w:pStyle w:val="Considrant"/>
        <w:numPr>
          <w:ilvl w:val="0"/>
          <w:numId w:val="8"/>
        </w:numPr>
      </w:pPr>
      <w:r>
        <w:t>The European Data Protection Supervisor was consu</w:t>
      </w:r>
      <w:r w:rsidR="006C7655">
        <w:t xml:space="preserve">lted in accordance with Article </w:t>
      </w:r>
      <w:r>
        <w:t xml:space="preserve">42(1) of Regulation (EU) 2018/1725 </w:t>
      </w:r>
      <w:r w:rsidR="00AD780F" w:rsidRPr="00AD780F">
        <w:t>of the European Parliament and of the Council</w:t>
      </w:r>
      <w:r w:rsidR="00AD780F">
        <w:rPr>
          <w:rStyle w:val="FootnoteReference"/>
        </w:rPr>
        <w:footnoteReference w:id="8"/>
      </w:r>
      <w:r w:rsidR="00AD780F">
        <w:t xml:space="preserve"> </w:t>
      </w:r>
      <w:r>
        <w:t xml:space="preserve">and delivered an opinion on </w:t>
      </w:r>
      <w:r w:rsidR="0001340E">
        <w:t>[</w:t>
      </w:r>
      <w:r>
        <w:t>XX XX 2022</w:t>
      </w:r>
      <w:r w:rsidR="0001340E">
        <w:t>]</w:t>
      </w:r>
      <w:r w:rsidR="00F755B3">
        <w:t>.</w:t>
      </w:r>
    </w:p>
    <w:p w:rsidR="00673A63" w:rsidRDefault="7F7F51C8" w:rsidP="006002EC">
      <w:pPr>
        <w:pStyle w:val="Considrant"/>
        <w:numPr>
          <w:ilvl w:val="0"/>
          <w:numId w:val="8"/>
        </w:numPr>
      </w:pPr>
      <w:r>
        <w:t xml:space="preserve">The measures </w:t>
      </w:r>
      <w:r w:rsidR="68459BDD">
        <w:t xml:space="preserve">set out </w:t>
      </w:r>
      <w:r>
        <w:t>in this Implementing Regulation are in accordance with the opinion of the Committee</w:t>
      </w:r>
      <w:r w:rsidR="6E44A1D8">
        <w:t xml:space="preserve"> on open data and the reuse of public sector information </w:t>
      </w:r>
      <w:r w:rsidR="27CC9F6E">
        <w:t>set out in</w:t>
      </w:r>
      <w:r w:rsidR="633B40D7">
        <w:t xml:space="preserve"> </w:t>
      </w:r>
      <w:r w:rsidR="6E44A1D8">
        <w:t>Article</w:t>
      </w:r>
      <w:r w:rsidR="1AF50BA1">
        <w:t> </w:t>
      </w:r>
      <w:r w:rsidR="6E44A1D8">
        <w:t>16 of Directive (EU) 2019/1024</w:t>
      </w:r>
      <w:r w:rsidR="00DB7A0B">
        <w:t>,</w:t>
      </w:r>
    </w:p>
    <w:p w:rsidR="006C7655" w:rsidRPr="00AF527B" w:rsidRDefault="006C7655" w:rsidP="009474D2"/>
    <w:p w:rsidR="00673A63" w:rsidRPr="00AF527B" w:rsidRDefault="00673A63" w:rsidP="00D651B8">
      <w:pPr>
        <w:pStyle w:val="Formuledadoption"/>
      </w:pPr>
      <w:r w:rsidRPr="00AF527B">
        <w:t>HAS ADOPTED THIS REGULATION:</w:t>
      </w:r>
    </w:p>
    <w:p w:rsidR="00673A63" w:rsidRPr="00AF527B" w:rsidRDefault="7F7F51C8" w:rsidP="00D651B8">
      <w:pPr>
        <w:pStyle w:val="Titrearticle"/>
      </w:pPr>
      <w:r>
        <w:t>Article</w:t>
      </w:r>
      <w:r w:rsidR="1AF50BA1">
        <w:t> </w:t>
      </w:r>
      <w:r>
        <w:t>1</w:t>
      </w:r>
      <w:r w:rsidR="00673A63">
        <w:br/>
      </w:r>
      <w:r w:rsidR="3F53281A">
        <w:t xml:space="preserve">Subject matter </w:t>
      </w:r>
    </w:p>
    <w:p w:rsidR="00673A63" w:rsidRPr="00AF527B" w:rsidRDefault="3F53281A" w:rsidP="006002EC">
      <w:pPr>
        <w:pStyle w:val="Point0number"/>
        <w:numPr>
          <w:ilvl w:val="0"/>
          <w:numId w:val="9"/>
        </w:numPr>
      </w:pPr>
      <w:r>
        <w:t>This Implementing Regulation establishes the list of high-value datasets belonging to the thematic categories set out in Annex I to Directive (EU) 2019/1024 and held by public sector bodies among the existing documents to which th</w:t>
      </w:r>
      <w:r w:rsidR="00220D47">
        <w:t>at</w:t>
      </w:r>
      <w:r>
        <w:t xml:space="preserve"> Directive applies.</w:t>
      </w:r>
    </w:p>
    <w:p w:rsidR="00F633EB" w:rsidRPr="00AF527B" w:rsidRDefault="3F53281A" w:rsidP="00F633EB">
      <w:pPr>
        <w:pStyle w:val="Point0number"/>
      </w:pPr>
      <w:r>
        <w:t>This Implementing Regulation also lays down the arrangements for publi</w:t>
      </w:r>
      <w:r w:rsidR="633B40D7">
        <w:t xml:space="preserve">shing </w:t>
      </w:r>
      <w:r>
        <w:t>and reus</w:t>
      </w:r>
      <w:r w:rsidR="633B40D7">
        <w:t>ing</w:t>
      </w:r>
      <w:r>
        <w:t xml:space="preserve"> high-value datasets, in particular the applicable conditions for reuse and the minimum requirements for </w:t>
      </w:r>
      <w:r w:rsidR="633B40D7">
        <w:t xml:space="preserve">disseminating </w:t>
      </w:r>
      <w:r>
        <w:t xml:space="preserve">data </w:t>
      </w:r>
      <w:r w:rsidR="00E9752F">
        <w:t xml:space="preserve">via </w:t>
      </w:r>
      <w:r>
        <w:t>application programming interfaces</w:t>
      </w:r>
      <w:r w:rsidR="135DD3F3">
        <w:t xml:space="preserve"> (</w:t>
      </w:r>
      <w:r w:rsidR="006224FF">
        <w:t>‘</w:t>
      </w:r>
      <w:r w:rsidR="135DD3F3">
        <w:t>APIs</w:t>
      </w:r>
      <w:r w:rsidR="006224FF">
        <w:t>’</w:t>
      </w:r>
      <w:r w:rsidR="135DD3F3">
        <w:t>)</w:t>
      </w:r>
      <w:r>
        <w:t>.</w:t>
      </w:r>
    </w:p>
    <w:p w:rsidR="00673A63" w:rsidRPr="00AF527B" w:rsidRDefault="00673A63" w:rsidP="00D651B8">
      <w:pPr>
        <w:pStyle w:val="Titrearticle"/>
      </w:pPr>
      <w:r w:rsidRPr="00AF527B">
        <w:t>A</w:t>
      </w:r>
      <w:r w:rsidR="00752D39" w:rsidRPr="00AF527B">
        <w:t>rticle</w:t>
      </w:r>
      <w:r w:rsidR="00AF527B">
        <w:t> </w:t>
      </w:r>
      <w:r w:rsidR="00752D39" w:rsidRPr="00AF527B">
        <w:t>2</w:t>
      </w:r>
      <w:r w:rsidR="00752D39" w:rsidRPr="00AF527B">
        <w:br/>
        <w:t>Definitions</w:t>
      </w:r>
    </w:p>
    <w:p w:rsidR="72174531" w:rsidRPr="004049F9" w:rsidRDefault="7D0B0BCE" w:rsidP="004049F9">
      <w:pPr>
        <w:ind w:left="851"/>
      </w:pPr>
      <w:r>
        <w:t xml:space="preserve">For the purposes of this Implementing Regulation, the </w:t>
      </w:r>
      <w:r w:rsidR="00C83DF6">
        <w:t xml:space="preserve">following </w:t>
      </w:r>
      <w:r>
        <w:t xml:space="preserve">definitions </w:t>
      </w:r>
      <w:r w:rsidR="00C83DF6">
        <w:t>shall</w:t>
      </w:r>
      <w:r>
        <w:t xml:space="preserve"> apply</w:t>
      </w:r>
      <w:r w:rsidR="00B3001F">
        <w:t>:</w:t>
      </w:r>
    </w:p>
    <w:p w:rsidR="003C37CA" w:rsidRDefault="00226082" w:rsidP="006002EC">
      <w:pPr>
        <w:pStyle w:val="Point0number"/>
        <w:numPr>
          <w:ilvl w:val="0"/>
          <w:numId w:val="5"/>
        </w:numPr>
      </w:pPr>
      <w:r>
        <w:t>T</w:t>
      </w:r>
      <w:r w:rsidR="00854FB0" w:rsidRPr="00854FB0">
        <w:t>he definitions set out in Article 2 of Directive (EU) 2019/1024</w:t>
      </w:r>
      <w:r w:rsidR="00373434">
        <w:t xml:space="preserve"> shall </w:t>
      </w:r>
      <w:r w:rsidR="003C37CA">
        <w:t>apply</w:t>
      </w:r>
      <w:r w:rsidR="00B3001F">
        <w:t>.</w:t>
      </w:r>
    </w:p>
    <w:p w:rsidR="00752D39" w:rsidRPr="00AF527B" w:rsidRDefault="00B854DD" w:rsidP="006002EC">
      <w:pPr>
        <w:pStyle w:val="Point0number"/>
        <w:numPr>
          <w:ilvl w:val="0"/>
          <w:numId w:val="5"/>
        </w:numPr>
      </w:pPr>
      <w:r>
        <w:t>The definitions set out f</w:t>
      </w:r>
      <w:r w:rsidR="7D0B0BCE" w:rsidRPr="00AF527B">
        <w:t xml:space="preserve">or datasets in the geospatial, earth observation and </w:t>
      </w:r>
      <w:r w:rsidR="7D0B0BCE">
        <w:t>environment</w:t>
      </w:r>
      <w:r w:rsidR="633B40D7">
        <w:t xml:space="preserve"> categories</w:t>
      </w:r>
      <w:r w:rsidR="7D0B0BCE" w:rsidRPr="00AF527B">
        <w:t xml:space="preserve"> in Directive 2007/2/EC</w:t>
      </w:r>
      <w:r w:rsidR="00176BA1">
        <w:t xml:space="preserve"> shall apply</w:t>
      </w:r>
      <w:r w:rsidR="7D0B0BCE" w:rsidRPr="00AF527B">
        <w:t>.</w:t>
      </w:r>
    </w:p>
    <w:p w:rsidR="00752D39" w:rsidRPr="00AF527B" w:rsidRDefault="0060663E" w:rsidP="00EF5AEB">
      <w:pPr>
        <w:pStyle w:val="Point0number"/>
      </w:pPr>
      <w:r>
        <w:t>The definitions set out f</w:t>
      </w:r>
      <w:r w:rsidR="7D0B0BCE" w:rsidRPr="00AF527B">
        <w:t xml:space="preserve">or datasets in the </w:t>
      </w:r>
      <w:r w:rsidR="02ED7011">
        <w:t xml:space="preserve">mobility </w:t>
      </w:r>
      <w:r w:rsidR="7D0B0BCE" w:rsidRPr="00AF527B">
        <w:t>category</w:t>
      </w:r>
      <w:r w:rsidR="005E2C19">
        <w:t xml:space="preserve"> </w:t>
      </w:r>
      <w:r w:rsidR="633B40D7">
        <w:t xml:space="preserve">under </w:t>
      </w:r>
      <w:r w:rsidR="7D0B0BCE" w:rsidRPr="00AF527B">
        <w:t>Directive 2007/2/EC and Directive 2005/44/EC shall apply.</w:t>
      </w:r>
    </w:p>
    <w:p w:rsidR="00E70678" w:rsidRPr="00AF527B" w:rsidRDefault="00E70678" w:rsidP="006002EC">
      <w:pPr>
        <w:pStyle w:val="Point0number"/>
        <w:numPr>
          <w:ilvl w:val="0"/>
          <w:numId w:val="5"/>
        </w:numPr>
      </w:pPr>
      <w:r>
        <w:t>‘key attribute’ means</w:t>
      </w:r>
      <w:r w:rsidR="0015461D">
        <w:t xml:space="preserve"> </w:t>
      </w:r>
      <w:r w:rsidR="0015461D" w:rsidRPr="00982F87">
        <w:t>a characteristic of an object or an entity</w:t>
      </w:r>
      <w:r>
        <w:t xml:space="preserve"> </w:t>
      </w:r>
      <w:r w:rsidR="0015461D" w:rsidRPr="00982F87">
        <w:t xml:space="preserve">in </w:t>
      </w:r>
      <w:r>
        <w:t>a dataset, such as a national identification code or name;</w:t>
      </w:r>
    </w:p>
    <w:p w:rsidR="00E70678" w:rsidRPr="00AF527B" w:rsidRDefault="00E70678" w:rsidP="006002EC">
      <w:pPr>
        <w:pStyle w:val="Point0number"/>
        <w:numPr>
          <w:ilvl w:val="0"/>
          <w:numId w:val="5"/>
        </w:numPr>
      </w:pPr>
      <w:r w:rsidRPr="00982F87">
        <w:t>‘granularity’ means the level of detail of the dataset;</w:t>
      </w:r>
    </w:p>
    <w:p w:rsidR="00E70678" w:rsidRPr="00AF527B" w:rsidRDefault="00E70678" w:rsidP="006002EC">
      <w:pPr>
        <w:pStyle w:val="Point0number"/>
        <w:numPr>
          <w:ilvl w:val="0"/>
          <w:numId w:val="5"/>
        </w:numPr>
      </w:pPr>
      <w:r>
        <w:t>‘application programming interface (API)’ means a set of functions, procedures, definitions and protocols for machine-to-machine communication and the seamless exchange of data</w:t>
      </w:r>
      <w:r w:rsidR="005E2C19">
        <w:t>.</w:t>
      </w:r>
    </w:p>
    <w:p w:rsidR="00E70678" w:rsidRPr="00AF527B" w:rsidRDefault="00E70678" w:rsidP="00E70678">
      <w:pPr>
        <w:pStyle w:val="Titrearticle"/>
      </w:pPr>
      <w:r>
        <w:t>Article</w:t>
      </w:r>
      <w:r w:rsidR="00AF527B">
        <w:t> </w:t>
      </w:r>
      <w:r w:rsidR="0051705A">
        <w:t>3</w:t>
      </w:r>
      <w:r>
        <w:br/>
        <w:t>Arrangements for publication applicable to all categories of high-value datasets</w:t>
      </w:r>
    </w:p>
    <w:p w:rsidR="00E70678" w:rsidRPr="00AF527B" w:rsidRDefault="00E70678" w:rsidP="006002EC">
      <w:pPr>
        <w:pStyle w:val="Point0number"/>
        <w:numPr>
          <w:ilvl w:val="0"/>
          <w:numId w:val="6"/>
        </w:numPr>
      </w:pPr>
      <w:r>
        <w:t xml:space="preserve">Public sector bodies holding high-value datasets listed in the Annex shall ensure that the datasets described or referenced in the Annex are </w:t>
      </w:r>
      <w:r w:rsidR="007647E6">
        <w:t xml:space="preserve">made available </w:t>
      </w:r>
      <w:r w:rsidR="009B49FC">
        <w:t>in machine-readable formats</w:t>
      </w:r>
      <w:r w:rsidR="0044268D">
        <w:t xml:space="preserve"> </w:t>
      </w:r>
      <w:r w:rsidR="00747B2E">
        <w:t xml:space="preserve">via </w:t>
      </w:r>
      <w:r>
        <w:t xml:space="preserve">APIs. Where indicated in the Annex, the datasets shall also be made available as </w:t>
      </w:r>
      <w:r w:rsidR="0044268D">
        <w:t xml:space="preserve">a </w:t>
      </w:r>
      <w:r>
        <w:t>bulk download.</w:t>
      </w:r>
    </w:p>
    <w:p w:rsidR="0051705A" w:rsidRPr="00AF527B" w:rsidRDefault="0051705A" w:rsidP="006002EC">
      <w:pPr>
        <w:pStyle w:val="Point0number"/>
        <w:numPr>
          <w:ilvl w:val="0"/>
          <w:numId w:val="6"/>
        </w:numPr>
      </w:pPr>
      <w:r>
        <w:t xml:space="preserve">Those public sector bodies referred to in paragraph 1 shall </w:t>
      </w:r>
      <w:r w:rsidR="00A901E6">
        <w:t xml:space="preserve">set out </w:t>
      </w:r>
      <w:r>
        <w:t xml:space="preserve">and publish the terms of use of the API and the quality of service criteria </w:t>
      </w:r>
      <w:r w:rsidR="002F28A8">
        <w:t>on</w:t>
      </w:r>
      <w:r>
        <w:t xml:space="preserve"> its performance, capacity and availability. The terms of use shall be </w:t>
      </w:r>
      <w:r w:rsidR="0022510B">
        <w:t xml:space="preserve">available </w:t>
      </w:r>
      <w:r>
        <w:t xml:space="preserve">in a </w:t>
      </w:r>
      <w:r w:rsidR="007647E6">
        <w:t xml:space="preserve">human-readable and </w:t>
      </w:r>
      <w:r>
        <w:t>machine-readable format</w:t>
      </w:r>
      <w:r w:rsidR="009B4979">
        <w:t>.</w:t>
      </w:r>
      <w:r w:rsidR="0022510B">
        <w:t xml:space="preserve"> </w:t>
      </w:r>
      <w:r>
        <w:t xml:space="preserve">Both the terms of use and the quality of service criteria shall be compatible with the </w:t>
      </w:r>
      <w:r w:rsidR="001C1D7D">
        <w:t>arrangements</w:t>
      </w:r>
      <w:r>
        <w:t xml:space="preserve"> for the reuse of high-value datasets laid down in Article</w:t>
      </w:r>
      <w:r w:rsidR="00AF527B">
        <w:t> </w:t>
      </w:r>
      <w:r>
        <w:t>4.</w:t>
      </w:r>
    </w:p>
    <w:p w:rsidR="0051705A" w:rsidRPr="00AF527B" w:rsidRDefault="0051705A" w:rsidP="006002EC">
      <w:pPr>
        <w:pStyle w:val="Point0number"/>
        <w:numPr>
          <w:ilvl w:val="0"/>
          <w:numId w:val="6"/>
        </w:numPr>
      </w:pPr>
      <w:r w:rsidRPr="00AF527B">
        <w:t>API terms of use shall be accompanied by API documentation in a</w:t>
      </w:r>
      <w:r w:rsidR="00A35BB3">
        <w:t xml:space="preserve"> Union or internationally recognised</w:t>
      </w:r>
      <w:r w:rsidRPr="00AF527B">
        <w:t xml:space="preserve"> open</w:t>
      </w:r>
      <w:r w:rsidR="00A35BB3">
        <w:t xml:space="preserve">, </w:t>
      </w:r>
      <w:r w:rsidR="007647E6">
        <w:t xml:space="preserve">human-readable and </w:t>
      </w:r>
      <w:r w:rsidRPr="00AF527B">
        <w:t>machine-readable format.</w:t>
      </w:r>
    </w:p>
    <w:p w:rsidR="00C01F54" w:rsidRDefault="0051705A" w:rsidP="006002EC">
      <w:pPr>
        <w:pStyle w:val="Point0number"/>
        <w:numPr>
          <w:ilvl w:val="0"/>
          <w:numId w:val="6"/>
        </w:numPr>
      </w:pPr>
      <w:r w:rsidRPr="00AF527B">
        <w:t xml:space="preserve">Public sector bodies referred to in paragraph 1 shall designate a point of contact for </w:t>
      </w:r>
      <w:r w:rsidR="00DA30A8">
        <w:t xml:space="preserve">questions and issues related to </w:t>
      </w:r>
      <w:r w:rsidRPr="00AF527B">
        <w:t xml:space="preserve">the API </w:t>
      </w:r>
      <w:r w:rsidR="00AF6EDF">
        <w:t xml:space="preserve">with a view </w:t>
      </w:r>
      <w:r w:rsidR="00FC5927">
        <w:t xml:space="preserve">to </w:t>
      </w:r>
      <w:r w:rsidRPr="00AF527B">
        <w:t>ensur</w:t>
      </w:r>
      <w:r w:rsidR="00FC5927">
        <w:t>e</w:t>
      </w:r>
      <w:r w:rsidRPr="00AF527B">
        <w:t xml:space="preserve"> the availability and maintenance of the API</w:t>
      </w:r>
      <w:r w:rsidR="00FA1E08" w:rsidRPr="00FA1E08">
        <w:t xml:space="preserve"> and ultimately the smooth and effective publication of the high-value datasets</w:t>
      </w:r>
      <w:r w:rsidRPr="00AF527B">
        <w:t>.</w:t>
      </w:r>
    </w:p>
    <w:p w:rsidR="0091032D" w:rsidRPr="00AF527B" w:rsidRDefault="43278ED9" w:rsidP="006002EC">
      <w:pPr>
        <w:pStyle w:val="Point0number"/>
        <w:numPr>
          <w:ilvl w:val="0"/>
          <w:numId w:val="6"/>
        </w:numPr>
      </w:pPr>
      <w:r w:rsidRPr="5861CDC6">
        <w:rPr>
          <w:lang w:val="en-IE"/>
        </w:rPr>
        <w:t>Public sector bodies holding high-value datasets listed in the Annex shall ensure that the datasets are denoted as high-value datasets in their metadata description.</w:t>
      </w:r>
    </w:p>
    <w:p w:rsidR="00E05590" w:rsidRPr="00AF527B" w:rsidRDefault="00E05590" w:rsidP="00E05590">
      <w:pPr>
        <w:pStyle w:val="Titrearticle"/>
      </w:pPr>
      <w:r w:rsidRPr="00AF527B">
        <w:t>Article</w:t>
      </w:r>
      <w:r w:rsidR="00AF527B">
        <w:t> </w:t>
      </w:r>
      <w:r w:rsidRPr="00AF527B">
        <w:t>4</w:t>
      </w:r>
      <w:r w:rsidRPr="00AF527B">
        <w:br/>
        <w:t>Arrangements for reuse applicable to all categories of high-value datasets</w:t>
      </w:r>
    </w:p>
    <w:p w:rsidR="00661917" w:rsidRPr="00AF527B" w:rsidRDefault="00053D3E" w:rsidP="006002EC">
      <w:pPr>
        <w:pStyle w:val="Point0number"/>
        <w:numPr>
          <w:ilvl w:val="0"/>
          <w:numId w:val="14"/>
        </w:numPr>
        <w:rPr>
          <w:rFonts w:eastAsia="Times New Roman"/>
          <w:lang w:eastAsia="fr-BE"/>
        </w:rPr>
      </w:pPr>
      <w:r w:rsidRPr="00982F87">
        <w:rPr>
          <w:rFonts w:eastAsia="Times New Roman"/>
          <w:lang w:eastAsia="fr-BE"/>
        </w:rPr>
        <w:t xml:space="preserve">A decision by a Member State </w:t>
      </w:r>
      <w:r w:rsidR="00661917" w:rsidRPr="00982F87">
        <w:rPr>
          <w:rFonts w:eastAsia="Times New Roman"/>
          <w:lang w:eastAsia="fr-BE"/>
        </w:rPr>
        <w:t xml:space="preserve"> to grant an exemption </w:t>
      </w:r>
      <w:r w:rsidR="000C3CA6" w:rsidRPr="00982F87">
        <w:rPr>
          <w:rFonts w:eastAsia="Times New Roman"/>
          <w:lang w:eastAsia="fr-BE"/>
        </w:rPr>
        <w:t>in accordance with Article 14(5) of Directive (EU) 2019/1024</w:t>
      </w:r>
      <w:r w:rsidR="00661917" w:rsidRPr="00982F87">
        <w:rPr>
          <w:rFonts w:eastAsia="Times New Roman"/>
          <w:lang w:eastAsia="fr-BE"/>
        </w:rPr>
        <w:t xml:space="preserve"> shall be </w:t>
      </w:r>
      <w:r w:rsidR="0022510B" w:rsidRPr="00982F87">
        <w:rPr>
          <w:rFonts w:eastAsia="Times New Roman"/>
          <w:lang w:eastAsia="fr-BE"/>
        </w:rPr>
        <w:t>published</w:t>
      </w:r>
      <w:r w:rsidR="00661917" w:rsidRPr="00982F87">
        <w:rPr>
          <w:rFonts w:eastAsia="Times New Roman"/>
          <w:lang w:eastAsia="fr-BE"/>
        </w:rPr>
        <w:t xml:space="preserve"> online immediately upon </w:t>
      </w:r>
      <w:r w:rsidR="0022510B" w:rsidRPr="00982F87">
        <w:rPr>
          <w:rFonts w:eastAsia="Times New Roman"/>
          <w:lang w:eastAsia="fr-BE"/>
        </w:rPr>
        <w:t xml:space="preserve">its </w:t>
      </w:r>
      <w:r w:rsidR="00661917" w:rsidRPr="00982F87">
        <w:rPr>
          <w:rFonts w:eastAsia="Times New Roman"/>
          <w:lang w:eastAsia="fr-BE"/>
        </w:rPr>
        <w:t>adoption, in the same way as the list of public sector bodies referred to in Article</w:t>
      </w:r>
      <w:r w:rsidR="00AF527B" w:rsidRPr="00982F87">
        <w:rPr>
          <w:rFonts w:eastAsia="Times New Roman"/>
          <w:lang w:eastAsia="fr-BE"/>
        </w:rPr>
        <w:t> </w:t>
      </w:r>
      <w:r w:rsidR="00661917" w:rsidRPr="00982F87">
        <w:rPr>
          <w:rFonts w:eastAsia="Times New Roman"/>
          <w:lang w:eastAsia="fr-BE"/>
        </w:rPr>
        <w:t>6(3) of Directive (EU) 2019/1024.</w:t>
      </w:r>
    </w:p>
    <w:p w:rsidR="00661917" w:rsidRPr="009B49FC" w:rsidRDefault="0022510B" w:rsidP="006002EC">
      <w:pPr>
        <w:pStyle w:val="Point0number"/>
        <w:numPr>
          <w:ilvl w:val="0"/>
          <w:numId w:val="14"/>
        </w:numPr>
        <w:rPr>
          <w:rFonts w:eastAsia="Times New Roman"/>
          <w:lang w:eastAsia="fr-BE"/>
        </w:rPr>
      </w:pPr>
      <w:r w:rsidRPr="009B49FC">
        <w:rPr>
          <w:rFonts w:eastAsia="Times New Roman"/>
          <w:lang w:eastAsia="fr-BE"/>
        </w:rPr>
        <w:t xml:space="preserve">To </w:t>
      </w:r>
      <w:r w:rsidR="00661917" w:rsidRPr="009B49FC">
        <w:rPr>
          <w:rFonts w:eastAsia="Times New Roman"/>
          <w:lang w:eastAsia="fr-BE"/>
        </w:rPr>
        <w:t>facilitat</w:t>
      </w:r>
      <w:r w:rsidRPr="009B49FC">
        <w:rPr>
          <w:rFonts w:eastAsia="Times New Roman"/>
          <w:lang w:eastAsia="fr-BE"/>
        </w:rPr>
        <w:t>e</w:t>
      </w:r>
      <w:r w:rsidR="00661917" w:rsidRPr="009B49FC">
        <w:rPr>
          <w:rFonts w:eastAsia="Times New Roman"/>
          <w:lang w:eastAsia="fr-BE"/>
        </w:rPr>
        <w:t xml:space="preserve"> the availability of datasets </w:t>
      </w:r>
      <w:r w:rsidR="00462A7F" w:rsidRPr="009B49FC">
        <w:rPr>
          <w:rFonts w:eastAsia="Times New Roman"/>
          <w:lang w:eastAsia="fr-BE"/>
        </w:rPr>
        <w:t>for re-use covering</w:t>
      </w:r>
      <w:r w:rsidR="00661917" w:rsidRPr="009B49FC">
        <w:rPr>
          <w:rFonts w:eastAsia="Times New Roman"/>
          <w:lang w:eastAsia="fr-BE"/>
        </w:rPr>
        <w:t xml:space="preserve"> longer periods</w:t>
      </w:r>
      <w:r w:rsidRPr="009B49FC">
        <w:rPr>
          <w:rFonts w:eastAsia="Times New Roman"/>
          <w:lang w:eastAsia="fr-BE"/>
        </w:rPr>
        <w:t xml:space="preserve"> of time</w:t>
      </w:r>
      <w:r w:rsidR="00661917" w:rsidRPr="009B49FC">
        <w:rPr>
          <w:rFonts w:eastAsia="Times New Roman"/>
          <w:lang w:eastAsia="fr-BE"/>
        </w:rPr>
        <w:t xml:space="preserve">, the obligations imposed </w:t>
      </w:r>
      <w:r w:rsidRPr="009B49FC">
        <w:rPr>
          <w:rFonts w:eastAsia="Times New Roman"/>
          <w:lang w:eastAsia="fr-BE"/>
        </w:rPr>
        <w:t xml:space="preserve">under </w:t>
      </w:r>
      <w:r w:rsidR="00661917" w:rsidRPr="009B49FC">
        <w:rPr>
          <w:rFonts w:eastAsia="Times New Roman"/>
          <w:lang w:eastAsia="fr-BE"/>
        </w:rPr>
        <w:t xml:space="preserve">this Regulation shall </w:t>
      </w:r>
      <w:r w:rsidRPr="009B49FC">
        <w:rPr>
          <w:rFonts w:eastAsia="Times New Roman"/>
          <w:lang w:eastAsia="fr-BE"/>
        </w:rPr>
        <w:t xml:space="preserve">also </w:t>
      </w:r>
      <w:r w:rsidR="00661917" w:rsidRPr="009B49FC">
        <w:rPr>
          <w:rFonts w:eastAsia="Times New Roman"/>
          <w:lang w:eastAsia="fr-BE"/>
        </w:rPr>
        <w:t>apply to existing high-value datasets created before the date of application of this Regulation.</w:t>
      </w:r>
    </w:p>
    <w:p w:rsidR="00661917" w:rsidRPr="00AF527B" w:rsidRDefault="00661917" w:rsidP="006002EC">
      <w:pPr>
        <w:pStyle w:val="Point0number"/>
        <w:numPr>
          <w:ilvl w:val="0"/>
          <w:numId w:val="14"/>
        </w:numPr>
        <w:rPr>
          <w:rFonts w:eastAsia="Times New Roman"/>
          <w:lang w:eastAsia="fr-BE"/>
        </w:rPr>
      </w:pPr>
      <w:r w:rsidRPr="5861CDC6">
        <w:rPr>
          <w:rFonts w:eastAsia="Times New Roman"/>
          <w:lang w:eastAsia="fr-BE"/>
        </w:rPr>
        <w:t>High-value datasets shall be made available for reuse under the conditions of the Creative Commons BY 4.0 licence</w:t>
      </w:r>
      <w:r w:rsidR="009C6383" w:rsidRPr="5861CDC6">
        <w:rPr>
          <w:rFonts w:eastAsia="Times New Roman"/>
          <w:lang w:eastAsia="fr-BE"/>
        </w:rPr>
        <w:t>,</w:t>
      </w:r>
      <w:r w:rsidRPr="5861CDC6">
        <w:rPr>
          <w:rFonts w:eastAsia="Times New Roman"/>
          <w:lang w:eastAsia="fr-BE"/>
        </w:rPr>
        <w:t xml:space="preserve"> the Creative Commons Public Domain Dedication (CC0) </w:t>
      </w:r>
      <w:r w:rsidR="000F06D7" w:rsidRPr="5861CDC6">
        <w:rPr>
          <w:rFonts w:eastAsia="Times New Roman"/>
          <w:lang w:eastAsia="fr-BE"/>
        </w:rPr>
        <w:t>licen</w:t>
      </w:r>
      <w:r w:rsidR="004F657C" w:rsidRPr="5861CDC6">
        <w:rPr>
          <w:rFonts w:eastAsia="Times New Roman"/>
          <w:lang w:eastAsia="fr-BE"/>
        </w:rPr>
        <w:t>c</w:t>
      </w:r>
      <w:r w:rsidR="000F06D7" w:rsidRPr="5861CDC6">
        <w:rPr>
          <w:rFonts w:eastAsia="Times New Roman"/>
          <w:lang w:eastAsia="fr-BE"/>
        </w:rPr>
        <w:t xml:space="preserve">e </w:t>
      </w:r>
      <w:r w:rsidRPr="5861CDC6">
        <w:rPr>
          <w:rFonts w:eastAsia="Times New Roman"/>
          <w:lang w:eastAsia="fr-BE"/>
        </w:rPr>
        <w:t xml:space="preserve">or any equivalent </w:t>
      </w:r>
      <w:r w:rsidR="008F2B83" w:rsidRPr="5861CDC6">
        <w:rPr>
          <w:rFonts w:eastAsia="Times New Roman"/>
          <w:lang w:eastAsia="fr-BE"/>
        </w:rPr>
        <w:t xml:space="preserve">or less restrictive open </w:t>
      </w:r>
      <w:r w:rsidRPr="5861CDC6">
        <w:rPr>
          <w:rFonts w:eastAsia="Times New Roman"/>
          <w:lang w:eastAsia="fr-BE"/>
        </w:rPr>
        <w:t xml:space="preserve">licence, as </w:t>
      </w:r>
      <w:r w:rsidR="00A0490C">
        <w:rPr>
          <w:rFonts w:eastAsia="Times New Roman"/>
          <w:lang w:eastAsia="fr-BE"/>
        </w:rPr>
        <w:t>set out</w:t>
      </w:r>
      <w:r w:rsidR="00A0490C" w:rsidRPr="5861CDC6">
        <w:rPr>
          <w:rFonts w:eastAsia="Times New Roman"/>
          <w:lang w:eastAsia="fr-BE"/>
        </w:rPr>
        <w:t xml:space="preserve"> </w:t>
      </w:r>
      <w:r w:rsidRPr="5861CDC6">
        <w:rPr>
          <w:rFonts w:eastAsia="Times New Roman"/>
          <w:lang w:eastAsia="fr-BE"/>
        </w:rPr>
        <w:t>in the Annex</w:t>
      </w:r>
      <w:r w:rsidR="004F657C" w:rsidRPr="5861CDC6">
        <w:rPr>
          <w:rFonts w:eastAsia="Times New Roman"/>
          <w:lang w:eastAsia="fr-BE"/>
        </w:rPr>
        <w:t xml:space="preserve">, </w:t>
      </w:r>
      <w:r w:rsidR="00BC56A3" w:rsidRPr="5861CDC6">
        <w:rPr>
          <w:rFonts w:eastAsia="Times New Roman"/>
          <w:lang w:eastAsia="fr-BE"/>
        </w:rPr>
        <w:t>allowing for unrestricted re-use except for the requirement of attribution</w:t>
      </w:r>
      <w:r w:rsidR="00EC6A4A">
        <w:rPr>
          <w:rFonts w:eastAsia="Times New Roman"/>
          <w:lang w:eastAsia="fr-BE"/>
        </w:rPr>
        <w:t>, giving the credit to the licensor</w:t>
      </w:r>
      <w:r w:rsidRPr="5861CDC6">
        <w:rPr>
          <w:rFonts w:eastAsia="Times New Roman"/>
          <w:lang w:eastAsia="fr-BE"/>
        </w:rPr>
        <w:t>.</w:t>
      </w:r>
    </w:p>
    <w:p w:rsidR="00661917" w:rsidRPr="00AF527B" w:rsidRDefault="0056664A" w:rsidP="006002EC">
      <w:pPr>
        <w:pStyle w:val="Point0number"/>
        <w:numPr>
          <w:ilvl w:val="0"/>
          <w:numId w:val="14"/>
        </w:numPr>
        <w:rPr>
          <w:lang w:eastAsia="fr-BE"/>
        </w:rPr>
      </w:pPr>
      <w:r>
        <w:rPr>
          <w:rFonts w:eastAsia="Times New Roman"/>
          <w:lang w:eastAsia="fr-BE"/>
        </w:rPr>
        <w:t>Public sector bodies holding high-value datasets listed in the Annex may impose additional conditions on t</w:t>
      </w:r>
      <w:r w:rsidR="00661917" w:rsidRPr="7C074E50">
        <w:rPr>
          <w:rFonts w:eastAsia="Times New Roman"/>
          <w:lang w:eastAsia="fr-BE"/>
        </w:rPr>
        <w:t>he re</w:t>
      </w:r>
      <w:r w:rsidR="00AE77AB">
        <w:rPr>
          <w:rFonts w:eastAsia="Times New Roman"/>
          <w:lang w:eastAsia="fr-BE"/>
        </w:rPr>
        <w:t>-</w:t>
      </w:r>
      <w:r w:rsidR="00661917" w:rsidRPr="7C074E50">
        <w:rPr>
          <w:rFonts w:eastAsia="Times New Roman"/>
          <w:lang w:eastAsia="fr-BE"/>
        </w:rPr>
        <w:t>use of personal data in the scope of the specific high-value datasets</w:t>
      </w:r>
      <w:r>
        <w:rPr>
          <w:rFonts w:eastAsia="Times New Roman"/>
          <w:lang w:eastAsia="fr-BE"/>
        </w:rPr>
        <w:t xml:space="preserve"> </w:t>
      </w:r>
      <w:r w:rsidR="006C5CE9">
        <w:rPr>
          <w:rFonts w:eastAsia="Times New Roman"/>
          <w:lang w:eastAsia="fr-BE"/>
        </w:rPr>
        <w:t>that</w:t>
      </w:r>
      <w:r w:rsidR="00661917" w:rsidRPr="7C074E50">
        <w:rPr>
          <w:rFonts w:eastAsia="Times New Roman"/>
          <w:lang w:eastAsia="fr-BE"/>
        </w:rPr>
        <w:t xml:space="preserve"> shall restrict the possibilities for reus</w:t>
      </w:r>
      <w:r w:rsidR="009C6383" w:rsidRPr="7C074E50">
        <w:rPr>
          <w:rFonts w:eastAsia="Times New Roman"/>
          <w:lang w:eastAsia="fr-BE"/>
        </w:rPr>
        <w:t>ing</w:t>
      </w:r>
      <w:r w:rsidR="00661917" w:rsidRPr="7C074E50">
        <w:rPr>
          <w:rFonts w:eastAsia="Times New Roman"/>
          <w:lang w:eastAsia="fr-BE"/>
        </w:rPr>
        <w:t xml:space="preserve"> personal data </w:t>
      </w:r>
      <w:r w:rsidR="000F24FA" w:rsidRPr="7C074E50">
        <w:rPr>
          <w:rFonts w:eastAsia="Times New Roman"/>
          <w:lang w:eastAsia="fr-BE"/>
        </w:rPr>
        <w:t xml:space="preserve">only to </w:t>
      </w:r>
      <w:r w:rsidR="00661917" w:rsidRPr="7C074E50">
        <w:rPr>
          <w:rFonts w:eastAsia="Times New Roman"/>
          <w:lang w:eastAsia="fr-BE"/>
        </w:rPr>
        <w:t>the extent necessary to ensure the protection of individuals with regard to the processing of personal data.</w:t>
      </w:r>
    </w:p>
    <w:p w:rsidR="00661917" w:rsidRPr="00AF527B" w:rsidRDefault="00661917" w:rsidP="006002EC">
      <w:pPr>
        <w:pStyle w:val="Point0number"/>
        <w:numPr>
          <w:ilvl w:val="0"/>
          <w:numId w:val="14"/>
        </w:numPr>
        <w:rPr>
          <w:rFonts w:eastAsia="Times New Roman"/>
          <w:lang w:eastAsia="fr-BE"/>
        </w:rPr>
      </w:pPr>
      <w:r w:rsidRPr="2E741693">
        <w:rPr>
          <w:rFonts w:eastAsia="Times New Roman"/>
          <w:lang w:eastAsia="fr-BE"/>
        </w:rPr>
        <w:t>High-value datasets shall be made available in accordance with the arrangements for the publication and reuse as s</w:t>
      </w:r>
      <w:r w:rsidR="00D12489" w:rsidRPr="2E741693">
        <w:rPr>
          <w:rFonts w:eastAsia="Times New Roman"/>
          <w:lang w:eastAsia="fr-BE"/>
        </w:rPr>
        <w:t>et out</w:t>
      </w:r>
      <w:r w:rsidRPr="2E741693">
        <w:rPr>
          <w:rFonts w:eastAsia="Times New Roman"/>
          <w:lang w:eastAsia="fr-BE"/>
        </w:rPr>
        <w:t xml:space="preserve"> in the Annex.</w:t>
      </w:r>
    </w:p>
    <w:p w:rsidR="00661917" w:rsidRPr="00AF527B" w:rsidRDefault="00661917" w:rsidP="00661917">
      <w:pPr>
        <w:pStyle w:val="Titrearticle"/>
      </w:pPr>
      <w:r w:rsidRPr="00AF527B">
        <w:t>Article</w:t>
      </w:r>
      <w:r w:rsidR="00AF527B">
        <w:t> </w:t>
      </w:r>
      <w:r w:rsidRPr="00AF527B">
        <w:t>5</w:t>
      </w:r>
      <w:r w:rsidRPr="00AF527B">
        <w:br/>
        <w:t>Reporting</w:t>
      </w:r>
    </w:p>
    <w:p w:rsidR="00661917" w:rsidRPr="00AF527B" w:rsidRDefault="00661917" w:rsidP="006002EC">
      <w:pPr>
        <w:pStyle w:val="Point0number"/>
        <w:numPr>
          <w:ilvl w:val="0"/>
          <w:numId w:val="7"/>
        </w:numPr>
        <w:rPr>
          <w:rFonts w:eastAsia="Times New Roman"/>
          <w:lang w:eastAsia="fr-BE"/>
        </w:rPr>
      </w:pPr>
      <w:r w:rsidRPr="5861CDC6">
        <w:rPr>
          <w:rFonts w:eastAsia="Times New Roman"/>
          <w:lang w:eastAsia="fr-BE"/>
        </w:rPr>
        <w:t xml:space="preserve">By </w:t>
      </w:r>
      <w:r w:rsidR="0043277A">
        <w:rPr>
          <w:rFonts w:eastAsia="Times New Roman"/>
          <w:lang w:eastAsia="fr-BE"/>
        </w:rPr>
        <w:t>2 years</w:t>
      </w:r>
      <w:r w:rsidR="00EE3841">
        <w:rPr>
          <w:rFonts w:eastAsia="Times New Roman"/>
          <w:lang w:eastAsia="fr-BE"/>
        </w:rPr>
        <w:t xml:space="preserve"> after entry into force of this Implementing Regulation</w:t>
      </w:r>
      <w:r w:rsidR="0043277A">
        <w:rPr>
          <w:rFonts w:eastAsia="Times New Roman"/>
          <w:lang w:eastAsia="fr-BE"/>
        </w:rPr>
        <w:t xml:space="preserve"> </w:t>
      </w:r>
      <w:r w:rsidRPr="5861CDC6">
        <w:rPr>
          <w:rFonts w:eastAsia="Times New Roman"/>
          <w:lang w:eastAsia="fr-BE"/>
        </w:rPr>
        <w:t xml:space="preserve">Member States shall provide the Commission with a report on the measures </w:t>
      </w:r>
      <w:r w:rsidR="009C6383" w:rsidRPr="5861CDC6">
        <w:rPr>
          <w:rFonts w:eastAsia="Times New Roman"/>
          <w:lang w:eastAsia="fr-BE"/>
        </w:rPr>
        <w:t xml:space="preserve">they have </w:t>
      </w:r>
      <w:r w:rsidR="0022510B" w:rsidRPr="5861CDC6">
        <w:rPr>
          <w:rFonts w:eastAsia="Times New Roman"/>
          <w:lang w:eastAsia="fr-BE"/>
        </w:rPr>
        <w:t>carried out to</w:t>
      </w:r>
      <w:r w:rsidRPr="5861CDC6">
        <w:rPr>
          <w:rFonts w:eastAsia="Times New Roman"/>
          <w:lang w:eastAsia="fr-BE"/>
        </w:rPr>
        <w:t xml:space="preserve"> implement this </w:t>
      </w:r>
      <w:r w:rsidR="00D66951" w:rsidRPr="5861CDC6">
        <w:rPr>
          <w:rFonts w:eastAsia="Times New Roman"/>
          <w:lang w:eastAsia="fr-BE"/>
        </w:rPr>
        <w:t xml:space="preserve">Implementing </w:t>
      </w:r>
      <w:r w:rsidRPr="5861CDC6">
        <w:rPr>
          <w:rFonts w:eastAsia="Times New Roman"/>
          <w:lang w:eastAsia="fr-BE"/>
        </w:rPr>
        <w:t>Regulation.</w:t>
      </w:r>
      <w:r w:rsidR="00D8478F">
        <w:rPr>
          <w:rFonts w:eastAsia="Times New Roman"/>
          <w:lang w:eastAsia="fr-BE"/>
        </w:rPr>
        <w:t xml:space="preserve"> </w:t>
      </w:r>
    </w:p>
    <w:p w:rsidR="00661917" w:rsidRPr="00AF527B" w:rsidRDefault="00F037C9" w:rsidP="006002EC">
      <w:pPr>
        <w:pStyle w:val="Point0number"/>
        <w:numPr>
          <w:ilvl w:val="0"/>
          <w:numId w:val="7"/>
        </w:numPr>
        <w:rPr>
          <w:lang w:eastAsia="fr-BE"/>
        </w:rPr>
      </w:pPr>
      <w:r>
        <w:rPr>
          <w:rFonts w:eastAsia="Times New Roman"/>
          <w:lang w:eastAsia="fr-BE"/>
        </w:rPr>
        <w:t xml:space="preserve">Each </w:t>
      </w:r>
      <w:r w:rsidR="00661917" w:rsidRPr="7C074E50">
        <w:rPr>
          <w:rFonts w:eastAsia="Times New Roman"/>
          <w:lang w:eastAsia="fr-BE"/>
        </w:rPr>
        <w:t>Member State shall provide an updated version of the report upon the request of the Commission</w:t>
      </w:r>
      <w:r w:rsidR="00053715">
        <w:rPr>
          <w:rFonts w:eastAsia="Times New Roman"/>
          <w:lang w:eastAsia="fr-BE"/>
        </w:rPr>
        <w:t xml:space="preserve"> which should be made </w:t>
      </w:r>
      <w:r w:rsidR="00661917" w:rsidRPr="7C074E50">
        <w:rPr>
          <w:rFonts w:eastAsia="Times New Roman"/>
          <w:lang w:eastAsia="fr-BE"/>
        </w:rPr>
        <w:t xml:space="preserve">every </w:t>
      </w:r>
      <w:r w:rsidR="0022510B" w:rsidRPr="7C074E50">
        <w:rPr>
          <w:rFonts w:eastAsia="Times New Roman"/>
          <w:lang w:eastAsia="fr-BE"/>
        </w:rPr>
        <w:t xml:space="preserve">2 </w:t>
      </w:r>
      <w:r w:rsidR="00661917" w:rsidRPr="7C074E50">
        <w:rPr>
          <w:rFonts w:eastAsia="Times New Roman"/>
          <w:lang w:eastAsia="fr-BE"/>
        </w:rPr>
        <w:t>years.</w:t>
      </w:r>
    </w:p>
    <w:p w:rsidR="00661917" w:rsidRPr="00AF527B" w:rsidRDefault="00661917" w:rsidP="006002EC">
      <w:pPr>
        <w:pStyle w:val="Point0number"/>
        <w:numPr>
          <w:ilvl w:val="0"/>
          <w:numId w:val="7"/>
        </w:numPr>
      </w:pPr>
      <w:r w:rsidRPr="00AF527B">
        <w:rPr>
          <w:rFonts w:eastAsia="Times New Roman"/>
          <w:szCs w:val="24"/>
          <w:lang w:eastAsia="fr-BE"/>
        </w:rPr>
        <w:t>The report shall contain the following information:</w:t>
      </w:r>
    </w:p>
    <w:p w:rsidR="00661917" w:rsidRPr="00AF527B" w:rsidRDefault="00C928BB" w:rsidP="00661917">
      <w:pPr>
        <w:pStyle w:val="Point1letter"/>
      </w:pPr>
      <w:r>
        <w:t xml:space="preserve">a </w:t>
      </w:r>
      <w:r w:rsidR="00661917" w:rsidRPr="00AF527B">
        <w:t xml:space="preserve">list of specific datasets </w:t>
      </w:r>
      <w:r w:rsidR="009D638F">
        <w:t>at</w:t>
      </w:r>
      <w:r w:rsidR="009D638F" w:rsidRPr="00AF527B">
        <w:t xml:space="preserve"> </w:t>
      </w:r>
      <w:r w:rsidR="00661917" w:rsidRPr="00AF527B">
        <w:t xml:space="preserve">Member State level (and, where relevant, subnational level) corresponding to the description of each high-value dataset in the Annex to this Regulation </w:t>
      </w:r>
      <w:r w:rsidR="009D638F">
        <w:t xml:space="preserve">and </w:t>
      </w:r>
      <w:r w:rsidR="00661917" w:rsidRPr="00AF527B">
        <w:t>with online reference to metadata</w:t>
      </w:r>
      <w:r w:rsidR="00661917">
        <w:t xml:space="preserve"> that follow existing standards</w:t>
      </w:r>
      <w:r w:rsidR="00661917" w:rsidRPr="00AF527B">
        <w:t xml:space="preserve">, such as a single register or </w:t>
      </w:r>
      <w:r w:rsidR="00661917">
        <w:t xml:space="preserve">open data </w:t>
      </w:r>
      <w:r w:rsidR="00661917" w:rsidRPr="00AF527B">
        <w:t>catalogue;</w:t>
      </w:r>
    </w:p>
    <w:p w:rsidR="00661917" w:rsidRPr="00AF527B" w:rsidRDefault="007B65B4" w:rsidP="00661917">
      <w:pPr>
        <w:pStyle w:val="Point1letter"/>
      </w:pPr>
      <w:r>
        <w:rPr>
          <w:rFonts w:eastAsia="Times New Roman"/>
          <w:szCs w:val="24"/>
          <w:lang w:eastAsia="fr-BE"/>
        </w:rPr>
        <w:t xml:space="preserve">persistent </w:t>
      </w:r>
      <w:r w:rsidR="00354B20">
        <w:rPr>
          <w:rFonts w:eastAsia="Times New Roman"/>
          <w:szCs w:val="24"/>
          <w:lang w:eastAsia="fr-BE"/>
        </w:rPr>
        <w:t xml:space="preserve">link </w:t>
      </w:r>
      <w:r w:rsidR="00661917" w:rsidRPr="00AF527B">
        <w:rPr>
          <w:rFonts w:eastAsia="Times New Roman"/>
          <w:szCs w:val="24"/>
          <w:lang w:eastAsia="fr-BE"/>
        </w:rPr>
        <w:t>to the licensing conditions applicable to the reuse of high-value datasets listed in the Annex to this Regulation, per dataset referred to in point b);</w:t>
      </w:r>
    </w:p>
    <w:p w:rsidR="00661917" w:rsidRPr="00AF527B" w:rsidRDefault="007B65B4" w:rsidP="00661917">
      <w:pPr>
        <w:pStyle w:val="Point1letter"/>
        <w:rPr>
          <w:rFonts w:eastAsia="Times New Roman"/>
          <w:lang w:eastAsia="fr-BE"/>
        </w:rPr>
      </w:pPr>
      <w:r w:rsidRPr="2E741693">
        <w:rPr>
          <w:rFonts w:eastAsia="Times New Roman"/>
          <w:lang w:eastAsia="fr-BE"/>
        </w:rPr>
        <w:t xml:space="preserve">persistent </w:t>
      </w:r>
      <w:r w:rsidR="00354B20" w:rsidRPr="2E741693">
        <w:rPr>
          <w:rFonts w:eastAsia="Times New Roman"/>
          <w:lang w:eastAsia="fr-BE"/>
        </w:rPr>
        <w:t xml:space="preserve">link </w:t>
      </w:r>
      <w:r w:rsidR="00661917" w:rsidRPr="2E741693">
        <w:rPr>
          <w:rFonts w:eastAsia="Times New Roman"/>
          <w:lang w:eastAsia="fr-BE"/>
        </w:rPr>
        <w:t>to the APIs ensuring access to the high-value datasets listed in the Annex to this Regulation, per dataset referred to in point b);</w:t>
      </w:r>
    </w:p>
    <w:p w:rsidR="00661917" w:rsidRPr="00AF527B" w:rsidRDefault="00661917" w:rsidP="00661917">
      <w:pPr>
        <w:pStyle w:val="Point1letter"/>
      </w:pPr>
      <w:r w:rsidRPr="00AF527B">
        <w:t xml:space="preserve">where available, guidance documents issued by the Member State </w:t>
      </w:r>
      <w:r w:rsidR="009D638F">
        <w:t>on</w:t>
      </w:r>
      <w:r w:rsidRPr="00AF527B">
        <w:t xml:space="preserve"> publishing and reus</w:t>
      </w:r>
      <w:r w:rsidR="00354B20">
        <w:t>ing</w:t>
      </w:r>
      <w:r w:rsidRPr="00AF527B">
        <w:t xml:space="preserve"> the</w:t>
      </w:r>
      <w:r w:rsidR="00354B20">
        <w:t>ir</w:t>
      </w:r>
      <w:r w:rsidRPr="00AF527B">
        <w:t xml:space="preserve"> high-value datasets;</w:t>
      </w:r>
    </w:p>
    <w:p w:rsidR="0041594F" w:rsidRPr="00982F87" w:rsidRDefault="00661917" w:rsidP="0041594F">
      <w:pPr>
        <w:pStyle w:val="Point1letter"/>
        <w:rPr>
          <w:lang w:eastAsia="fr-BE"/>
        </w:rPr>
      </w:pPr>
      <w:r w:rsidRPr="00AF527B">
        <w:rPr>
          <w:rFonts w:eastAsia="Times New Roman"/>
          <w:szCs w:val="24"/>
          <w:lang w:eastAsia="fr-BE"/>
        </w:rPr>
        <w:t xml:space="preserve">where available, the </w:t>
      </w:r>
      <w:r w:rsidR="000F24FA">
        <w:rPr>
          <w:rFonts w:eastAsia="Times New Roman"/>
          <w:szCs w:val="24"/>
          <w:lang w:eastAsia="fr-BE"/>
        </w:rPr>
        <w:t>existence</w:t>
      </w:r>
      <w:r w:rsidR="000F24FA" w:rsidRPr="00AF527B">
        <w:rPr>
          <w:rFonts w:eastAsia="Times New Roman"/>
          <w:szCs w:val="24"/>
          <w:lang w:eastAsia="fr-BE"/>
        </w:rPr>
        <w:t xml:space="preserve"> </w:t>
      </w:r>
      <w:r w:rsidRPr="00AF527B">
        <w:rPr>
          <w:rFonts w:eastAsia="Times New Roman"/>
          <w:szCs w:val="24"/>
          <w:lang w:eastAsia="fr-BE"/>
        </w:rPr>
        <w:t>of data protection impact assessments carried out in accordance with Article</w:t>
      </w:r>
      <w:r w:rsidR="00AF527B">
        <w:rPr>
          <w:rFonts w:eastAsia="Times New Roman"/>
          <w:szCs w:val="24"/>
          <w:lang w:eastAsia="fr-BE"/>
        </w:rPr>
        <w:t> </w:t>
      </w:r>
      <w:r w:rsidRPr="00AF527B">
        <w:rPr>
          <w:rFonts w:eastAsia="Times New Roman"/>
          <w:szCs w:val="24"/>
          <w:lang w:eastAsia="fr-BE"/>
        </w:rPr>
        <w:t>35 of Regulation (EU) 2016/679</w:t>
      </w:r>
      <w:r w:rsidR="0041594F">
        <w:rPr>
          <w:rFonts w:eastAsia="Times New Roman"/>
          <w:szCs w:val="24"/>
          <w:lang w:eastAsia="fr-BE"/>
        </w:rPr>
        <w:t>;</w:t>
      </w:r>
    </w:p>
    <w:p w:rsidR="00661917" w:rsidRPr="00AF527B" w:rsidRDefault="0041594F" w:rsidP="0041594F">
      <w:pPr>
        <w:pStyle w:val="Point1letter"/>
        <w:rPr>
          <w:lang w:eastAsia="fr-BE"/>
        </w:rPr>
      </w:pPr>
      <w:r w:rsidRPr="72174531">
        <w:rPr>
          <w:lang w:eastAsia="fr-BE"/>
        </w:rPr>
        <w:t>the number of public sector bodies exempted in accordance with Article 14(5) of Directive (EU) 2019/1024</w:t>
      </w:r>
      <w:r w:rsidR="00661917" w:rsidRPr="0041594F">
        <w:rPr>
          <w:rFonts w:eastAsia="Times New Roman"/>
          <w:szCs w:val="24"/>
          <w:lang w:eastAsia="fr-BE"/>
        </w:rPr>
        <w:t>.</w:t>
      </w:r>
    </w:p>
    <w:p w:rsidR="00752D39" w:rsidRPr="00AF527B" w:rsidRDefault="00752D39" w:rsidP="00752D39">
      <w:pPr>
        <w:pStyle w:val="Titrearticle"/>
      </w:pPr>
      <w:r w:rsidRPr="00AF527B">
        <w:t>Article</w:t>
      </w:r>
      <w:r w:rsidR="00AF527B">
        <w:t> </w:t>
      </w:r>
      <w:r w:rsidRPr="00AF527B">
        <w:t>6</w:t>
      </w:r>
      <w:r w:rsidRPr="00AF527B">
        <w:br/>
        <w:t>Entry into force</w:t>
      </w:r>
      <w:r w:rsidR="006917C4">
        <w:t xml:space="preserve"> and application</w:t>
      </w:r>
    </w:p>
    <w:p w:rsidR="00673A63" w:rsidRPr="00AF527B" w:rsidRDefault="00673A63" w:rsidP="00D651B8">
      <w:r w:rsidRPr="00AF527B">
        <w:t xml:space="preserve">This </w:t>
      </w:r>
      <w:r w:rsidR="00D013A9">
        <w:t xml:space="preserve">Implementing </w:t>
      </w:r>
      <w:r w:rsidRPr="00AF527B">
        <w:t>Regulation shall enter into force on the</w:t>
      </w:r>
      <w:r w:rsidR="005B2B6F" w:rsidRPr="00AF527B">
        <w:t xml:space="preserve"> twentieth </w:t>
      </w:r>
      <w:r w:rsidRPr="00AF527B">
        <w:t xml:space="preserve">day following that of its publication in the </w:t>
      </w:r>
      <w:r w:rsidRPr="00AF527B">
        <w:rPr>
          <w:i/>
        </w:rPr>
        <w:t>Official Journal of the European Union</w:t>
      </w:r>
      <w:r w:rsidRPr="00AF527B">
        <w:t>.</w:t>
      </w:r>
    </w:p>
    <w:p w:rsidR="00673A63" w:rsidRPr="00AF527B" w:rsidRDefault="5B0C7B8B" w:rsidP="00D651B8">
      <w:pPr>
        <w:pStyle w:val="Applicationdirecte"/>
        <w:rPr>
          <w:rStyle w:val="Marker1"/>
        </w:rPr>
      </w:pPr>
      <w:r>
        <w:t>It shall apply from</w:t>
      </w:r>
      <w:r w:rsidR="007A5026">
        <w:t xml:space="preserve"> [</w:t>
      </w:r>
      <w:r w:rsidR="0043277A">
        <w:t xml:space="preserve">6 </w:t>
      </w:r>
      <w:r w:rsidR="007A5026">
        <w:t>months after entry into force</w:t>
      </w:r>
      <w:r w:rsidR="00EE3841">
        <w:t xml:space="preserve"> of this Implementing Regulation</w:t>
      </w:r>
      <w:r w:rsidR="007A5026">
        <w:t>]</w:t>
      </w:r>
      <w:r>
        <w:t>.</w:t>
      </w:r>
    </w:p>
    <w:p w:rsidR="00A00E0F" w:rsidRDefault="00673A63" w:rsidP="00A00E0F">
      <w:pPr>
        <w:pStyle w:val="Applicationdirecte"/>
        <w:spacing w:after="240"/>
      </w:pPr>
      <w:r w:rsidRPr="00AF527B">
        <w:t>This Regulation shall be binding in its entirety and directly applicable in all Member States.</w:t>
      </w:r>
    </w:p>
    <w:p w:rsidR="00673A63" w:rsidRPr="00AF527B" w:rsidRDefault="00834999" w:rsidP="00834999">
      <w:pPr>
        <w:pStyle w:val="Fait"/>
      </w:pPr>
      <w:r w:rsidRPr="00834999">
        <w:t>Done at Brussels,</w:t>
      </w:r>
    </w:p>
    <w:p w:rsidR="00673A63" w:rsidRPr="00AF527B" w:rsidRDefault="00673A63" w:rsidP="00673A63">
      <w:pPr>
        <w:pStyle w:val="Institutionquisigne"/>
      </w:pPr>
      <w:r w:rsidRPr="00AF527B">
        <w:tab/>
        <w:t>For the Commission</w:t>
      </w:r>
    </w:p>
    <w:p w:rsidR="00673A63" w:rsidRPr="00AF527B" w:rsidRDefault="00673A63" w:rsidP="00673A63">
      <w:pPr>
        <w:pStyle w:val="Personnequisigne"/>
      </w:pPr>
      <w:r w:rsidRPr="00AF527B">
        <w:tab/>
        <w:t>The President</w:t>
      </w:r>
      <w:r w:rsidRPr="00AF527B">
        <w:br/>
      </w:r>
      <w:r w:rsidRPr="00AF527B">
        <w:tab/>
      </w:r>
      <w:r w:rsidR="00176630" w:rsidRPr="00AF527B">
        <w:t>Ursula VON DER LEYEN</w:t>
      </w:r>
    </w:p>
    <w:sectPr w:rsidR="00673A63" w:rsidRPr="00AF527B" w:rsidSect="009474D2">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8B5" w:rsidRPr="00AF527B" w:rsidRDefault="009668B5" w:rsidP="00673A63">
      <w:pPr>
        <w:spacing w:before="0" w:after="0"/>
      </w:pPr>
      <w:r w:rsidRPr="00AF527B">
        <w:separator/>
      </w:r>
    </w:p>
  </w:endnote>
  <w:endnote w:type="continuationSeparator" w:id="0">
    <w:p w:rsidR="009668B5" w:rsidRPr="00AF527B" w:rsidRDefault="009668B5" w:rsidP="00673A63">
      <w:pPr>
        <w:spacing w:before="0" w:after="0"/>
      </w:pPr>
      <w:r w:rsidRPr="00AF527B">
        <w:continuationSeparator/>
      </w:r>
    </w:p>
  </w:endnote>
  <w:endnote w:type="continuationNotice" w:id="1">
    <w:p w:rsidR="009668B5" w:rsidRDefault="009668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2" w:rsidRPr="009474D2" w:rsidRDefault="009474D2" w:rsidP="0094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99" w:rsidRPr="009474D2" w:rsidRDefault="009474D2" w:rsidP="009474D2">
    <w:pPr>
      <w:pStyle w:val="Footer"/>
      <w:rPr>
        <w:rFonts w:ascii="Arial" w:hAnsi="Arial" w:cs="Arial"/>
        <w:b/>
        <w:sz w:val="48"/>
      </w:rPr>
    </w:pPr>
    <w:r w:rsidRPr="009474D2">
      <w:rPr>
        <w:rFonts w:ascii="Arial" w:hAnsi="Arial" w:cs="Arial"/>
        <w:b/>
        <w:sz w:val="48"/>
      </w:rPr>
      <w:t>EN</w:t>
    </w:r>
    <w:r w:rsidRPr="009474D2">
      <w:rPr>
        <w:rFonts w:ascii="Arial" w:hAnsi="Arial" w:cs="Arial"/>
        <w:b/>
        <w:sz w:val="48"/>
      </w:rPr>
      <w:tab/>
    </w:r>
    <w:r w:rsidRPr="009474D2">
      <w:rPr>
        <w:rFonts w:ascii="Arial" w:hAnsi="Arial" w:cs="Arial"/>
        <w:b/>
        <w:sz w:val="48"/>
      </w:rPr>
      <w:tab/>
    </w:r>
    <w:r w:rsidRPr="009474D2">
      <w:tab/>
    </w:r>
    <w:r w:rsidRPr="009474D2">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2" w:rsidRPr="009474D2" w:rsidRDefault="009474D2" w:rsidP="009474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2" w:rsidRPr="009474D2" w:rsidRDefault="009474D2" w:rsidP="009474D2">
    <w:pPr>
      <w:pStyle w:val="Footer"/>
      <w:rPr>
        <w:rFonts w:ascii="Arial" w:hAnsi="Arial" w:cs="Arial"/>
        <w:b/>
        <w:sz w:val="48"/>
      </w:rPr>
    </w:pPr>
    <w:r w:rsidRPr="009474D2">
      <w:rPr>
        <w:rFonts w:ascii="Arial" w:hAnsi="Arial" w:cs="Arial"/>
        <w:b/>
        <w:sz w:val="48"/>
      </w:rPr>
      <w:t>EN</w:t>
    </w:r>
    <w:r w:rsidRPr="009474D2">
      <w:rPr>
        <w:rFonts w:ascii="Arial" w:hAnsi="Arial" w:cs="Arial"/>
        <w:b/>
        <w:sz w:val="48"/>
      </w:rPr>
      <w:tab/>
    </w:r>
    <w:r>
      <w:fldChar w:fldCharType="begin"/>
    </w:r>
    <w:r>
      <w:instrText xml:space="preserve"> PAGE  \* MERGEFORMAT </w:instrText>
    </w:r>
    <w:r>
      <w:fldChar w:fldCharType="separate"/>
    </w:r>
    <w:r w:rsidR="005B7C6C">
      <w:rPr>
        <w:noProof/>
      </w:rPr>
      <w:t>1</w:t>
    </w:r>
    <w:r>
      <w:fldChar w:fldCharType="end"/>
    </w:r>
    <w:r>
      <w:tab/>
    </w:r>
    <w:r w:rsidRPr="009474D2">
      <w:tab/>
    </w:r>
    <w:r w:rsidRPr="009474D2">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2" w:rsidRPr="009474D2" w:rsidRDefault="009474D2" w:rsidP="0094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8B5" w:rsidRPr="00AF527B" w:rsidRDefault="009668B5" w:rsidP="00673A63">
      <w:pPr>
        <w:spacing w:before="0" w:after="0"/>
      </w:pPr>
      <w:r w:rsidRPr="00AF527B">
        <w:separator/>
      </w:r>
    </w:p>
  </w:footnote>
  <w:footnote w:type="continuationSeparator" w:id="0">
    <w:p w:rsidR="009668B5" w:rsidRPr="00AF527B" w:rsidRDefault="009668B5" w:rsidP="00673A63">
      <w:pPr>
        <w:spacing w:before="0" w:after="0"/>
      </w:pPr>
      <w:r w:rsidRPr="00AF527B">
        <w:continuationSeparator/>
      </w:r>
    </w:p>
  </w:footnote>
  <w:footnote w:type="continuationNotice" w:id="1">
    <w:p w:rsidR="009668B5" w:rsidRDefault="009668B5">
      <w:pPr>
        <w:spacing w:before="0" w:after="0"/>
      </w:pPr>
    </w:p>
  </w:footnote>
  <w:footnote w:id="2">
    <w:p w:rsidR="00F755B3" w:rsidRPr="00AF527B" w:rsidRDefault="00F755B3" w:rsidP="00D651B8">
      <w:pPr>
        <w:pStyle w:val="FootnoteText"/>
      </w:pPr>
      <w:r w:rsidRPr="009474D2">
        <w:rPr>
          <w:rStyle w:val="FootnoteReference"/>
        </w:rPr>
        <w:footnoteRef/>
      </w:r>
      <w:r w:rsidR="009474D2">
        <w:tab/>
      </w:r>
      <w:r w:rsidRPr="00AF527B">
        <w:t>OJ L172, 26.6.2019, p.</w:t>
      </w:r>
      <w:r>
        <w:t> </w:t>
      </w:r>
      <w:r w:rsidRPr="00AF527B">
        <w:t>56.</w:t>
      </w:r>
    </w:p>
  </w:footnote>
  <w:footnote w:id="3">
    <w:p w:rsidR="00F755B3" w:rsidRPr="00982F87" w:rsidRDefault="00F755B3">
      <w:pPr>
        <w:pStyle w:val="FootnoteText"/>
        <w:rPr>
          <w:lang w:val="en-IE"/>
        </w:rPr>
      </w:pPr>
      <w:r w:rsidRPr="009474D2">
        <w:rPr>
          <w:rStyle w:val="FootnoteReference"/>
        </w:rPr>
        <w:footnoteRef/>
      </w:r>
      <w:r w:rsidR="009474D2">
        <w:tab/>
      </w:r>
      <w:r>
        <w:rPr>
          <w:highlight w:val="yellow"/>
          <w:lang w:val="en-IE"/>
        </w:rPr>
        <w:t>[Placeholder</w:t>
      </w:r>
      <w:r w:rsidRPr="00982F87">
        <w:rPr>
          <w:highlight w:val="yellow"/>
          <w:lang w:val="en-IE"/>
        </w:rPr>
        <w:t xml:space="preserve"> </w:t>
      </w:r>
      <w:r>
        <w:rPr>
          <w:highlight w:val="yellow"/>
          <w:lang w:val="en-IE"/>
        </w:rPr>
        <w:t>for reference to Impact Assessment]</w:t>
      </w:r>
    </w:p>
  </w:footnote>
  <w:footnote w:id="4">
    <w:p w:rsidR="008638EA" w:rsidRPr="008638EA" w:rsidRDefault="008638EA">
      <w:pPr>
        <w:pStyle w:val="FootnoteText"/>
      </w:pPr>
      <w:r w:rsidRPr="009474D2">
        <w:rPr>
          <w:rStyle w:val="FootnoteReference"/>
        </w:rPr>
        <w:footnoteRef/>
      </w:r>
      <w:r w:rsidR="009474D2">
        <w:tab/>
      </w:r>
      <w:r w:rsidRPr="00072905">
        <w:t>OJ L119, 4.5.2016, p. 1.</w:t>
      </w:r>
    </w:p>
  </w:footnote>
  <w:footnote w:id="5">
    <w:p w:rsidR="00F755B3" w:rsidRPr="00982F87" w:rsidRDefault="00F755B3" w:rsidP="00982F87">
      <w:pPr>
        <w:pStyle w:val="FootnoteText"/>
        <w:ind w:left="0" w:firstLine="0"/>
        <w:rPr>
          <w:lang w:val="en-IE"/>
        </w:rPr>
      </w:pPr>
      <w:r w:rsidRPr="009474D2">
        <w:rPr>
          <w:rStyle w:val="FootnoteReference"/>
        </w:rPr>
        <w:footnoteRef/>
      </w:r>
      <w:r w:rsidR="009474D2">
        <w:tab/>
      </w:r>
      <w:r w:rsidRPr="00FF4C40">
        <w:t>Directive 2007/2/EC of the European Parliament and of the Council of 14 March 2007 establishing an Infrastructure for Spatial Information in the European Community (INSPIRE) (OJ L 108, 25.4.2007, p. 1).</w:t>
      </w:r>
    </w:p>
  </w:footnote>
  <w:footnote w:id="6">
    <w:p w:rsidR="00F755B3" w:rsidRPr="00982F87" w:rsidRDefault="00F755B3" w:rsidP="00982F87">
      <w:pPr>
        <w:pStyle w:val="FootnoteText"/>
        <w:ind w:left="0" w:firstLine="0"/>
        <w:rPr>
          <w:lang w:val="en-IE"/>
        </w:rPr>
      </w:pPr>
      <w:r w:rsidRPr="009474D2">
        <w:rPr>
          <w:rStyle w:val="FootnoteReference"/>
        </w:rPr>
        <w:footnoteRef/>
      </w:r>
      <w:r w:rsidR="009474D2">
        <w:tab/>
      </w:r>
      <w:r w:rsidRPr="00E653C8">
        <w:t>Directive 2005/44/EC of the European Parliament and of the Council of 7 September 2005 on harmonised river information services (RIS) on inland waterways in the Community (OJ L 255, 30.9.2005, p. 152).</w:t>
      </w:r>
    </w:p>
  </w:footnote>
  <w:footnote w:id="7">
    <w:p w:rsidR="00F755B3" w:rsidRPr="009B49FC" w:rsidRDefault="00F755B3" w:rsidP="009B49FC">
      <w:pPr>
        <w:pStyle w:val="FootnoteText"/>
        <w:ind w:left="0" w:firstLine="0"/>
        <w:rPr>
          <w:lang w:val="en-US"/>
        </w:rPr>
      </w:pPr>
      <w:r w:rsidRPr="009474D2">
        <w:rPr>
          <w:rStyle w:val="FootnoteReference"/>
        </w:rPr>
        <w:footnoteRef/>
      </w:r>
      <w:r w:rsidR="009474D2">
        <w:rPr>
          <w:lang w:val="en-US"/>
        </w:rPr>
        <w:tab/>
      </w:r>
      <w:r w:rsidRPr="009B49FC">
        <w:rPr>
          <w:lang w:val="en-US"/>
        </w:rPr>
        <w:t>OJ C 240, 24.7.2014, p. 1.</w:t>
      </w:r>
    </w:p>
  </w:footnote>
  <w:footnote w:id="8">
    <w:p w:rsidR="00AD780F" w:rsidRPr="009B49FC" w:rsidRDefault="00AD780F" w:rsidP="009B49FC">
      <w:pPr>
        <w:pStyle w:val="FootnoteText"/>
        <w:ind w:left="0" w:firstLine="0"/>
        <w:rPr>
          <w:lang w:val="en-US"/>
        </w:rPr>
      </w:pPr>
      <w:r w:rsidRPr="009474D2">
        <w:rPr>
          <w:rStyle w:val="FootnoteReference"/>
        </w:rPr>
        <w:footnoteRef/>
      </w:r>
      <w:r w:rsidR="009474D2">
        <w:tab/>
      </w:r>
      <w:r w:rsidRPr="00AD780F">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t xml:space="preserve"> (</w:t>
      </w:r>
      <w:r w:rsidRPr="00AD780F">
        <w:t>OJ L 295, 21.11.2018, p. 39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2" w:rsidRPr="009474D2" w:rsidRDefault="009474D2" w:rsidP="0094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2" w:rsidRPr="009474D2" w:rsidRDefault="009474D2" w:rsidP="0094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D2" w:rsidRPr="009474D2" w:rsidRDefault="009474D2" w:rsidP="0094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CE0FE8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83443E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35204B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28A16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FFC4DC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D508FC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6C06F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7DCB8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14"/>
  </w:num>
  <w:num w:numId="21">
    <w:abstractNumId w:val="9"/>
  </w:num>
  <w:num w:numId="22">
    <w:abstractNumId w:val="20"/>
  </w:num>
  <w:num w:numId="23">
    <w:abstractNumId w:val="8"/>
  </w:num>
  <w:num w:numId="24">
    <w:abstractNumId w:val="15"/>
  </w:num>
  <w:num w:numId="25">
    <w:abstractNumId w:val="17"/>
  </w:num>
  <w:num w:numId="26">
    <w:abstractNumId w:val="18"/>
  </w:num>
  <w:num w:numId="27">
    <w:abstractNumId w:val="10"/>
  </w:num>
  <w:num w:numId="28">
    <w:abstractNumId w:val="16"/>
  </w:num>
  <w:num w:numId="29">
    <w:abstractNumId w:val="22"/>
  </w:num>
  <w:num w:numId="30">
    <w:abstractNumId w:val="19"/>
  </w:num>
  <w:num w:numId="31">
    <w:abstractNumId w:val="12"/>
  </w:num>
  <w:num w:numId="32">
    <w:abstractNumId w:val="21"/>
  </w:num>
  <w:num w:numId="33">
    <w:abstractNumId w:val="11"/>
  </w:num>
  <w:num w:numId="34">
    <w:abstractNumId w:val="13"/>
  </w:num>
  <w:num w:numId="35">
    <w:abstractNumId w:val="14"/>
  </w:num>
  <w:num w:numId="36">
    <w:abstractNumId w:val="9"/>
  </w:num>
  <w:num w:numId="37">
    <w:abstractNumId w:val="20"/>
  </w:num>
  <w:num w:numId="38">
    <w:abstractNumId w:val="8"/>
  </w:num>
  <w:num w:numId="39">
    <w:abstractNumId w:val="15"/>
  </w:num>
  <w:num w:numId="40">
    <w:abstractNumId w:val="17"/>
  </w:num>
  <w:num w:numId="41">
    <w:abstractNumId w:val="18"/>
  </w:num>
  <w:num w:numId="42">
    <w:abstractNumId w:val="10"/>
  </w:num>
  <w:num w:numId="43">
    <w:abstractNumId w:val="16"/>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1"/>
  <w:activeWritingStyle w:appName="MSWord" w:lang="en-GB" w:vendorID="64" w:dllVersion="131078" w:nlCheck="1" w:checkStyle="1"/>
  <w:activeWritingStyle w:appName="MSWord" w:lang="da-DK" w:vendorID="64" w:dllVersion="131078" w:nlCheck="1" w:checkStyle="0"/>
  <w:activeWritingStyle w:appName="MSWord" w:lang="en-US" w:vendorID="64" w:dllVersion="131078" w:nlCheck="1" w:checkStyle="1"/>
  <w:activeWritingStyle w:appName="MSWord" w:lang="es-ES" w:vendorID="64" w:dllVersion="131078" w:nlCheck="1" w:checkStyle="0"/>
  <w:attachedTemplate r:id="rId1"/>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2-05-23 12:25:02"/>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61AA8547-CB09-4BB9-A523-81EDB2552B2E"/>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aying down a list of specific high-value datasets and the arrangements for their publication and re-use"/>
    <w:docVar w:name="LW_TYPE.DOC.CP" w:val="COMMISSION IMPLEMENTING REGULATION (EU) \u8230?/..."/>
    <w:docVar w:name="Stamp" w:val="\\dossiers.dgt.cec.eu.int\dossiers\CNECT\CNECT-2022-00201\CNECT-2022-00201-00-00-EN-EDT-00.20220330142149586723.DOCX"/>
  </w:docVars>
  <w:rsids>
    <w:rsidRoot w:val="00673A63"/>
    <w:rsid w:val="00002B5C"/>
    <w:rsid w:val="0001340E"/>
    <w:rsid w:val="00017632"/>
    <w:rsid w:val="000321D1"/>
    <w:rsid w:val="000341DE"/>
    <w:rsid w:val="00035B57"/>
    <w:rsid w:val="00052192"/>
    <w:rsid w:val="00052EF4"/>
    <w:rsid w:val="00053715"/>
    <w:rsid w:val="00053D3E"/>
    <w:rsid w:val="00067853"/>
    <w:rsid w:val="000679E4"/>
    <w:rsid w:val="00072905"/>
    <w:rsid w:val="00077C25"/>
    <w:rsid w:val="00084B8D"/>
    <w:rsid w:val="00084D7C"/>
    <w:rsid w:val="000A269C"/>
    <w:rsid w:val="000A66C0"/>
    <w:rsid w:val="000A74D1"/>
    <w:rsid w:val="000A7517"/>
    <w:rsid w:val="000B48F7"/>
    <w:rsid w:val="000C3CA6"/>
    <w:rsid w:val="000C6C53"/>
    <w:rsid w:val="000D0827"/>
    <w:rsid w:val="000E198E"/>
    <w:rsid w:val="000E63D9"/>
    <w:rsid w:val="000E6D10"/>
    <w:rsid w:val="000E7D08"/>
    <w:rsid w:val="000F06D7"/>
    <w:rsid w:val="000F1835"/>
    <w:rsid w:val="000F24FA"/>
    <w:rsid w:val="00110BBD"/>
    <w:rsid w:val="00123DE3"/>
    <w:rsid w:val="00133FF9"/>
    <w:rsid w:val="00140C8D"/>
    <w:rsid w:val="0014161D"/>
    <w:rsid w:val="0015461D"/>
    <w:rsid w:val="00161B70"/>
    <w:rsid w:val="00164332"/>
    <w:rsid w:val="00176630"/>
    <w:rsid w:val="00176BA1"/>
    <w:rsid w:val="00182827"/>
    <w:rsid w:val="00184654"/>
    <w:rsid w:val="00185275"/>
    <w:rsid w:val="001924BA"/>
    <w:rsid w:val="00194A34"/>
    <w:rsid w:val="00194E2A"/>
    <w:rsid w:val="001B4C33"/>
    <w:rsid w:val="001C0505"/>
    <w:rsid w:val="001C1D7D"/>
    <w:rsid w:val="001C2816"/>
    <w:rsid w:val="001D183A"/>
    <w:rsid w:val="001D677C"/>
    <w:rsid w:val="0021293B"/>
    <w:rsid w:val="0021471B"/>
    <w:rsid w:val="00220D47"/>
    <w:rsid w:val="00221E3B"/>
    <w:rsid w:val="0022510B"/>
    <w:rsid w:val="00226082"/>
    <w:rsid w:val="00232E98"/>
    <w:rsid w:val="0023469F"/>
    <w:rsid w:val="00237EEC"/>
    <w:rsid w:val="00240665"/>
    <w:rsid w:val="00255F44"/>
    <w:rsid w:val="002619DF"/>
    <w:rsid w:val="00267688"/>
    <w:rsid w:val="00274B70"/>
    <w:rsid w:val="0029047A"/>
    <w:rsid w:val="002A5181"/>
    <w:rsid w:val="002A6039"/>
    <w:rsid w:val="002B7B28"/>
    <w:rsid w:val="002D05BF"/>
    <w:rsid w:val="002D06F5"/>
    <w:rsid w:val="002D1CCA"/>
    <w:rsid w:val="002D416D"/>
    <w:rsid w:val="002D701C"/>
    <w:rsid w:val="002E07AD"/>
    <w:rsid w:val="002E6EB5"/>
    <w:rsid w:val="002F28A8"/>
    <w:rsid w:val="00312AE4"/>
    <w:rsid w:val="0034330F"/>
    <w:rsid w:val="003500D4"/>
    <w:rsid w:val="00354B20"/>
    <w:rsid w:val="003720BB"/>
    <w:rsid w:val="00373434"/>
    <w:rsid w:val="00377D44"/>
    <w:rsid w:val="00397007"/>
    <w:rsid w:val="003A3DF4"/>
    <w:rsid w:val="003A4978"/>
    <w:rsid w:val="003C0F83"/>
    <w:rsid w:val="003C37CA"/>
    <w:rsid w:val="003C3BCC"/>
    <w:rsid w:val="003E1636"/>
    <w:rsid w:val="003E2730"/>
    <w:rsid w:val="003E28F1"/>
    <w:rsid w:val="00400988"/>
    <w:rsid w:val="00402475"/>
    <w:rsid w:val="004049F9"/>
    <w:rsid w:val="0041594F"/>
    <w:rsid w:val="004222B0"/>
    <w:rsid w:val="0043277A"/>
    <w:rsid w:val="0043587A"/>
    <w:rsid w:val="0044268D"/>
    <w:rsid w:val="00447875"/>
    <w:rsid w:val="00451817"/>
    <w:rsid w:val="00452298"/>
    <w:rsid w:val="00462A7F"/>
    <w:rsid w:val="004B7374"/>
    <w:rsid w:val="004C7B5E"/>
    <w:rsid w:val="004E225E"/>
    <w:rsid w:val="004F657C"/>
    <w:rsid w:val="00501C74"/>
    <w:rsid w:val="00502A03"/>
    <w:rsid w:val="0051705A"/>
    <w:rsid w:val="005362C0"/>
    <w:rsid w:val="00541425"/>
    <w:rsid w:val="00541726"/>
    <w:rsid w:val="00541D9E"/>
    <w:rsid w:val="005421CD"/>
    <w:rsid w:val="0054322C"/>
    <w:rsid w:val="005505D9"/>
    <w:rsid w:val="00550D60"/>
    <w:rsid w:val="0056664A"/>
    <w:rsid w:val="00570D72"/>
    <w:rsid w:val="00576AEC"/>
    <w:rsid w:val="00580B43"/>
    <w:rsid w:val="005932BA"/>
    <w:rsid w:val="00593356"/>
    <w:rsid w:val="00595896"/>
    <w:rsid w:val="00596B2A"/>
    <w:rsid w:val="005A1781"/>
    <w:rsid w:val="005A480C"/>
    <w:rsid w:val="005B2B6F"/>
    <w:rsid w:val="005B7C6C"/>
    <w:rsid w:val="005D0A8F"/>
    <w:rsid w:val="005D137B"/>
    <w:rsid w:val="005D68CF"/>
    <w:rsid w:val="005E2C19"/>
    <w:rsid w:val="005E76A0"/>
    <w:rsid w:val="006002EC"/>
    <w:rsid w:val="0060663E"/>
    <w:rsid w:val="00607DFF"/>
    <w:rsid w:val="006224FF"/>
    <w:rsid w:val="00626AB5"/>
    <w:rsid w:val="006321B5"/>
    <w:rsid w:val="00636880"/>
    <w:rsid w:val="00643AA8"/>
    <w:rsid w:val="006471C8"/>
    <w:rsid w:val="00651937"/>
    <w:rsid w:val="0065731B"/>
    <w:rsid w:val="00657E5D"/>
    <w:rsid w:val="0066180E"/>
    <w:rsid w:val="00661917"/>
    <w:rsid w:val="0066219A"/>
    <w:rsid w:val="006678CA"/>
    <w:rsid w:val="00673A63"/>
    <w:rsid w:val="006752D3"/>
    <w:rsid w:val="0068174E"/>
    <w:rsid w:val="006819A6"/>
    <w:rsid w:val="0068328B"/>
    <w:rsid w:val="006839F2"/>
    <w:rsid w:val="006917C4"/>
    <w:rsid w:val="0069516E"/>
    <w:rsid w:val="006B3AD9"/>
    <w:rsid w:val="006B7E14"/>
    <w:rsid w:val="006C5CE9"/>
    <w:rsid w:val="006C5EC4"/>
    <w:rsid w:val="006C6504"/>
    <w:rsid w:val="006C7655"/>
    <w:rsid w:val="006E543E"/>
    <w:rsid w:val="006E6FED"/>
    <w:rsid w:val="006F77A5"/>
    <w:rsid w:val="0070128F"/>
    <w:rsid w:val="007226F6"/>
    <w:rsid w:val="007355E8"/>
    <w:rsid w:val="00736B3B"/>
    <w:rsid w:val="007479CD"/>
    <w:rsid w:val="00747B2E"/>
    <w:rsid w:val="00752D39"/>
    <w:rsid w:val="007647E6"/>
    <w:rsid w:val="007653E9"/>
    <w:rsid w:val="00765838"/>
    <w:rsid w:val="007818CC"/>
    <w:rsid w:val="007822E2"/>
    <w:rsid w:val="0078231C"/>
    <w:rsid w:val="00794A4D"/>
    <w:rsid w:val="007A34CA"/>
    <w:rsid w:val="007A5026"/>
    <w:rsid w:val="007B50E8"/>
    <w:rsid w:val="007B5CEC"/>
    <w:rsid w:val="007B65B4"/>
    <w:rsid w:val="007C06F6"/>
    <w:rsid w:val="007C2941"/>
    <w:rsid w:val="007C7862"/>
    <w:rsid w:val="007E4E08"/>
    <w:rsid w:val="007E5131"/>
    <w:rsid w:val="007F0546"/>
    <w:rsid w:val="007F318B"/>
    <w:rsid w:val="00805B6C"/>
    <w:rsid w:val="00834999"/>
    <w:rsid w:val="00843820"/>
    <w:rsid w:val="00843D07"/>
    <w:rsid w:val="00851F60"/>
    <w:rsid w:val="00854FB0"/>
    <w:rsid w:val="008638EA"/>
    <w:rsid w:val="00873053"/>
    <w:rsid w:val="008776E4"/>
    <w:rsid w:val="00880E6D"/>
    <w:rsid w:val="008A14A6"/>
    <w:rsid w:val="008A618D"/>
    <w:rsid w:val="008B60BA"/>
    <w:rsid w:val="008B69B2"/>
    <w:rsid w:val="008C7AD2"/>
    <w:rsid w:val="008F2B83"/>
    <w:rsid w:val="00900223"/>
    <w:rsid w:val="0091032D"/>
    <w:rsid w:val="0091185D"/>
    <w:rsid w:val="0091491C"/>
    <w:rsid w:val="00917C32"/>
    <w:rsid w:val="0092386A"/>
    <w:rsid w:val="00927C21"/>
    <w:rsid w:val="00931582"/>
    <w:rsid w:val="00936334"/>
    <w:rsid w:val="009374BB"/>
    <w:rsid w:val="009474D2"/>
    <w:rsid w:val="009668B5"/>
    <w:rsid w:val="00972CB1"/>
    <w:rsid w:val="00975802"/>
    <w:rsid w:val="009822AB"/>
    <w:rsid w:val="00982F87"/>
    <w:rsid w:val="009835A8"/>
    <w:rsid w:val="00986B33"/>
    <w:rsid w:val="00987AD5"/>
    <w:rsid w:val="009B0D11"/>
    <w:rsid w:val="009B4979"/>
    <w:rsid w:val="009B49FC"/>
    <w:rsid w:val="009B7138"/>
    <w:rsid w:val="009C6383"/>
    <w:rsid w:val="009C7EF5"/>
    <w:rsid w:val="009D52EF"/>
    <w:rsid w:val="009D638F"/>
    <w:rsid w:val="009E657F"/>
    <w:rsid w:val="009F1854"/>
    <w:rsid w:val="00A00E0F"/>
    <w:rsid w:val="00A01251"/>
    <w:rsid w:val="00A0490C"/>
    <w:rsid w:val="00A17639"/>
    <w:rsid w:val="00A27037"/>
    <w:rsid w:val="00A27643"/>
    <w:rsid w:val="00A27B9C"/>
    <w:rsid w:val="00A35BB3"/>
    <w:rsid w:val="00A410C7"/>
    <w:rsid w:val="00A52935"/>
    <w:rsid w:val="00A57767"/>
    <w:rsid w:val="00A6364F"/>
    <w:rsid w:val="00A66875"/>
    <w:rsid w:val="00A901E6"/>
    <w:rsid w:val="00A90DCE"/>
    <w:rsid w:val="00AA1D52"/>
    <w:rsid w:val="00AA2FDF"/>
    <w:rsid w:val="00AC1834"/>
    <w:rsid w:val="00AC2075"/>
    <w:rsid w:val="00AC3D3C"/>
    <w:rsid w:val="00AC518E"/>
    <w:rsid w:val="00AD4213"/>
    <w:rsid w:val="00AD64C5"/>
    <w:rsid w:val="00AD780F"/>
    <w:rsid w:val="00AE77AB"/>
    <w:rsid w:val="00AF4C12"/>
    <w:rsid w:val="00AF527B"/>
    <w:rsid w:val="00AF6EDF"/>
    <w:rsid w:val="00B00D5A"/>
    <w:rsid w:val="00B27421"/>
    <w:rsid w:val="00B27F2E"/>
    <w:rsid w:val="00B3001F"/>
    <w:rsid w:val="00B36F6A"/>
    <w:rsid w:val="00B37557"/>
    <w:rsid w:val="00B4144E"/>
    <w:rsid w:val="00B51ACF"/>
    <w:rsid w:val="00B55DF6"/>
    <w:rsid w:val="00B854DD"/>
    <w:rsid w:val="00BA30A6"/>
    <w:rsid w:val="00BA3733"/>
    <w:rsid w:val="00BC0FEE"/>
    <w:rsid w:val="00BC56A3"/>
    <w:rsid w:val="00BC5DCD"/>
    <w:rsid w:val="00BC7F6F"/>
    <w:rsid w:val="00BD4B98"/>
    <w:rsid w:val="00BE079B"/>
    <w:rsid w:val="00BE246D"/>
    <w:rsid w:val="00BF17AA"/>
    <w:rsid w:val="00C01F54"/>
    <w:rsid w:val="00C24556"/>
    <w:rsid w:val="00C34CC2"/>
    <w:rsid w:val="00C44DDE"/>
    <w:rsid w:val="00C50E6D"/>
    <w:rsid w:val="00C52083"/>
    <w:rsid w:val="00C52A94"/>
    <w:rsid w:val="00C73B54"/>
    <w:rsid w:val="00C77C3A"/>
    <w:rsid w:val="00C82160"/>
    <w:rsid w:val="00C83DF6"/>
    <w:rsid w:val="00C85DF3"/>
    <w:rsid w:val="00C87C4A"/>
    <w:rsid w:val="00C928BB"/>
    <w:rsid w:val="00C957F3"/>
    <w:rsid w:val="00C96150"/>
    <w:rsid w:val="00CB00FC"/>
    <w:rsid w:val="00CB072A"/>
    <w:rsid w:val="00CB344B"/>
    <w:rsid w:val="00CC5DAF"/>
    <w:rsid w:val="00CC6B68"/>
    <w:rsid w:val="00CC79D6"/>
    <w:rsid w:val="00CD2503"/>
    <w:rsid w:val="00CD2F28"/>
    <w:rsid w:val="00CE6549"/>
    <w:rsid w:val="00CF29A3"/>
    <w:rsid w:val="00CF704E"/>
    <w:rsid w:val="00D013A9"/>
    <w:rsid w:val="00D12489"/>
    <w:rsid w:val="00D26526"/>
    <w:rsid w:val="00D43B04"/>
    <w:rsid w:val="00D4443B"/>
    <w:rsid w:val="00D479EF"/>
    <w:rsid w:val="00D53DE3"/>
    <w:rsid w:val="00D651B8"/>
    <w:rsid w:val="00D66951"/>
    <w:rsid w:val="00D76D48"/>
    <w:rsid w:val="00D775AD"/>
    <w:rsid w:val="00D81024"/>
    <w:rsid w:val="00D8478F"/>
    <w:rsid w:val="00D85929"/>
    <w:rsid w:val="00D92F10"/>
    <w:rsid w:val="00DA30A8"/>
    <w:rsid w:val="00DA3EAC"/>
    <w:rsid w:val="00DA42EB"/>
    <w:rsid w:val="00DA4F49"/>
    <w:rsid w:val="00DA62BA"/>
    <w:rsid w:val="00DB2EF1"/>
    <w:rsid w:val="00DB7A0B"/>
    <w:rsid w:val="00DB7F99"/>
    <w:rsid w:val="00DC1355"/>
    <w:rsid w:val="00DC69C9"/>
    <w:rsid w:val="00DE4BBD"/>
    <w:rsid w:val="00DE655D"/>
    <w:rsid w:val="00DF7F0D"/>
    <w:rsid w:val="00E05590"/>
    <w:rsid w:val="00E102E6"/>
    <w:rsid w:val="00E219E0"/>
    <w:rsid w:val="00E32B61"/>
    <w:rsid w:val="00E3578F"/>
    <w:rsid w:val="00E364B2"/>
    <w:rsid w:val="00E41763"/>
    <w:rsid w:val="00E5067A"/>
    <w:rsid w:val="00E537A5"/>
    <w:rsid w:val="00E601C6"/>
    <w:rsid w:val="00E653C8"/>
    <w:rsid w:val="00E70678"/>
    <w:rsid w:val="00E76C5B"/>
    <w:rsid w:val="00E9752F"/>
    <w:rsid w:val="00EA6C50"/>
    <w:rsid w:val="00EA7D4D"/>
    <w:rsid w:val="00EB5183"/>
    <w:rsid w:val="00EB70A4"/>
    <w:rsid w:val="00EC28B4"/>
    <w:rsid w:val="00EC6A4A"/>
    <w:rsid w:val="00EC719A"/>
    <w:rsid w:val="00ED219F"/>
    <w:rsid w:val="00ED7BD1"/>
    <w:rsid w:val="00EE3841"/>
    <w:rsid w:val="00EE62AF"/>
    <w:rsid w:val="00EF22D9"/>
    <w:rsid w:val="00EF5AEB"/>
    <w:rsid w:val="00EF77DF"/>
    <w:rsid w:val="00EF7C56"/>
    <w:rsid w:val="00F037C9"/>
    <w:rsid w:val="00F11CF9"/>
    <w:rsid w:val="00F11D33"/>
    <w:rsid w:val="00F16F94"/>
    <w:rsid w:val="00F20062"/>
    <w:rsid w:val="00F25D5E"/>
    <w:rsid w:val="00F303A8"/>
    <w:rsid w:val="00F35E84"/>
    <w:rsid w:val="00F455B6"/>
    <w:rsid w:val="00F456DB"/>
    <w:rsid w:val="00F54115"/>
    <w:rsid w:val="00F633EB"/>
    <w:rsid w:val="00F70620"/>
    <w:rsid w:val="00F755B3"/>
    <w:rsid w:val="00F82D18"/>
    <w:rsid w:val="00FA1E08"/>
    <w:rsid w:val="00FA333B"/>
    <w:rsid w:val="00FC5927"/>
    <w:rsid w:val="00FD478F"/>
    <w:rsid w:val="00FF2E96"/>
    <w:rsid w:val="00FF4C40"/>
    <w:rsid w:val="00FF596E"/>
    <w:rsid w:val="02039923"/>
    <w:rsid w:val="02ED7011"/>
    <w:rsid w:val="03827F54"/>
    <w:rsid w:val="03CEC808"/>
    <w:rsid w:val="049FF8BC"/>
    <w:rsid w:val="05F5405D"/>
    <w:rsid w:val="07989999"/>
    <w:rsid w:val="0798B572"/>
    <w:rsid w:val="09A7051F"/>
    <w:rsid w:val="0AFB7229"/>
    <w:rsid w:val="0B2D640B"/>
    <w:rsid w:val="0E89F7A9"/>
    <w:rsid w:val="125AE21C"/>
    <w:rsid w:val="135DD3F3"/>
    <w:rsid w:val="13B5C691"/>
    <w:rsid w:val="14D8AEC5"/>
    <w:rsid w:val="18D9E41C"/>
    <w:rsid w:val="1907A4CA"/>
    <w:rsid w:val="1A917728"/>
    <w:rsid w:val="1AF50BA1"/>
    <w:rsid w:val="1BEDE0AD"/>
    <w:rsid w:val="1F2FF31D"/>
    <w:rsid w:val="20F51ECF"/>
    <w:rsid w:val="21041B58"/>
    <w:rsid w:val="21A6CE62"/>
    <w:rsid w:val="220D9673"/>
    <w:rsid w:val="22CA7611"/>
    <w:rsid w:val="23DACB91"/>
    <w:rsid w:val="247C216D"/>
    <w:rsid w:val="25882A38"/>
    <w:rsid w:val="26AD4232"/>
    <w:rsid w:val="27CC9F6E"/>
    <w:rsid w:val="27F25A0E"/>
    <w:rsid w:val="28100598"/>
    <w:rsid w:val="2A4A87CE"/>
    <w:rsid w:val="2AD1CFE4"/>
    <w:rsid w:val="2B983592"/>
    <w:rsid w:val="2C15EF4E"/>
    <w:rsid w:val="2CC9F295"/>
    <w:rsid w:val="2E741693"/>
    <w:rsid w:val="2F564337"/>
    <w:rsid w:val="2F7E7132"/>
    <w:rsid w:val="3046BC1C"/>
    <w:rsid w:val="32C4AA30"/>
    <w:rsid w:val="3423134D"/>
    <w:rsid w:val="350D5523"/>
    <w:rsid w:val="36FDC3B3"/>
    <w:rsid w:val="37CC8C9D"/>
    <w:rsid w:val="38FE9406"/>
    <w:rsid w:val="3A7B50DE"/>
    <w:rsid w:val="3B6CF6ED"/>
    <w:rsid w:val="3CCA876F"/>
    <w:rsid w:val="3F53281A"/>
    <w:rsid w:val="40F638A8"/>
    <w:rsid w:val="42481640"/>
    <w:rsid w:val="42EC6175"/>
    <w:rsid w:val="43278ED9"/>
    <w:rsid w:val="45451643"/>
    <w:rsid w:val="457E1C17"/>
    <w:rsid w:val="496E5DF3"/>
    <w:rsid w:val="4A3BDADD"/>
    <w:rsid w:val="4B9F23BC"/>
    <w:rsid w:val="4D929119"/>
    <w:rsid w:val="4DE10344"/>
    <w:rsid w:val="4E5293BE"/>
    <w:rsid w:val="4F3EB81C"/>
    <w:rsid w:val="52C04C85"/>
    <w:rsid w:val="539C8241"/>
    <w:rsid w:val="5861CDC6"/>
    <w:rsid w:val="5A0BB0A8"/>
    <w:rsid w:val="5B0C7B8B"/>
    <w:rsid w:val="5BCDFDD6"/>
    <w:rsid w:val="5CC12FA5"/>
    <w:rsid w:val="5CC399D6"/>
    <w:rsid w:val="5F0EB5DD"/>
    <w:rsid w:val="61453DD9"/>
    <w:rsid w:val="6239D838"/>
    <w:rsid w:val="62D9C371"/>
    <w:rsid w:val="633B40D7"/>
    <w:rsid w:val="65CC0AF0"/>
    <w:rsid w:val="65CF9D17"/>
    <w:rsid w:val="660B785B"/>
    <w:rsid w:val="6612BAAF"/>
    <w:rsid w:val="6653FF6B"/>
    <w:rsid w:val="672B4335"/>
    <w:rsid w:val="67E36CE2"/>
    <w:rsid w:val="682414D1"/>
    <w:rsid w:val="68459BDD"/>
    <w:rsid w:val="695A8544"/>
    <w:rsid w:val="6CE50C15"/>
    <w:rsid w:val="6DDA27FF"/>
    <w:rsid w:val="6E44A1D8"/>
    <w:rsid w:val="6E954078"/>
    <w:rsid w:val="707CD0F2"/>
    <w:rsid w:val="70807C56"/>
    <w:rsid w:val="7093177A"/>
    <w:rsid w:val="72174531"/>
    <w:rsid w:val="728399C9"/>
    <w:rsid w:val="7319B24A"/>
    <w:rsid w:val="7491F6E3"/>
    <w:rsid w:val="76A76657"/>
    <w:rsid w:val="78E2AD91"/>
    <w:rsid w:val="790845B4"/>
    <w:rsid w:val="791144AB"/>
    <w:rsid w:val="7929A1A7"/>
    <w:rsid w:val="7B6A2A77"/>
    <w:rsid w:val="7BEC3464"/>
    <w:rsid w:val="7C074E50"/>
    <w:rsid w:val="7C992910"/>
    <w:rsid w:val="7CF3DC4F"/>
    <w:rsid w:val="7D0B0BCE"/>
    <w:rsid w:val="7DEF224A"/>
    <w:rsid w:val="7DF8ECF4"/>
    <w:rsid w:val="7E5569ED"/>
    <w:rsid w:val="7F7F51C8"/>
    <w:rsid w:val="7FB6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390D2BB-B2F5-4D80-93EF-0C10AE2F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37"/>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37"/>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37"/>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37"/>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A618D"/>
    <w:pPr>
      <w:numPr>
        <w:numId w:val="1"/>
      </w:numPr>
      <w:contextualSpacing/>
    </w:pPr>
  </w:style>
  <w:style w:type="paragraph" w:styleId="ListBullet2">
    <w:name w:val="List Bullet 2"/>
    <w:basedOn w:val="Normal"/>
    <w:uiPriority w:val="99"/>
    <w:semiHidden/>
    <w:unhideWhenUsed/>
    <w:rsid w:val="008A618D"/>
    <w:pPr>
      <w:numPr>
        <w:numId w:val="2"/>
      </w:numPr>
      <w:contextualSpacing/>
    </w:pPr>
  </w:style>
  <w:style w:type="paragraph" w:styleId="ListBullet3">
    <w:name w:val="List Bullet 3"/>
    <w:basedOn w:val="Normal"/>
    <w:uiPriority w:val="99"/>
    <w:semiHidden/>
    <w:unhideWhenUsed/>
    <w:rsid w:val="008A618D"/>
    <w:pPr>
      <w:numPr>
        <w:numId w:val="3"/>
      </w:numPr>
      <w:contextualSpacing/>
    </w:pPr>
  </w:style>
  <w:style w:type="paragraph" w:styleId="ListBullet4">
    <w:name w:val="List Bullet 4"/>
    <w:basedOn w:val="Normal"/>
    <w:uiPriority w:val="99"/>
    <w:semiHidden/>
    <w:unhideWhenUsed/>
    <w:rsid w:val="008A618D"/>
    <w:pPr>
      <w:numPr>
        <w:numId w:val="4"/>
      </w:numPr>
      <w:contextualSpacing/>
    </w:pPr>
  </w:style>
  <w:style w:type="paragraph" w:styleId="NormalWeb">
    <w:name w:val="Normal (Web)"/>
    <w:basedOn w:val="Normal"/>
    <w:uiPriority w:val="99"/>
    <w:unhideWhenUsed/>
    <w:rsid w:val="00C87C4A"/>
    <w:pPr>
      <w:spacing w:before="0" w:after="160" w:line="259" w:lineRule="auto"/>
      <w:jc w:val="left"/>
    </w:pPr>
    <w:rPr>
      <w:szCs w:val="24"/>
      <w:lang w:val="fr-BE"/>
    </w:rPr>
  </w:style>
  <w:style w:type="paragraph" w:customStyle="1" w:styleId="Char2">
    <w:name w:val="Char2"/>
    <w:basedOn w:val="Normal"/>
    <w:rsid w:val="00C87C4A"/>
    <w:pPr>
      <w:spacing w:before="0" w:after="160" w:line="240" w:lineRule="exact"/>
      <w:jc w:val="left"/>
    </w:pPr>
    <w:rPr>
      <w:rFonts w:asciiTheme="minorHAnsi" w:hAnsiTheme="minorHAnsi" w:cstheme="minorBidi"/>
      <w:sz w:val="22"/>
      <w:vertAlign w:val="superscript"/>
      <w:lang w:val="en-US"/>
    </w:rPr>
  </w:style>
  <w:style w:type="character" w:styleId="Hyperlink">
    <w:name w:val="Hyperlink"/>
    <w:basedOn w:val="DefaultParagraphFont"/>
    <w:uiPriority w:val="99"/>
    <w:unhideWhenUsed/>
    <w:rsid w:val="00752D39"/>
    <w:rPr>
      <w:color w:val="0000FF" w:themeColor="hyperlink"/>
      <w:u w:val="single"/>
    </w:rPr>
  </w:style>
  <w:style w:type="paragraph" w:styleId="Caption">
    <w:name w:val="caption"/>
    <w:basedOn w:val="Normal"/>
    <w:next w:val="Normal"/>
    <w:uiPriority w:val="35"/>
    <w:semiHidden/>
    <w:unhideWhenUsed/>
    <w:qFormat/>
    <w:rsid w:val="00EB70A4"/>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EB70A4"/>
    <w:pPr>
      <w:spacing w:after="0"/>
    </w:pPr>
  </w:style>
  <w:style w:type="paragraph" w:styleId="ListNumber">
    <w:name w:val="List Number"/>
    <w:basedOn w:val="Normal"/>
    <w:uiPriority w:val="99"/>
    <w:semiHidden/>
    <w:unhideWhenUsed/>
    <w:rsid w:val="00EB70A4"/>
    <w:pPr>
      <w:numPr>
        <w:numId w:val="10"/>
      </w:numPr>
      <w:contextualSpacing/>
    </w:pPr>
  </w:style>
  <w:style w:type="paragraph" w:styleId="ListNumber2">
    <w:name w:val="List Number 2"/>
    <w:basedOn w:val="Normal"/>
    <w:uiPriority w:val="99"/>
    <w:semiHidden/>
    <w:unhideWhenUsed/>
    <w:rsid w:val="00EB70A4"/>
    <w:pPr>
      <w:numPr>
        <w:numId w:val="11"/>
      </w:numPr>
      <w:contextualSpacing/>
    </w:pPr>
  </w:style>
  <w:style w:type="paragraph" w:styleId="ListNumber3">
    <w:name w:val="List Number 3"/>
    <w:basedOn w:val="Normal"/>
    <w:uiPriority w:val="99"/>
    <w:semiHidden/>
    <w:unhideWhenUsed/>
    <w:rsid w:val="00EB70A4"/>
    <w:pPr>
      <w:numPr>
        <w:numId w:val="12"/>
      </w:numPr>
      <w:contextualSpacing/>
    </w:pPr>
  </w:style>
  <w:style w:type="paragraph" w:styleId="ListNumber4">
    <w:name w:val="List Number 4"/>
    <w:basedOn w:val="Normal"/>
    <w:uiPriority w:val="99"/>
    <w:semiHidden/>
    <w:unhideWhenUsed/>
    <w:rsid w:val="00EB70A4"/>
    <w:pPr>
      <w:numPr>
        <w:numId w:val="13"/>
      </w:numPr>
      <w:contextualSpacing/>
    </w:pPr>
  </w:style>
  <w:style w:type="character" w:styleId="CommentReference">
    <w:name w:val="annotation reference"/>
    <w:basedOn w:val="DefaultParagraphFont"/>
    <w:uiPriority w:val="99"/>
    <w:semiHidden/>
    <w:unhideWhenUsed/>
    <w:rsid w:val="00EF5AEB"/>
    <w:rPr>
      <w:sz w:val="16"/>
      <w:szCs w:val="16"/>
    </w:rPr>
  </w:style>
  <w:style w:type="paragraph" w:styleId="CommentText">
    <w:name w:val="annotation text"/>
    <w:basedOn w:val="Normal"/>
    <w:link w:val="CommentTextChar"/>
    <w:uiPriority w:val="99"/>
    <w:unhideWhenUsed/>
    <w:rsid w:val="00EF5AEB"/>
    <w:rPr>
      <w:sz w:val="20"/>
      <w:szCs w:val="20"/>
    </w:rPr>
  </w:style>
  <w:style w:type="character" w:customStyle="1" w:styleId="CommentTextChar">
    <w:name w:val="Comment Text Char"/>
    <w:basedOn w:val="DefaultParagraphFont"/>
    <w:link w:val="CommentText"/>
    <w:uiPriority w:val="99"/>
    <w:rsid w:val="00EF5AE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F5AEB"/>
    <w:rPr>
      <w:b/>
      <w:bCs/>
    </w:rPr>
  </w:style>
  <w:style w:type="character" w:customStyle="1" w:styleId="CommentSubjectChar">
    <w:name w:val="Comment Subject Char"/>
    <w:basedOn w:val="CommentTextChar"/>
    <w:link w:val="CommentSubject"/>
    <w:uiPriority w:val="99"/>
    <w:semiHidden/>
    <w:rsid w:val="00EF5AEB"/>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F5A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AEB"/>
    <w:rPr>
      <w:rFonts w:ascii="Segoe UI" w:hAnsi="Segoe UI" w:cs="Segoe UI"/>
      <w:sz w:val="18"/>
      <w:szCs w:val="18"/>
      <w:lang w:val="en-GB"/>
    </w:rPr>
  </w:style>
  <w:style w:type="character" w:styleId="FollowedHyperlink">
    <w:name w:val="FollowedHyperlink"/>
    <w:basedOn w:val="DefaultParagraphFont"/>
    <w:uiPriority w:val="99"/>
    <w:semiHidden/>
    <w:unhideWhenUsed/>
    <w:rsid w:val="00CF29A3"/>
    <w:rPr>
      <w:color w:val="800080" w:themeColor="followedHyperlink"/>
      <w:u w:val="single"/>
    </w:rPr>
  </w:style>
  <w:style w:type="paragraph" w:styleId="Revision">
    <w:name w:val="Revision"/>
    <w:hidden/>
    <w:uiPriority w:val="99"/>
    <w:semiHidden/>
    <w:rsid w:val="0066180E"/>
    <w:pPr>
      <w:spacing w:after="0" w:line="240" w:lineRule="auto"/>
    </w:pPr>
    <w:rPr>
      <w:rFonts w:ascii="Times New Roman" w:hAnsi="Times New Roman" w:cs="Times New Roman"/>
      <w:sz w:val="24"/>
      <w:lang w:val="en-GB"/>
    </w:rPr>
  </w:style>
  <w:style w:type="paragraph" w:customStyle="1" w:styleId="Normal1">
    <w:name w:val="Normal1"/>
    <w:basedOn w:val="Normal"/>
    <w:rsid w:val="00194A34"/>
    <w:pPr>
      <w:spacing w:before="100" w:beforeAutospacing="1" w:after="100" w:afterAutospacing="1"/>
      <w:jc w:val="left"/>
    </w:pPr>
    <w:rPr>
      <w:rFonts w:eastAsia="Times New Roman"/>
      <w:szCs w:val="24"/>
      <w:lang w:val="en-US"/>
    </w:rPr>
  </w:style>
  <w:style w:type="paragraph" w:styleId="EndnoteText">
    <w:name w:val="endnote text"/>
    <w:basedOn w:val="Normal"/>
    <w:link w:val="EndnoteTextChar"/>
    <w:uiPriority w:val="99"/>
    <w:semiHidden/>
    <w:unhideWhenUsed/>
    <w:rsid w:val="008638EA"/>
    <w:pPr>
      <w:spacing w:before="0" w:after="0"/>
    </w:pPr>
    <w:rPr>
      <w:sz w:val="20"/>
      <w:szCs w:val="20"/>
    </w:rPr>
  </w:style>
  <w:style w:type="character" w:customStyle="1" w:styleId="EndnoteTextChar">
    <w:name w:val="Endnote Text Char"/>
    <w:basedOn w:val="DefaultParagraphFont"/>
    <w:link w:val="EndnoteText"/>
    <w:uiPriority w:val="99"/>
    <w:semiHidden/>
    <w:rsid w:val="008638EA"/>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8638EA"/>
    <w:rPr>
      <w:vertAlign w:val="superscript"/>
    </w:rPr>
  </w:style>
  <w:style w:type="paragraph" w:styleId="Header">
    <w:name w:val="header"/>
    <w:basedOn w:val="Normal"/>
    <w:link w:val="HeaderChar"/>
    <w:uiPriority w:val="99"/>
    <w:semiHidden/>
    <w:unhideWhenUsed/>
    <w:rsid w:val="00517205"/>
    <w:pPr>
      <w:tabs>
        <w:tab w:val="center" w:pos="4535"/>
        <w:tab w:val="right" w:pos="9071"/>
      </w:tabs>
      <w:spacing w:before="0"/>
    </w:pPr>
  </w:style>
  <w:style w:type="character" w:customStyle="1" w:styleId="HeaderChar">
    <w:name w:val="Header Char"/>
    <w:basedOn w:val="DefaultParagraphFont"/>
    <w:link w:val="Header"/>
    <w:uiPriority w:val="99"/>
    <w:semiHidden/>
    <w:rsid w:val="0051720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51720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51720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51720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1720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jc w:val="left"/>
    </w:pPr>
  </w:style>
  <w:style w:type="paragraph" w:styleId="TOC2">
    <w:name w:val="toc 2"/>
    <w:basedOn w:val="Normal"/>
    <w:next w:val="Normal"/>
    <w:uiPriority w:val="39"/>
    <w:semiHidden/>
    <w:unhideWhenUsed/>
    <w:rsid w:val="00517205"/>
    <w:pPr>
      <w:tabs>
        <w:tab w:val="right" w:leader="dot" w:pos="9071"/>
      </w:tabs>
      <w:spacing w:before="60"/>
      <w:ind w:left="850" w:hanging="850"/>
      <w:jc w:val="left"/>
    </w:pPr>
  </w:style>
  <w:style w:type="paragraph" w:styleId="TOC3">
    <w:name w:val="toc 3"/>
    <w:basedOn w:val="Normal"/>
    <w:next w:val="Normal"/>
    <w:uiPriority w:val="39"/>
    <w:semiHidden/>
    <w:unhideWhenUsed/>
    <w:rsid w:val="00517205"/>
    <w:pPr>
      <w:tabs>
        <w:tab w:val="right" w:leader="dot" w:pos="9071"/>
      </w:tabs>
      <w:spacing w:before="60"/>
      <w:ind w:left="850" w:hanging="850"/>
      <w:jc w:val="left"/>
    </w:pPr>
  </w:style>
  <w:style w:type="paragraph" w:styleId="TOC4">
    <w:name w:val="toc 4"/>
    <w:basedOn w:val="Normal"/>
    <w:next w:val="Normal"/>
    <w:uiPriority w:val="39"/>
    <w:semiHidden/>
    <w:unhideWhenUsed/>
    <w:rsid w:val="00517205"/>
    <w:pPr>
      <w:tabs>
        <w:tab w:val="right" w:leader="dot" w:pos="9071"/>
      </w:tabs>
      <w:spacing w:before="60"/>
      <w:ind w:left="850" w:hanging="850"/>
      <w:jc w:val="left"/>
    </w:pPr>
  </w:style>
  <w:style w:type="paragraph" w:styleId="TOC5">
    <w:name w:val="toc 5"/>
    <w:basedOn w:val="Normal"/>
    <w:next w:val="Normal"/>
    <w:uiPriority w:val="39"/>
    <w:semiHidden/>
    <w:unhideWhenUsed/>
    <w:rsid w:val="00517205"/>
    <w:pPr>
      <w:tabs>
        <w:tab w:val="right" w:leader="dot" w:pos="9071"/>
      </w:tabs>
      <w:spacing w:before="300"/>
      <w:jc w:val="left"/>
    </w:pPr>
  </w:style>
  <w:style w:type="paragraph" w:styleId="TOC6">
    <w:name w:val="toc 6"/>
    <w:basedOn w:val="Normal"/>
    <w:next w:val="Normal"/>
    <w:uiPriority w:val="39"/>
    <w:semiHidden/>
    <w:unhideWhenUsed/>
    <w:rsid w:val="00517205"/>
    <w:pPr>
      <w:tabs>
        <w:tab w:val="right" w:leader="dot" w:pos="9071"/>
      </w:tabs>
      <w:spacing w:before="240"/>
      <w:jc w:val="left"/>
    </w:pPr>
  </w:style>
  <w:style w:type="paragraph" w:styleId="TOC7">
    <w:name w:val="toc 7"/>
    <w:basedOn w:val="Normal"/>
    <w:next w:val="Normal"/>
    <w:uiPriority w:val="39"/>
    <w:semiHidden/>
    <w:unhideWhenUsed/>
    <w:rsid w:val="00517205"/>
    <w:pPr>
      <w:tabs>
        <w:tab w:val="right" w:leader="dot" w:pos="9071"/>
      </w:tabs>
      <w:spacing w:before="180"/>
      <w:jc w:val="left"/>
    </w:pPr>
  </w:style>
  <w:style w:type="paragraph" w:styleId="TOC8">
    <w:name w:val="toc 8"/>
    <w:basedOn w:val="Normal"/>
    <w:next w:val="Normal"/>
    <w:uiPriority w:val="39"/>
    <w:semiHidden/>
    <w:unhideWhenUsed/>
    <w:rsid w:val="00517205"/>
    <w:pPr>
      <w:tabs>
        <w:tab w:val="right" w:leader="dot" w:pos="9071"/>
      </w:tabs>
      <w:jc w:val="left"/>
    </w:pPr>
  </w:style>
  <w:style w:type="paragraph" w:styleId="TOC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517205"/>
    <w:pPr>
      <w:tabs>
        <w:tab w:val="center" w:pos="7285"/>
        <w:tab w:val="right" w:pos="14003"/>
      </w:tabs>
      <w:spacing w:before="0"/>
    </w:pPr>
  </w:style>
  <w:style w:type="paragraph" w:customStyle="1" w:styleId="FooterLandscape">
    <w:name w:val="FooterLandscape"/>
    <w:basedOn w:val="Normal"/>
    <w:rsid w:val="0051720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17205"/>
    <w:rPr>
      <w:shd w:val="clear" w:color="auto" w:fill="auto"/>
      <w:vertAlign w:val="superscript"/>
    </w:rPr>
  </w:style>
  <w:style w:type="paragraph" w:customStyle="1" w:styleId="HeaderSensitivity">
    <w:name w:val="Header Sensitivity"/>
    <w:basedOn w:val="Normal"/>
    <w:rsid w:val="0051720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17205"/>
    <w:pPr>
      <w:spacing w:before="0"/>
      <w:jc w:val="right"/>
    </w:pPr>
    <w:rPr>
      <w:sz w:val="28"/>
    </w:rPr>
  </w:style>
  <w:style w:type="paragraph" w:customStyle="1" w:styleId="FooterSensitivity">
    <w:name w:val="Footer Sensitivity"/>
    <w:basedOn w:val="Normal"/>
    <w:rsid w:val="0051720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30"/>
      </w:numPr>
    </w:pPr>
  </w:style>
  <w:style w:type="paragraph" w:customStyle="1" w:styleId="Tiret1">
    <w:name w:val="Tiret 1"/>
    <w:basedOn w:val="Point1"/>
    <w:rsid w:val="00517205"/>
    <w:pPr>
      <w:numPr>
        <w:numId w:val="31"/>
      </w:numPr>
    </w:pPr>
  </w:style>
  <w:style w:type="paragraph" w:customStyle="1" w:styleId="Tiret2">
    <w:name w:val="Tiret 2"/>
    <w:basedOn w:val="Point2"/>
    <w:rsid w:val="00517205"/>
    <w:pPr>
      <w:numPr>
        <w:numId w:val="32"/>
      </w:numPr>
    </w:pPr>
  </w:style>
  <w:style w:type="paragraph" w:customStyle="1" w:styleId="Tiret3">
    <w:name w:val="Tiret 3"/>
    <w:basedOn w:val="Point3"/>
    <w:rsid w:val="00517205"/>
    <w:pPr>
      <w:numPr>
        <w:numId w:val="33"/>
      </w:numPr>
    </w:pPr>
  </w:style>
  <w:style w:type="paragraph" w:customStyle="1" w:styleId="Tiret4">
    <w:name w:val="Tiret 4"/>
    <w:basedOn w:val="Point4"/>
    <w:rsid w:val="00517205"/>
    <w:pPr>
      <w:numPr>
        <w:numId w:val="34"/>
      </w:numPr>
    </w:pPr>
  </w:style>
  <w:style w:type="paragraph" w:customStyle="1" w:styleId="Tiret5">
    <w:name w:val="Tiret 5"/>
    <w:basedOn w:val="Point5"/>
    <w:rsid w:val="00517205"/>
    <w:pPr>
      <w:numPr>
        <w:numId w:val="35"/>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36"/>
      </w:numPr>
    </w:pPr>
  </w:style>
  <w:style w:type="paragraph" w:customStyle="1" w:styleId="NumPar2">
    <w:name w:val="NumPar 2"/>
    <w:basedOn w:val="Normal"/>
    <w:next w:val="Text1"/>
    <w:rsid w:val="00517205"/>
    <w:pPr>
      <w:numPr>
        <w:ilvl w:val="1"/>
        <w:numId w:val="36"/>
      </w:numPr>
    </w:pPr>
  </w:style>
  <w:style w:type="paragraph" w:customStyle="1" w:styleId="NumPar3">
    <w:name w:val="NumPar 3"/>
    <w:basedOn w:val="Normal"/>
    <w:next w:val="Text1"/>
    <w:rsid w:val="00517205"/>
    <w:pPr>
      <w:numPr>
        <w:ilvl w:val="2"/>
        <w:numId w:val="36"/>
      </w:numPr>
    </w:pPr>
  </w:style>
  <w:style w:type="paragraph" w:customStyle="1" w:styleId="NumPar4">
    <w:name w:val="NumPar 4"/>
    <w:basedOn w:val="Normal"/>
    <w:next w:val="Text1"/>
    <w:rsid w:val="00517205"/>
    <w:pPr>
      <w:numPr>
        <w:ilvl w:val="3"/>
        <w:numId w:val="36"/>
      </w:numPr>
    </w:pPr>
  </w:style>
  <w:style w:type="paragraph" w:customStyle="1" w:styleId="NumPar5">
    <w:name w:val="NumPar 5"/>
    <w:basedOn w:val="Normal"/>
    <w:next w:val="Text2"/>
    <w:rsid w:val="00517205"/>
    <w:pPr>
      <w:numPr>
        <w:ilvl w:val="4"/>
        <w:numId w:val="36"/>
      </w:numPr>
    </w:pPr>
  </w:style>
  <w:style w:type="paragraph" w:customStyle="1" w:styleId="NumPar6">
    <w:name w:val="NumPar 6"/>
    <w:basedOn w:val="Normal"/>
    <w:next w:val="Text2"/>
    <w:rsid w:val="00517205"/>
    <w:pPr>
      <w:numPr>
        <w:ilvl w:val="5"/>
        <w:numId w:val="36"/>
      </w:numPr>
    </w:pPr>
  </w:style>
  <w:style w:type="paragraph" w:customStyle="1" w:styleId="NumPar7">
    <w:name w:val="NumPar 7"/>
    <w:basedOn w:val="Normal"/>
    <w:next w:val="Text2"/>
    <w:rsid w:val="00517205"/>
    <w:pPr>
      <w:numPr>
        <w:ilvl w:val="6"/>
        <w:numId w:val="36"/>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DefaultParagraphFont"/>
    <w:rsid w:val="00517205"/>
    <w:rPr>
      <w:color w:val="0000FF"/>
      <w:shd w:val="clear" w:color="auto" w:fill="auto"/>
    </w:rPr>
  </w:style>
  <w:style w:type="character" w:customStyle="1" w:styleId="Marker1">
    <w:name w:val="Marker1"/>
    <w:basedOn w:val="DefaultParagraphFont"/>
    <w:rsid w:val="00517205"/>
    <w:rPr>
      <w:color w:val="008000"/>
      <w:shd w:val="clear" w:color="auto" w:fill="auto"/>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38"/>
      </w:numPr>
    </w:pPr>
  </w:style>
  <w:style w:type="paragraph" w:customStyle="1" w:styleId="Point1number">
    <w:name w:val="Point 1 (number)"/>
    <w:basedOn w:val="Normal"/>
    <w:rsid w:val="00517205"/>
    <w:pPr>
      <w:numPr>
        <w:ilvl w:val="2"/>
        <w:numId w:val="38"/>
      </w:numPr>
    </w:pPr>
  </w:style>
  <w:style w:type="paragraph" w:customStyle="1" w:styleId="Point2number">
    <w:name w:val="Point 2 (number)"/>
    <w:basedOn w:val="Normal"/>
    <w:rsid w:val="00517205"/>
    <w:pPr>
      <w:numPr>
        <w:ilvl w:val="4"/>
        <w:numId w:val="38"/>
      </w:numPr>
    </w:pPr>
  </w:style>
  <w:style w:type="paragraph" w:customStyle="1" w:styleId="Point3number">
    <w:name w:val="Point 3 (number)"/>
    <w:basedOn w:val="Normal"/>
    <w:rsid w:val="00517205"/>
    <w:pPr>
      <w:numPr>
        <w:ilvl w:val="6"/>
        <w:numId w:val="38"/>
      </w:numPr>
    </w:pPr>
  </w:style>
  <w:style w:type="paragraph" w:customStyle="1" w:styleId="Point0letter">
    <w:name w:val="Point 0 (letter)"/>
    <w:basedOn w:val="Normal"/>
    <w:rsid w:val="00517205"/>
    <w:pPr>
      <w:numPr>
        <w:ilvl w:val="1"/>
        <w:numId w:val="38"/>
      </w:numPr>
    </w:pPr>
  </w:style>
  <w:style w:type="paragraph" w:customStyle="1" w:styleId="Point1letter">
    <w:name w:val="Point 1 (letter)"/>
    <w:basedOn w:val="Normal"/>
    <w:rsid w:val="00517205"/>
    <w:pPr>
      <w:numPr>
        <w:ilvl w:val="3"/>
        <w:numId w:val="38"/>
      </w:numPr>
    </w:pPr>
  </w:style>
  <w:style w:type="paragraph" w:customStyle="1" w:styleId="Point2letter">
    <w:name w:val="Point 2 (letter)"/>
    <w:basedOn w:val="Normal"/>
    <w:rsid w:val="00517205"/>
    <w:pPr>
      <w:numPr>
        <w:ilvl w:val="5"/>
        <w:numId w:val="38"/>
      </w:numPr>
    </w:pPr>
  </w:style>
  <w:style w:type="paragraph" w:customStyle="1" w:styleId="Point3letter">
    <w:name w:val="Point 3 (letter)"/>
    <w:basedOn w:val="Normal"/>
    <w:rsid w:val="00517205"/>
    <w:pPr>
      <w:numPr>
        <w:ilvl w:val="7"/>
        <w:numId w:val="38"/>
      </w:numPr>
    </w:pPr>
  </w:style>
  <w:style w:type="paragraph" w:customStyle="1" w:styleId="Point4letter">
    <w:name w:val="Point 4 (letter)"/>
    <w:basedOn w:val="Normal"/>
    <w:rsid w:val="00517205"/>
    <w:pPr>
      <w:numPr>
        <w:ilvl w:val="8"/>
        <w:numId w:val="38"/>
      </w:numPr>
    </w:pPr>
  </w:style>
  <w:style w:type="paragraph" w:customStyle="1" w:styleId="Bullet0">
    <w:name w:val="Bullet 0"/>
    <w:basedOn w:val="Normal"/>
    <w:rsid w:val="00517205"/>
    <w:pPr>
      <w:numPr>
        <w:numId w:val="39"/>
      </w:numPr>
    </w:pPr>
  </w:style>
  <w:style w:type="paragraph" w:customStyle="1" w:styleId="Bullet1">
    <w:name w:val="Bullet 1"/>
    <w:basedOn w:val="Normal"/>
    <w:rsid w:val="00517205"/>
    <w:pPr>
      <w:numPr>
        <w:numId w:val="40"/>
      </w:numPr>
    </w:pPr>
  </w:style>
  <w:style w:type="paragraph" w:customStyle="1" w:styleId="Bullet2">
    <w:name w:val="Bullet 2"/>
    <w:basedOn w:val="Normal"/>
    <w:rsid w:val="00517205"/>
    <w:pPr>
      <w:numPr>
        <w:numId w:val="41"/>
      </w:numPr>
    </w:pPr>
  </w:style>
  <w:style w:type="paragraph" w:customStyle="1" w:styleId="Bullet3">
    <w:name w:val="Bullet 3"/>
    <w:basedOn w:val="Normal"/>
    <w:rsid w:val="00517205"/>
    <w:pPr>
      <w:numPr>
        <w:numId w:val="42"/>
      </w:numPr>
    </w:pPr>
  </w:style>
  <w:style w:type="paragraph" w:customStyle="1" w:styleId="Bullet4">
    <w:name w:val="Bullet 4"/>
    <w:basedOn w:val="Normal"/>
    <w:rsid w:val="00517205"/>
    <w:pPr>
      <w:numPr>
        <w:numId w:val="43"/>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44"/>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738">
      <w:bodyDiv w:val="1"/>
      <w:marLeft w:val="0"/>
      <w:marRight w:val="0"/>
      <w:marTop w:val="0"/>
      <w:marBottom w:val="0"/>
      <w:divBdr>
        <w:top w:val="none" w:sz="0" w:space="0" w:color="auto"/>
        <w:left w:val="none" w:sz="0" w:space="0" w:color="auto"/>
        <w:bottom w:val="none" w:sz="0" w:space="0" w:color="auto"/>
        <w:right w:val="none" w:sz="0" w:space="0" w:color="auto"/>
      </w:divBdr>
      <w:divsChild>
        <w:div w:id="938291682">
          <w:marLeft w:val="0"/>
          <w:marRight w:val="0"/>
          <w:marTop w:val="0"/>
          <w:marBottom w:val="0"/>
          <w:divBdr>
            <w:top w:val="none" w:sz="0" w:space="0" w:color="auto"/>
            <w:left w:val="none" w:sz="0" w:space="0" w:color="auto"/>
            <w:bottom w:val="none" w:sz="0" w:space="0" w:color="auto"/>
            <w:right w:val="none" w:sz="0" w:space="0" w:color="auto"/>
          </w:divBdr>
        </w:div>
      </w:divsChild>
    </w:div>
    <w:div w:id="949363537">
      <w:bodyDiv w:val="1"/>
      <w:marLeft w:val="0"/>
      <w:marRight w:val="0"/>
      <w:marTop w:val="0"/>
      <w:marBottom w:val="0"/>
      <w:divBdr>
        <w:top w:val="none" w:sz="0" w:space="0" w:color="auto"/>
        <w:left w:val="none" w:sz="0" w:space="0" w:color="auto"/>
        <w:bottom w:val="none" w:sz="0" w:space="0" w:color="auto"/>
        <w:right w:val="none" w:sz="0" w:space="0" w:color="auto"/>
      </w:divBdr>
      <w:divsChild>
        <w:div w:id="824972431">
          <w:marLeft w:val="0"/>
          <w:marRight w:val="0"/>
          <w:marTop w:val="0"/>
          <w:marBottom w:val="0"/>
          <w:divBdr>
            <w:top w:val="none" w:sz="0" w:space="0" w:color="auto"/>
            <w:left w:val="none" w:sz="0" w:space="0" w:color="auto"/>
            <w:bottom w:val="none" w:sz="0" w:space="0" w:color="auto"/>
            <w:right w:val="none" w:sz="0" w:space="0" w:color="auto"/>
          </w:divBdr>
        </w:div>
      </w:divsChild>
    </w:div>
    <w:div w:id="15882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3AE254540994BBD772E5BCBE11F29" ma:contentTypeVersion="4" ma:contentTypeDescription="Create a new document." ma:contentTypeScope="" ma:versionID="222afb3486836adba99b7e3759471aa4">
  <xsd:schema xmlns:xsd="http://www.w3.org/2001/XMLSchema" xmlns:xs="http://www.w3.org/2001/XMLSchema" xmlns:p="http://schemas.microsoft.com/office/2006/metadata/properties" xmlns:ns2="a4c6cd38-953d-409e-8266-a7703513a0a4" targetNamespace="http://schemas.microsoft.com/office/2006/metadata/properties" ma:root="true" ma:fieldsID="571ec379ad384ad81942f0c37966c703" ns2:_="">
    <xsd:import namespace="a4c6cd38-953d-409e-8266-a7703513a0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cd38-953d-409e-8266-a7703513a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55874B6-4ED7-456E-AD66-8E9B0AF34875}">
  <ds:schemaRefs>
    <ds:schemaRef ds:uri="http://schemas.microsoft.com/sharepoint/v3/contenttype/forms"/>
  </ds:schemaRefs>
</ds:datastoreItem>
</file>

<file path=customXml/itemProps2.xml><?xml version="1.0" encoding="utf-8"?>
<ds:datastoreItem xmlns:ds="http://schemas.openxmlformats.org/officeDocument/2006/customXml" ds:itemID="{95801DB3-6A5C-4D66-A3B1-741F763F8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cd38-953d-409e-8266-a7703513a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CB5FB-9B5D-40D8-AF01-C479DF084C6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4c6cd38-953d-409e-8266-a7703513a0a4"/>
    <ds:schemaRef ds:uri="http://www.w3.org/XML/1998/namespace"/>
    <ds:schemaRef ds:uri="http://purl.org/dc/dcmitype/"/>
  </ds:schemaRefs>
</ds:datastoreItem>
</file>

<file path=customXml/itemProps4.xml><?xml version="1.0" encoding="utf-8"?>
<ds:datastoreItem xmlns:ds="http://schemas.openxmlformats.org/officeDocument/2006/customXml" ds:itemID="{547A63E7-D350-4353-A36E-341FBCA0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15</TotalTime>
  <Pages>3</Pages>
  <Words>1877</Words>
  <Characters>10402</Characters>
  <Application>Microsoft Office Word</Application>
  <DocSecurity>0</DocSecurity>
  <Lines>186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Elisabeth (CNECT)</dc:creator>
  <cp:keywords/>
  <dc:description/>
  <cp:lastModifiedBy>JIMENEZ FERNANDEZ Cecilio (CNECT)</cp:lastModifiedBy>
  <cp:revision>23</cp:revision>
  <dcterms:created xsi:type="dcterms:W3CDTF">2022-05-23T10:01:00Z</dcterms:created>
  <dcterms:modified xsi:type="dcterms:W3CDTF">2022-05-23T10:25:00Z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7.0.9.0</vt:lpwstr>
  </property>
  <property fmtid="{D5CDD505-2E9C-101B-9397-08002B2CF9AE}" pid="4" name="Last edited using">
    <vt:lpwstr>LW 8.0, Build 20220128</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2022-04-12T19:55:44Z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e6df5bff-d21c-4ea3-b202-8ed0c44ee718</vt:lpwstr>
  </property>
  <property fmtid="{D5CDD505-2E9C-101B-9397-08002B2CF9AE}" pid="16" name="MSIP_Label_6bd9ddd1-4d20-43f6-abfa-fc3c07406f94_ContentBits">
    <vt:lpwstr>0</vt:lpwstr>
  </property>
  <property fmtid="{D5CDD505-2E9C-101B-9397-08002B2CF9AE}" pid="17" name="ContentTypeId">
    <vt:lpwstr>0x0101003F53AE254540994BBD772E5BCBE11F29</vt:lpwstr>
  </property>
  <property fmtid="{D5CDD505-2E9C-101B-9397-08002B2CF9AE}" pid="18" name="DQCStatus">
    <vt:lpwstr>Green (DQC version 03)</vt:lpwstr>
  </property>
</Properties>
</file>