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5913" w14:textId="77777777" w:rsidR="00C86936" w:rsidRPr="00F23A87" w:rsidRDefault="00C86936" w:rsidP="00D81429">
      <w:pPr>
        <w:jc w:val="right"/>
        <w:outlineLvl w:val="0"/>
        <w:rPr>
          <w:rFonts w:ascii="Arial Narrow" w:hAnsi="Arial Narrow" w:cs="Arial"/>
          <w:b/>
          <w:color w:val="000000" w:themeColor="text1"/>
          <w:sz w:val="20"/>
          <w:szCs w:val="20"/>
        </w:rPr>
      </w:pPr>
    </w:p>
    <w:p w14:paraId="443F4F30" w14:textId="4856EC66" w:rsidR="00C86936" w:rsidRDefault="00C86936" w:rsidP="00D81429">
      <w:pPr>
        <w:jc w:val="right"/>
        <w:outlineLvl w:val="0"/>
        <w:rPr>
          <w:rFonts w:ascii="Arial Narrow" w:hAnsi="Arial Narrow" w:cs="Arial"/>
          <w:b/>
          <w:color w:val="000000" w:themeColor="text1"/>
          <w:sz w:val="20"/>
          <w:szCs w:val="20"/>
        </w:rPr>
      </w:pPr>
    </w:p>
    <w:p w14:paraId="49B7D275" w14:textId="2CB216EB" w:rsidR="00647DA7" w:rsidRDefault="00647DA7" w:rsidP="00D81429">
      <w:pPr>
        <w:jc w:val="right"/>
        <w:outlineLvl w:val="0"/>
        <w:rPr>
          <w:rFonts w:ascii="Arial Narrow" w:hAnsi="Arial Narrow" w:cs="Arial"/>
          <w:b/>
          <w:color w:val="000000" w:themeColor="text1"/>
          <w:sz w:val="20"/>
          <w:szCs w:val="20"/>
        </w:rPr>
      </w:pPr>
    </w:p>
    <w:p w14:paraId="4725F164" w14:textId="77777777" w:rsidR="00647DA7" w:rsidRPr="00F23A87" w:rsidRDefault="00647DA7" w:rsidP="00D81429">
      <w:pPr>
        <w:jc w:val="right"/>
        <w:outlineLvl w:val="0"/>
        <w:rPr>
          <w:rFonts w:ascii="Arial Narrow" w:hAnsi="Arial Narrow" w:cs="Arial"/>
          <w:b/>
          <w:color w:val="000000" w:themeColor="text1"/>
          <w:sz w:val="20"/>
          <w:szCs w:val="20"/>
        </w:rPr>
      </w:pPr>
    </w:p>
    <w:p w14:paraId="50C0A734" w14:textId="77777777" w:rsidR="002B4BB6" w:rsidRPr="00BC321E" w:rsidRDefault="002B4BB6" w:rsidP="001D15EF">
      <w:pPr>
        <w:spacing w:after="0" w:line="240" w:lineRule="auto"/>
        <w:ind w:left="1418" w:right="1139" w:hanging="360"/>
        <w:contextualSpacing/>
        <w:jc w:val="center"/>
        <w:outlineLvl w:val="0"/>
        <w:rPr>
          <w:rFonts w:ascii="Arial Narrow" w:eastAsia="Times New Roman" w:hAnsi="Arial Narrow" w:cs="Arial"/>
          <w:b/>
          <w:bCs/>
          <w:color w:val="000000" w:themeColor="text1"/>
          <w:sz w:val="28"/>
          <w:szCs w:val="28"/>
          <w:lang w:val="en-US" w:bidi="en-US"/>
        </w:rPr>
      </w:pPr>
      <w:r w:rsidRPr="00BC321E">
        <w:rPr>
          <w:rFonts w:ascii="Arial Narrow" w:eastAsia="Times New Roman" w:hAnsi="Arial Narrow" w:cs="Arial"/>
          <w:b/>
          <w:bCs/>
          <w:color w:val="000000" w:themeColor="text1"/>
          <w:sz w:val="28"/>
          <w:szCs w:val="28"/>
          <w:lang w:val="en-US" w:bidi="en-US"/>
        </w:rPr>
        <w:t xml:space="preserve">KRITÉRIÁ PRE VÝBER </w:t>
      </w:r>
      <w:r w:rsidRPr="00BC321E">
        <w:rPr>
          <w:rFonts w:ascii="Arial Narrow" w:eastAsia="Times New Roman" w:hAnsi="Arial Narrow" w:cs="Arial"/>
          <w:b/>
          <w:bCs/>
          <w:color w:val="000000" w:themeColor="text1"/>
          <w:sz w:val="28"/>
          <w:szCs w:val="28"/>
          <w:lang w:bidi="en-US"/>
        </w:rPr>
        <w:t>PROJEKTOV</w:t>
      </w:r>
      <w:r w:rsidRPr="00BC321E">
        <w:rPr>
          <w:rFonts w:ascii="Arial Narrow" w:eastAsia="Times New Roman" w:hAnsi="Arial Narrow" w:cs="Arial"/>
          <w:b/>
          <w:bCs/>
          <w:color w:val="000000" w:themeColor="text1"/>
          <w:sz w:val="28"/>
          <w:szCs w:val="28"/>
          <w:lang w:val="en-US" w:bidi="en-US"/>
        </w:rPr>
        <w:t xml:space="preserve"> - HODNOTIACE KRITÉRIÁ</w:t>
      </w:r>
    </w:p>
    <w:p w14:paraId="212545E8" w14:textId="77777777" w:rsidR="007C54B0" w:rsidRPr="00BC321E" w:rsidRDefault="002B4BB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pre hodnotenie žiadostí o NFP v</w:t>
      </w:r>
      <w:r w:rsidR="002C6CF7" w:rsidRPr="00BC321E">
        <w:rPr>
          <w:rFonts w:ascii="Arial Narrow" w:eastAsia="Arial Unicode MS" w:hAnsi="Arial Narrow" w:cs="Arial"/>
          <w:color w:val="000000" w:themeColor="text1"/>
          <w:sz w:val="28"/>
          <w:szCs w:val="28"/>
          <w:u w:color="000000"/>
        </w:rPr>
        <w:t> </w:t>
      </w:r>
      <w:r w:rsidRPr="00BC321E">
        <w:rPr>
          <w:rFonts w:ascii="Arial Narrow" w:eastAsia="Arial Unicode MS" w:hAnsi="Arial Narrow" w:cs="Arial"/>
          <w:color w:val="000000" w:themeColor="text1"/>
          <w:sz w:val="28"/>
          <w:szCs w:val="28"/>
          <w:u w:color="000000"/>
        </w:rPr>
        <w:t>rámci</w:t>
      </w:r>
      <w:r w:rsidR="002C6CF7" w:rsidRPr="00BC321E">
        <w:rPr>
          <w:rFonts w:ascii="Arial Narrow" w:eastAsia="Arial Unicode MS" w:hAnsi="Arial Narrow" w:cs="Arial"/>
          <w:color w:val="000000" w:themeColor="text1"/>
          <w:sz w:val="28"/>
          <w:szCs w:val="28"/>
          <w:u w:color="000000"/>
        </w:rPr>
        <w:t xml:space="preserve"> </w:t>
      </w:r>
      <w:r w:rsidR="00275344" w:rsidRPr="00BC321E">
        <w:rPr>
          <w:rFonts w:ascii="Arial Narrow" w:eastAsia="Arial Unicode MS" w:hAnsi="Arial Narrow" w:cs="Arial"/>
          <w:color w:val="000000" w:themeColor="text1"/>
          <w:sz w:val="28"/>
          <w:szCs w:val="28"/>
          <w:u w:color="000000"/>
        </w:rPr>
        <w:t>Programu Slovensko</w:t>
      </w:r>
      <w:r w:rsidR="00841262" w:rsidRPr="00BC321E">
        <w:rPr>
          <w:rFonts w:ascii="Arial Narrow" w:eastAsia="Arial Unicode MS" w:hAnsi="Arial Narrow" w:cs="Arial"/>
          <w:color w:val="000000" w:themeColor="text1"/>
          <w:sz w:val="28"/>
          <w:szCs w:val="28"/>
          <w:u w:color="000000"/>
        </w:rPr>
        <w:t xml:space="preserve"> 2021 </w:t>
      </w:r>
      <w:r w:rsidR="007C54B0" w:rsidRPr="00BC321E">
        <w:rPr>
          <w:rFonts w:ascii="Arial Narrow" w:eastAsia="Arial Unicode MS" w:hAnsi="Arial Narrow" w:cs="Arial"/>
          <w:color w:val="000000" w:themeColor="text1"/>
          <w:sz w:val="28"/>
          <w:szCs w:val="28"/>
          <w:u w:color="000000"/>
        </w:rPr>
        <w:t>–</w:t>
      </w:r>
      <w:r w:rsidR="00841262" w:rsidRPr="00BC321E">
        <w:rPr>
          <w:rFonts w:ascii="Arial Narrow" w:eastAsia="Arial Unicode MS" w:hAnsi="Arial Narrow" w:cs="Arial"/>
          <w:color w:val="000000" w:themeColor="text1"/>
          <w:sz w:val="28"/>
          <w:szCs w:val="28"/>
          <w:u w:color="000000"/>
        </w:rPr>
        <w:t xml:space="preserve"> 2027</w:t>
      </w:r>
      <w:r w:rsidR="007C54B0" w:rsidRPr="00BC321E">
        <w:rPr>
          <w:rFonts w:ascii="Arial Narrow" w:eastAsia="Arial Unicode MS" w:hAnsi="Arial Narrow" w:cs="Arial"/>
          <w:color w:val="000000" w:themeColor="text1"/>
          <w:sz w:val="28"/>
          <w:szCs w:val="28"/>
          <w:u w:color="000000"/>
        </w:rPr>
        <w:t xml:space="preserve">, </w:t>
      </w:r>
    </w:p>
    <w:p w14:paraId="09DB52A8" w14:textId="10B484CA" w:rsidR="002B4BB6" w:rsidRPr="00BC321E" w:rsidRDefault="007C54B0"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cieľa politiky súdržnosti 1 Konkurencieschopnejšia a inteligentnejšia Európa</w:t>
      </w:r>
    </w:p>
    <w:p w14:paraId="69A7A3D0" w14:textId="77777777" w:rsidR="007A0486"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80819C8" w14:textId="713F65E3" w:rsidR="00D936B5"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0A1944">
        <w:rPr>
          <w:rFonts w:ascii="Arial Narrow" w:eastAsia="Arial Unicode MS" w:hAnsi="Arial Narrow" w:cs="Arial"/>
          <w:b/>
          <w:color w:val="000000" w:themeColor="text1"/>
          <w:sz w:val="28"/>
          <w:szCs w:val="28"/>
          <w:u w:color="000000"/>
        </w:rPr>
        <w:t>POSKYTOVATE</w:t>
      </w:r>
      <w:r w:rsidR="00D936B5">
        <w:rPr>
          <w:rFonts w:ascii="Arial Narrow" w:eastAsia="Arial Unicode MS" w:hAnsi="Arial Narrow" w:cs="Arial"/>
          <w:b/>
          <w:color w:val="000000" w:themeColor="text1"/>
          <w:sz w:val="28"/>
          <w:szCs w:val="28"/>
          <w:u w:color="000000"/>
        </w:rPr>
        <w:t>Ľ</w:t>
      </w:r>
      <w:r w:rsidRPr="000A1944">
        <w:rPr>
          <w:rFonts w:ascii="Arial Narrow" w:eastAsia="Arial Unicode MS" w:hAnsi="Arial Narrow" w:cs="Arial"/>
          <w:b/>
          <w:color w:val="000000" w:themeColor="text1"/>
          <w:sz w:val="28"/>
          <w:szCs w:val="28"/>
          <w:u w:color="000000"/>
        </w:rPr>
        <w:t>:</w:t>
      </w:r>
      <w:r>
        <w:rPr>
          <w:rFonts w:ascii="Arial Narrow" w:eastAsia="Arial Unicode MS" w:hAnsi="Arial Narrow" w:cs="Arial"/>
          <w:color w:val="000000" w:themeColor="text1"/>
          <w:sz w:val="28"/>
          <w:szCs w:val="28"/>
          <w:u w:color="000000"/>
        </w:rPr>
        <w:t xml:space="preserve"> </w:t>
      </w:r>
    </w:p>
    <w:p w14:paraId="3DFEA590" w14:textId="2834AAE1" w:rsidR="002C6CF7"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Pr>
          <w:rFonts w:ascii="Arial Narrow" w:eastAsia="Arial Unicode MS" w:hAnsi="Arial Narrow" w:cs="Arial"/>
          <w:color w:val="000000" w:themeColor="text1"/>
          <w:sz w:val="28"/>
          <w:szCs w:val="28"/>
          <w:u w:color="000000"/>
        </w:rPr>
        <w:t xml:space="preserve">Ministerstvo investícií, regionálneho rozvoja a informatizácie Slovenskej republiky </w:t>
      </w:r>
    </w:p>
    <w:p w14:paraId="35B65C1C" w14:textId="77777777" w:rsidR="007A0486" w:rsidRPr="00BC321E"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D1CED97" w14:textId="77777777" w:rsidR="00841262"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ŠPECIFICKÝ CIEĽ</w:t>
      </w:r>
      <w:r w:rsidR="00841262" w:rsidRPr="00BC321E">
        <w:rPr>
          <w:rFonts w:ascii="Arial Narrow" w:eastAsia="Times New Roman" w:hAnsi="Arial Narrow" w:cs="Arial"/>
          <w:b/>
          <w:color w:val="000000" w:themeColor="text1"/>
          <w:sz w:val="28"/>
          <w:szCs w:val="28"/>
        </w:rPr>
        <w:t>:</w:t>
      </w:r>
    </w:p>
    <w:p w14:paraId="6D22576E" w14:textId="12048943" w:rsidR="00347061"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RSO</w:t>
      </w:r>
      <w:r w:rsidR="00841262" w:rsidRPr="00BC321E">
        <w:rPr>
          <w:rFonts w:ascii="Arial Narrow" w:eastAsia="Times New Roman" w:hAnsi="Arial Narrow" w:cs="Arial"/>
          <w:b/>
          <w:color w:val="000000" w:themeColor="text1"/>
          <w:sz w:val="28"/>
          <w:szCs w:val="28"/>
        </w:rPr>
        <w:t>1</w:t>
      </w:r>
      <w:r w:rsidRPr="00BC321E">
        <w:rPr>
          <w:rFonts w:ascii="Arial Narrow" w:eastAsia="Times New Roman" w:hAnsi="Arial Narrow" w:cs="Arial"/>
          <w:b/>
          <w:color w:val="000000" w:themeColor="text1"/>
          <w:sz w:val="28"/>
          <w:szCs w:val="28"/>
        </w:rPr>
        <w:t xml:space="preserve">.2 </w:t>
      </w:r>
      <w:r w:rsidR="00841262" w:rsidRPr="00BC321E">
        <w:rPr>
          <w:rFonts w:ascii="Arial Narrow" w:eastAsia="Times New Roman" w:hAnsi="Arial Narrow" w:cs="Arial"/>
          <w:color w:val="000000" w:themeColor="text1"/>
          <w:sz w:val="28"/>
          <w:szCs w:val="28"/>
        </w:rPr>
        <w:t>Využívanie prínosov digitalizácie pre občanov, podniky, výskumné organizácie a orgány verejnej správy</w:t>
      </w:r>
      <w:r w:rsidR="00F50271" w:rsidRPr="00BC321E">
        <w:rPr>
          <w:rFonts w:ascii="Arial Narrow" w:eastAsia="Times New Roman" w:hAnsi="Arial Narrow" w:cs="Arial"/>
          <w:color w:val="000000" w:themeColor="text1"/>
          <w:sz w:val="28"/>
          <w:szCs w:val="28"/>
        </w:rPr>
        <w:t xml:space="preserve"> (ďalej ako „ŠC RSO1.2“)</w:t>
      </w:r>
      <w:r w:rsidR="00841262" w:rsidRPr="00BC321E">
        <w:rPr>
          <w:rFonts w:ascii="Arial Narrow" w:eastAsia="Times New Roman" w:hAnsi="Arial Narrow" w:cs="Arial"/>
          <w:color w:val="000000" w:themeColor="text1"/>
          <w:sz w:val="28"/>
          <w:szCs w:val="28"/>
        </w:rPr>
        <w:t>,</w:t>
      </w:r>
    </w:p>
    <w:p w14:paraId="50E3B990" w14:textId="4706704E" w:rsidR="00841262" w:rsidRPr="00BC321E" w:rsidRDefault="00841262"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commentRangeStart w:id="0"/>
      <w:commentRangeStart w:id="1"/>
      <w:r w:rsidRPr="00BC321E">
        <w:rPr>
          <w:rFonts w:ascii="Arial Narrow" w:eastAsia="Times New Roman" w:hAnsi="Arial Narrow" w:cs="Arial"/>
          <w:b/>
          <w:color w:val="000000" w:themeColor="text1"/>
          <w:sz w:val="28"/>
          <w:szCs w:val="28"/>
        </w:rPr>
        <w:t>RSO1.4</w:t>
      </w:r>
      <w:r w:rsidRPr="00BC321E">
        <w:rPr>
          <w:rFonts w:ascii="Arial Narrow" w:eastAsia="Times New Roman" w:hAnsi="Arial Narrow" w:cs="Times New Roman"/>
          <w:sz w:val="28"/>
          <w:szCs w:val="28"/>
          <w:lang w:bidi="en-US"/>
        </w:rPr>
        <w:t xml:space="preserve"> </w:t>
      </w:r>
      <w:r w:rsidRPr="00BC321E">
        <w:rPr>
          <w:rFonts w:ascii="Arial Narrow" w:eastAsia="Times New Roman" w:hAnsi="Arial Narrow" w:cs="Arial"/>
          <w:color w:val="000000" w:themeColor="text1"/>
          <w:sz w:val="28"/>
          <w:szCs w:val="28"/>
        </w:rPr>
        <w:t>Rozvoj pre inteligentnú špecializáciu, priemyselnú transformáciu a podnikanie (EFRR)</w:t>
      </w:r>
      <w:r w:rsidR="00F50271" w:rsidRPr="00BC321E">
        <w:rPr>
          <w:rFonts w:ascii="Arial Narrow" w:eastAsia="Times New Roman" w:hAnsi="Arial Narrow" w:cs="Arial"/>
          <w:color w:val="000000" w:themeColor="text1"/>
          <w:sz w:val="28"/>
          <w:szCs w:val="28"/>
        </w:rPr>
        <w:t xml:space="preserve"> (ďalej ako „ŠC RSO1.4“),</w:t>
      </w:r>
    </w:p>
    <w:commentRangeEnd w:id="0"/>
    <w:commentRangeEnd w:id="1"/>
    <w:p w14:paraId="691FCD22" w14:textId="77777777" w:rsidR="00F50271" w:rsidRPr="00BC321E"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rPr>
      </w:pPr>
    </w:p>
    <w:p w14:paraId="5A81300B" w14:textId="2746FB34" w:rsidR="00740CA8" w:rsidRPr="00BC321E" w:rsidRDefault="00841262"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u w:val="single"/>
        </w:rPr>
      </w:pPr>
      <w:r w:rsidRPr="00BC321E">
        <w:rPr>
          <w:rFonts w:ascii="Arial Narrow" w:eastAsia="Times New Roman" w:hAnsi="Arial Narrow" w:cs="Arial"/>
          <w:b/>
          <w:caps/>
          <w:color w:val="000000" w:themeColor="text1"/>
          <w:sz w:val="28"/>
          <w:szCs w:val="28"/>
          <w:u w:val="single"/>
        </w:rPr>
        <w:t xml:space="preserve">Národné </w:t>
      </w:r>
      <w:r w:rsidR="00740CA8" w:rsidRPr="00BC321E">
        <w:rPr>
          <w:rFonts w:ascii="Arial Narrow" w:eastAsia="Times New Roman" w:hAnsi="Arial Narrow" w:cs="Arial"/>
          <w:b/>
          <w:caps/>
          <w:color w:val="000000" w:themeColor="text1"/>
          <w:sz w:val="28"/>
          <w:szCs w:val="28"/>
          <w:u w:val="single"/>
        </w:rPr>
        <w:t>projekty</w:t>
      </w:r>
    </w:p>
    <w:p w14:paraId="6BF86353" w14:textId="77777777" w:rsidR="00F50271" w:rsidRPr="00F23A87"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19"/>
          <w:szCs w:val="19"/>
        </w:rPr>
      </w:pPr>
    </w:p>
    <w:p w14:paraId="05BAD55C" w14:textId="7CD99A6D" w:rsidR="00CB4106" w:rsidRPr="00CB4106" w:rsidRDefault="00CB4106" w:rsidP="00D72856">
      <w:pPr>
        <w:pStyle w:val="L1"/>
        <w:numPr>
          <w:ilvl w:val="0"/>
          <w:numId w:val="46"/>
        </w:numPr>
        <w:spacing w:after="240"/>
        <w:rPr>
          <w:sz w:val="22"/>
          <w:szCs w:val="22"/>
        </w:rPr>
      </w:pPr>
      <w:r w:rsidRPr="00CB4106">
        <w:rPr>
          <w:sz w:val="22"/>
          <w:szCs w:val="22"/>
        </w:rPr>
        <w:lastRenderedPageBreak/>
        <w:t>Úvod</w:t>
      </w:r>
    </w:p>
    <w:p w14:paraId="73861F63" w14:textId="7FBF18C7" w:rsidR="00AA2F7D" w:rsidRPr="00AA2F7D" w:rsidRDefault="00AA2F7D" w:rsidP="00AA2F7D">
      <w:pPr>
        <w:keepNext/>
        <w:spacing w:after="120"/>
        <w:jc w:val="both"/>
        <w:rPr>
          <w:rFonts w:ascii="Arial Narrow" w:hAnsi="Arial Narrow"/>
        </w:rPr>
      </w:pPr>
      <w:r w:rsidRPr="00AA2F7D">
        <w:rPr>
          <w:rFonts w:ascii="Arial Narrow" w:hAnsi="Arial Narrow"/>
        </w:rPr>
        <w:t xml:space="preserve">Výber </w:t>
      </w:r>
      <w:r w:rsidR="00E61D7C">
        <w:rPr>
          <w:rFonts w:ascii="Arial Narrow" w:hAnsi="Arial Narrow"/>
        </w:rPr>
        <w:t xml:space="preserve">národných </w:t>
      </w:r>
      <w:r w:rsidRPr="00AA2F7D">
        <w:rPr>
          <w:rFonts w:ascii="Arial Narrow" w:hAnsi="Arial Narrow"/>
        </w:rPr>
        <w:t>projektov na implementáciu</w:t>
      </w:r>
      <w:r w:rsidR="00E61D7C">
        <w:rPr>
          <w:rFonts w:ascii="Arial Narrow" w:hAnsi="Arial Narrow"/>
        </w:rPr>
        <w:t xml:space="preserve"> v rámci </w:t>
      </w:r>
      <w:r w:rsidR="007C54B0" w:rsidRPr="007C54B0">
        <w:rPr>
          <w:rFonts w:ascii="Arial Narrow" w:hAnsi="Arial Narrow"/>
          <w:b/>
        </w:rPr>
        <w:t>Cieľa</w:t>
      </w:r>
      <w:r w:rsidR="007C54B0">
        <w:rPr>
          <w:rFonts w:ascii="Arial Narrow" w:hAnsi="Arial Narrow"/>
          <w:b/>
        </w:rPr>
        <w:t xml:space="preserve"> politiky súdržnosti</w:t>
      </w:r>
      <w:r w:rsidR="007C54B0" w:rsidRPr="007C54B0">
        <w:rPr>
          <w:rFonts w:ascii="Arial Narrow" w:hAnsi="Arial Narrow"/>
          <w:b/>
        </w:rPr>
        <w:t xml:space="preserve"> 1</w:t>
      </w:r>
      <w:r w:rsidR="007C54B0">
        <w:rPr>
          <w:rFonts w:ascii="Arial Narrow" w:hAnsi="Arial Narrow"/>
        </w:rPr>
        <w:t xml:space="preserve"> K</w:t>
      </w:r>
      <w:r w:rsidR="007C54B0" w:rsidRPr="007C54B0">
        <w:rPr>
          <w:rFonts w:ascii="Arial Narrow" w:hAnsi="Arial Narrow"/>
          <w:b/>
          <w:bCs/>
        </w:rPr>
        <w:t>onkurencieschopnejšia a inteligentnejšia Európa</w:t>
      </w:r>
      <w:r w:rsidR="007C54B0">
        <w:rPr>
          <w:rFonts w:ascii="Arial Narrow" w:hAnsi="Arial Narrow"/>
          <w:b/>
          <w:bCs/>
        </w:rPr>
        <w:t xml:space="preserve">, </w:t>
      </w:r>
      <w:r w:rsidR="00E61D7C" w:rsidRPr="007C54B0">
        <w:rPr>
          <w:rFonts w:ascii="Arial Narrow" w:eastAsia="Times New Roman" w:hAnsi="Arial Narrow" w:cs="Arial"/>
          <w:b/>
          <w:color w:val="000000" w:themeColor="text1"/>
        </w:rPr>
        <w:t>ŠC RSO1.2</w:t>
      </w:r>
      <w:r w:rsidR="000A1944">
        <w:rPr>
          <w:rFonts w:ascii="Arial Narrow" w:eastAsia="Times New Roman" w:hAnsi="Arial Narrow" w:cs="Arial"/>
          <w:b/>
          <w:color w:val="000000" w:themeColor="text1"/>
        </w:rPr>
        <w:t xml:space="preserve"> a</w:t>
      </w:r>
      <w:r w:rsidR="00E61D7C" w:rsidRPr="007C54B0">
        <w:rPr>
          <w:rFonts w:ascii="Arial Narrow" w:eastAsia="Times New Roman" w:hAnsi="Arial Narrow" w:cs="Arial"/>
          <w:b/>
          <w:color w:val="000000" w:themeColor="text1"/>
        </w:rPr>
        <w:t xml:space="preserve"> RSO1.4</w:t>
      </w:r>
      <w:r w:rsidR="00E61D7C">
        <w:rPr>
          <w:rFonts w:ascii="Arial Narrow" w:eastAsia="Times New Roman" w:hAnsi="Arial Narrow" w:cs="Arial"/>
          <w:color w:val="000000" w:themeColor="text1"/>
        </w:rPr>
        <w:t xml:space="preserve"> </w:t>
      </w:r>
      <w:r w:rsidRPr="00AA2F7D">
        <w:rPr>
          <w:rFonts w:ascii="Arial Narrow" w:hAnsi="Arial Narrow"/>
        </w:rPr>
        <w:t>bude rešpektovať výstupy dokumentov spracovaných pre potreby programového obdobia 2021 – 2027</w:t>
      </w:r>
      <w:r w:rsidR="00F50388">
        <w:rPr>
          <w:rStyle w:val="Odkaznapoznmkupodiarou"/>
          <w:rFonts w:ascii="Arial Narrow" w:hAnsi="Arial Narrow"/>
        </w:rPr>
        <w:footnoteReference w:id="1"/>
      </w:r>
      <w:r w:rsidRPr="00AA2F7D">
        <w:rPr>
          <w:rFonts w:ascii="Arial Narrow" w:hAnsi="Arial Narrow"/>
        </w:rPr>
        <w:t xml:space="preserve">, </w:t>
      </w:r>
      <w:r w:rsidR="00E61D7C">
        <w:rPr>
          <w:rFonts w:ascii="Arial Narrow" w:hAnsi="Arial Narrow"/>
        </w:rPr>
        <w:t xml:space="preserve">ako aj príslušnú </w:t>
      </w:r>
      <w:r w:rsidRPr="00AA2F7D">
        <w:rPr>
          <w:rFonts w:ascii="Arial Narrow" w:hAnsi="Arial Narrow"/>
        </w:rPr>
        <w:t>legislatívu</w:t>
      </w:r>
      <w:r w:rsidR="00E61D7C" w:rsidRPr="00AA2F7D">
        <w:rPr>
          <w:rFonts w:ascii="Arial Narrow" w:hAnsi="Arial Narrow"/>
        </w:rPr>
        <w:t xml:space="preserve"> </w:t>
      </w:r>
      <w:r w:rsidRPr="00AA2F7D">
        <w:rPr>
          <w:rFonts w:ascii="Arial Narrow" w:hAnsi="Arial Narrow"/>
        </w:rPr>
        <w:t xml:space="preserve">pre oblasť </w:t>
      </w:r>
      <w:r w:rsidR="00E61D7C">
        <w:rPr>
          <w:rFonts w:ascii="Arial Narrow" w:hAnsi="Arial Narrow"/>
        </w:rPr>
        <w:t>rozvoja informačnej spoločnosti</w:t>
      </w:r>
      <w:r w:rsidRPr="00AA2F7D">
        <w:rPr>
          <w:rFonts w:ascii="Arial Narrow" w:hAnsi="Arial Narrow"/>
        </w:rPr>
        <w:t>.</w:t>
      </w:r>
    </w:p>
    <w:p w14:paraId="02E532D2" w14:textId="77777777" w:rsidR="00BC321E" w:rsidRDefault="00AA2F7D" w:rsidP="00AA2F7D">
      <w:pPr>
        <w:keepNext/>
        <w:spacing w:after="120"/>
        <w:jc w:val="both"/>
        <w:rPr>
          <w:rFonts w:ascii="Arial Narrow" w:hAnsi="Arial Narrow"/>
        </w:rPr>
      </w:pPr>
      <w:r w:rsidRPr="00AA2F7D">
        <w:rPr>
          <w:rFonts w:ascii="Arial Narrow" w:hAnsi="Arial Narrow"/>
          <w:b/>
        </w:rPr>
        <w:t>Kritéria pre výber projektov – hodnotiace kritéria</w:t>
      </w:r>
      <w:r>
        <w:rPr>
          <w:rFonts w:ascii="Arial Narrow" w:hAnsi="Arial Narrow"/>
          <w:b/>
        </w:rPr>
        <w:t xml:space="preserve"> – národné projekty</w:t>
      </w:r>
      <w:r w:rsidR="00437B87">
        <w:rPr>
          <w:rFonts w:ascii="Arial Narrow" w:hAnsi="Arial Narrow"/>
          <w:b/>
        </w:rPr>
        <w:t xml:space="preserve"> (ďalej ako „hodnotiace kritéria“) </w:t>
      </w:r>
      <w:r w:rsidR="00C349E7" w:rsidRPr="00437B87">
        <w:rPr>
          <w:rFonts w:ascii="Arial Narrow" w:hAnsi="Arial Narrow"/>
          <w:b/>
        </w:rPr>
        <w:t>predstavujú</w:t>
      </w:r>
      <w:r w:rsidR="00C349E7">
        <w:rPr>
          <w:rFonts w:ascii="Arial Narrow" w:hAnsi="Arial Narrow"/>
          <w:b/>
        </w:rPr>
        <w:t xml:space="preserve"> tzv. vecné kritéria</w:t>
      </w:r>
      <w:r w:rsidR="00437B87" w:rsidRPr="00437B87">
        <w:rPr>
          <w:rFonts w:ascii="Arial" w:hAnsi="Arial" w:cs="Arial"/>
          <w:sz w:val="18"/>
          <w:szCs w:val="18"/>
        </w:rPr>
        <w:t xml:space="preserve"> </w:t>
      </w:r>
      <w:r w:rsidR="00437B87" w:rsidRPr="00437B87">
        <w:rPr>
          <w:rFonts w:ascii="Arial Narrow" w:hAnsi="Arial Narrow"/>
        </w:rPr>
        <w:t>pre výber národných projektov</w:t>
      </w:r>
      <w:r w:rsidR="00BC321E">
        <w:rPr>
          <w:rStyle w:val="Odkaznapoznmkupodiarou"/>
          <w:rFonts w:ascii="Arial Narrow" w:hAnsi="Arial Narrow"/>
        </w:rPr>
        <w:footnoteReference w:id="2"/>
      </w:r>
      <w:r w:rsidR="00437B87" w:rsidRPr="00437B87">
        <w:rPr>
          <w:rFonts w:ascii="Arial Narrow" w:hAnsi="Arial Narrow"/>
        </w:rPr>
        <w:t xml:space="preserve"> </w:t>
      </w:r>
      <w:r w:rsidR="00437B87">
        <w:rPr>
          <w:rFonts w:ascii="Arial Narrow" w:hAnsi="Arial Narrow"/>
        </w:rPr>
        <w:t xml:space="preserve">nad rámec minimálnych požiadaviek na výber projektov podľa článku 73 </w:t>
      </w:r>
      <w:r w:rsidR="00437B87" w:rsidRPr="00AA2F7D">
        <w:rPr>
          <w:rFonts w:ascii="Arial Narrow" w:hAnsi="Arial Narrow"/>
          <w:b/>
        </w:rPr>
        <w:t>Nariadenia Európskeho parlamentu a Rady (EÚ) 2021/1060 z 24. júna 2021</w:t>
      </w:r>
      <w:r w:rsidR="00437B87" w:rsidRPr="00AA2F7D">
        <w:rPr>
          <w:rFonts w:ascii="Arial Narrow" w:hAnsi="Arial Narrow"/>
        </w:rPr>
        <w:t>,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r w:rsidR="00BC321E">
        <w:rPr>
          <w:rFonts w:ascii="Arial Narrow" w:hAnsi="Arial Narrow"/>
        </w:rPr>
        <w:t xml:space="preserve"> (ďalej ako „všeobecné nariadenie“).</w:t>
      </w:r>
    </w:p>
    <w:p w14:paraId="6E7F2403" w14:textId="4AFFF5B1" w:rsidR="00AA2F7D" w:rsidRPr="00AA2F7D" w:rsidRDefault="00437B87" w:rsidP="00AA2F7D">
      <w:pPr>
        <w:keepNext/>
        <w:spacing w:after="120"/>
        <w:jc w:val="both"/>
        <w:rPr>
          <w:rFonts w:ascii="Arial Narrow" w:hAnsi="Arial Narrow"/>
        </w:rPr>
      </w:pPr>
      <w:r>
        <w:rPr>
          <w:rFonts w:ascii="Arial Narrow" w:hAnsi="Arial Narrow"/>
        </w:rPr>
        <w:t xml:space="preserve">Tieto vecné hodnotiace kritéria </w:t>
      </w:r>
      <w:r w:rsidR="00AA2F7D" w:rsidRPr="00AA2F7D">
        <w:rPr>
          <w:rFonts w:ascii="Arial Narrow" w:hAnsi="Arial Narrow"/>
        </w:rPr>
        <w:t xml:space="preserve">ako aj každá ich zmena, </w:t>
      </w:r>
      <w:r w:rsidR="00AA2F7D" w:rsidRPr="00AA2F7D">
        <w:rPr>
          <w:rFonts w:ascii="Arial Narrow" w:hAnsi="Arial Narrow"/>
          <w:b/>
        </w:rPr>
        <w:t>podlieha</w:t>
      </w:r>
      <w:r w:rsidR="00AA2F7D">
        <w:rPr>
          <w:rFonts w:ascii="Arial Narrow" w:hAnsi="Arial Narrow"/>
          <w:b/>
        </w:rPr>
        <w:t>jú</w:t>
      </w:r>
      <w:r w:rsidR="00AA2F7D" w:rsidRPr="00AA2F7D">
        <w:rPr>
          <w:rFonts w:ascii="Arial Narrow" w:hAnsi="Arial Narrow"/>
        </w:rPr>
        <w:t xml:space="preserve"> podľa </w:t>
      </w:r>
      <w:r w:rsidR="00AA2F7D" w:rsidRPr="00AA2F7D">
        <w:rPr>
          <w:rFonts w:ascii="Arial Narrow" w:hAnsi="Arial Narrow"/>
          <w:b/>
        </w:rPr>
        <w:t>čl. 40, ods. 2</w:t>
      </w:r>
      <w:r w:rsidR="00BC321E">
        <w:rPr>
          <w:rFonts w:ascii="Arial Narrow" w:hAnsi="Arial Narrow"/>
          <w:b/>
        </w:rPr>
        <w:t xml:space="preserve"> všeobecného nariadenia</w:t>
      </w:r>
      <w:r w:rsidR="00AA2F7D" w:rsidRPr="00AA2F7D">
        <w:rPr>
          <w:rFonts w:ascii="Arial Narrow" w:hAnsi="Arial Narrow"/>
          <w:b/>
        </w:rPr>
        <w:t xml:space="preserve"> schváleniu Monitorovacím výborom pre Program Slovensko 2021 – 2027</w:t>
      </w:r>
      <w:r w:rsidR="00AA2F7D" w:rsidRPr="00AA2F7D">
        <w:rPr>
          <w:rFonts w:ascii="Arial Narrow" w:hAnsi="Arial Narrow"/>
        </w:rPr>
        <w:t xml:space="preserve"> </w:t>
      </w:r>
      <w:r w:rsidR="00AA2F7D" w:rsidRPr="000A1944">
        <w:rPr>
          <w:rFonts w:ascii="Arial Narrow" w:hAnsi="Arial Narrow"/>
          <w:b/>
        </w:rPr>
        <w:t>po ich prerokovaní v Komisii pri Monitorovacom výbore pre Program Slovensko 2021 – 2027 pre cieľ 1 (Konkurencieschopnejšia a inteligentnejšia Európa)</w:t>
      </w:r>
      <w:r w:rsidR="00AA2F7D" w:rsidRPr="00AA2F7D">
        <w:rPr>
          <w:rFonts w:ascii="Arial Narrow" w:hAnsi="Arial Narrow"/>
        </w:rPr>
        <w:t xml:space="preserve"> politiky súdržnosti EÚ.</w:t>
      </w:r>
    </w:p>
    <w:p w14:paraId="6CD928EC" w14:textId="0A7756DE" w:rsidR="00CB4106" w:rsidRPr="002A4A08" w:rsidRDefault="00437B87" w:rsidP="00CB4106">
      <w:pPr>
        <w:keepNext/>
        <w:spacing w:after="120"/>
        <w:jc w:val="both"/>
        <w:rPr>
          <w:rFonts w:ascii="Arial Narrow" w:hAnsi="Arial Narrow"/>
        </w:rPr>
      </w:pPr>
      <w:r>
        <w:rPr>
          <w:rFonts w:ascii="Arial Narrow" w:hAnsi="Arial Narrow"/>
          <w:b/>
        </w:rPr>
        <w:t>H</w:t>
      </w:r>
      <w:r w:rsidR="00900A28" w:rsidRPr="002A4A08">
        <w:rPr>
          <w:rFonts w:ascii="Arial Narrow" w:hAnsi="Arial Narrow"/>
          <w:b/>
        </w:rPr>
        <w:t>odnotiace kritéria</w:t>
      </w:r>
      <w:r w:rsidR="00AA2F7D">
        <w:rPr>
          <w:rFonts w:ascii="Arial Narrow" w:hAnsi="Arial Narrow"/>
          <w:b/>
        </w:rPr>
        <w:t xml:space="preserve"> </w:t>
      </w:r>
      <w:r w:rsidR="00CB4106" w:rsidRPr="002A4A08">
        <w:rPr>
          <w:rFonts w:ascii="Arial Narrow" w:hAnsi="Arial Narrow"/>
        </w:rPr>
        <w:t>vypracoval Riadiaci orgán pre Program Slovensko 2027 – 2027</w:t>
      </w:r>
      <w:r w:rsidR="00CB4106" w:rsidRPr="002A4A08">
        <w:rPr>
          <w:rFonts w:ascii="Arial Narrow" w:hAnsi="Arial Narrow"/>
          <w:vertAlign w:val="superscript"/>
        </w:rPr>
        <w:footnoteReference w:id="3"/>
      </w:r>
      <w:r w:rsidR="00CB4106" w:rsidRPr="002A4A08">
        <w:rPr>
          <w:rFonts w:ascii="Arial Narrow" w:hAnsi="Arial Narrow"/>
        </w:rPr>
        <w:t xml:space="preserve"> </w:t>
      </w:r>
      <w:r w:rsidR="00CB4106" w:rsidRPr="002A4A08">
        <w:rPr>
          <w:rFonts w:ascii="Arial Narrow" w:hAnsi="Arial Narrow"/>
          <w:b/>
        </w:rPr>
        <w:t>pre oblasti podpory</w:t>
      </w:r>
      <w:r w:rsidR="00CB4106" w:rsidRPr="002A4A08">
        <w:rPr>
          <w:rFonts w:ascii="Arial Narrow" w:hAnsi="Arial Narrow"/>
        </w:rPr>
        <w:t xml:space="preserve"> Programu Slovensko 2021 – 2027, v rámci:</w:t>
      </w:r>
    </w:p>
    <w:tbl>
      <w:tblPr>
        <w:tblStyle w:val="Mriekatabuky"/>
        <w:tblW w:w="15446" w:type="dxa"/>
        <w:tblLook w:val="04A0" w:firstRow="1" w:lastRow="0" w:firstColumn="1" w:lastColumn="0" w:noHBand="0" w:noVBand="1"/>
      </w:tblPr>
      <w:tblGrid>
        <w:gridCol w:w="1696"/>
        <w:gridCol w:w="2549"/>
        <w:gridCol w:w="11201"/>
      </w:tblGrid>
      <w:tr w:rsidR="00CB4106" w:rsidRPr="00723C2E" w14:paraId="47B37132" w14:textId="77777777" w:rsidTr="00A17B4E">
        <w:trPr>
          <w:trHeight w:val="300"/>
        </w:trPr>
        <w:tc>
          <w:tcPr>
            <w:tcW w:w="1696" w:type="dxa"/>
            <w:shd w:val="clear" w:color="auto" w:fill="5B9BD5" w:themeFill="accent1"/>
            <w:noWrap/>
            <w:hideMark/>
          </w:tcPr>
          <w:p w14:paraId="6DA50E1A" w14:textId="77777777" w:rsidR="00CB4106" w:rsidRPr="00723C2E" w:rsidRDefault="00CB4106" w:rsidP="00F77C01">
            <w:pPr>
              <w:spacing w:after="120"/>
              <w:jc w:val="both"/>
              <w:rPr>
                <w:rFonts w:ascii="Arial Narrow" w:hAnsi="Arial Narrow"/>
                <w:b/>
                <w:bCs/>
              </w:rPr>
            </w:pPr>
            <w:r w:rsidRPr="00723C2E">
              <w:rPr>
                <w:rFonts w:ascii="Arial Narrow" w:hAnsi="Arial Narrow"/>
                <w:b/>
                <w:bCs/>
              </w:rPr>
              <w:t>Špecifický cieľ</w:t>
            </w:r>
          </w:p>
        </w:tc>
        <w:tc>
          <w:tcPr>
            <w:tcW w:w="2549" w:type="dxa"/>
            <w:shd w:val="clear" w:color="auto" w:fill="5B9BD5" w:themeFill="accent1"/>
            <w:noWrap/>
            <w:hideMark/>
          </w:tcPr>
          <w:p w14:paraId="701AF979" w14:textId="57887D3F" w:rsidR="00CB4106" w:rsidRPr="00723C2E" w:rsidRDefault="00043650" w:rsidP="00F77C01">
            <w:pPr>
              <w:spacing w:after="120"/>
              <w:jc w:val="both"/>
              <w:rPr>
                <w:rFonts w:ascii="Arial Narrow" w:hAnsi="Arial Narrow"/>
                <w:b/>
                <w:bCs/>
              </w:rPr>
            </w:pPr>
            <w:r>
              <w:rPr>
                <w:rFonts w:ascii="Arial Narrow" w:hAnsi="Arial Narrow"/>
                <w:b/>
                <w:bCs/>
              </w:rPr>
              <w:t>Opatrenie</w:t>
            </w:r>
          </w:p>
        </w:tc>
        <w:tc>
          <w:tcPr>
            <w:tcW w:w="11201" w:type="dxa"/>
            <w:shd w:val="clear" w:color="auto" w:fill="5B9BD5" w:themeFill="accent1"/>
            <w:noWrap/>
            <w:hideMark/>
          </w:tcPr>
          <w:p w14:paraId="55E184E0" w14:textId="77777777" w:rsidR="00CB4106" w:rsidRPr="00723C2E" w:rsidRDefault="00CB4106" w:rsidP="00F77C01">
            <w:pPr>
              <w:spacing w:after="120"/>
              <w:jc w:val="both"/>
              <w:rPr>
                <w:rFonts w:ascii="Arial Narrow" w:hAnsi="Arial Narrow"/>
                <w:b/>
                <w:bCs/>
              </w:rPr>
            </w:pPr>
            <w:r w:rsidRPr="00723C2E">
              <w:rPr>
                <w:rFonts w:ascii="Arial Narrow" w:hAnsi="Arial Narrow"/>
                <w:b/>
                <w:bCs/>
              </w:rPr>
              <w:t>Aktivity</w:t>
            </w:r>
          </w:p>
        </w:tc>
      </w:tr>
      <w:tr w:rsidR="00CB4106" w:rsidRPr="00723C2E" w14:paraId="18BB29B0" w14:textId="77777777" w:rsidTr="002A4A08">
        <w:trPr>
          <w:trHeight w:val="3011"/>
        </w:trPr>
        <w:tc>
          <w:tcPr>
            <w:tcW w:w="1696" w:type="dxa"/>
            <w:vMerge w:val="restart"/>
            <w:shd w:val="clear" w:color="auto" w:fill="FFF2CC" w:themeFill="accent4" w:themeFillTint="33"/>
            <w:hideMark/>
          </w:tcPr>
          <w:p w14:paraId="4A0A739D" w14:textId="77777777" w:rsidR="00CB4106" w:rsidRPr="00723C2E" w:rsidRDefault="00CB4106" w:rsidP="00F77C01">
            <w:pPr>
              <w:spacing w:after="120"/>
              <w:jc w:val="both"/>
              <w:rPr>
                <w:rFonts w:ascii="Arial Narrow" w:hAnsi="Arial Narrow"/>
              </w:rPr>
            </w:pPr>
            <w:r w:rsidRPr="00723C2E">
              <w:rPr>
                <w:rFonts w:ascii="Arial Narrow" w:hAnsi="Arial Narrow"/>
                <w:b/>
              </w:rPr>
              <w:t>RSO1.2</w:t>
            </w:r>
            <w:r w:rsidRPr="00723C2E">
              <w:rPr>
                <w:rFonts w:ascii="Arial Narrow" w:hAnsi="Arial Narrow"/>
              </w:rPr>
              <w:t xml:space="preserve"> Využívanie prínosov digitalizácie pre občanov, podniky, výskumné organizácie a orgány verejnej správy</w:t>
            </w:r>
          </w:p>
        </w:tc>
        <w:tc>
          <w:tcPr>
            <w:tcW w:w="2549" w:type="dxa"/>
            <w:hideMark/>
          </w:tcPr>
          <w:p w14:paraId="0E022FD2" w14:textId="77777777" w:rsidR="00CB4106" w:rsidRPr="00723C2E" w:rsidRDefault="00CB4106" w:rsidP="00F77C01">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w:t>
            </w:r>
            <w:r w:rsidRPr="00723C2E">
              <w:rPr>
                <w:rFonts w:ascii="Arial Narrow" w:hAnsi="Arial Narrow"/>
                <w:b/>
              </w:rPr>
              <w:t>A</w:t>
            </w:r>
            <w:r w:rsidRPr="00723C2E">
              <w:rPr>
                <w:rFonts w:ascii="Arial Narrow" w:hAnsi="Arial Narrow"/>
              </w:rPr>
              <w:t>. Podpora v oblasti zvýšenia inovačnej schopnosti ekonomiky prostredníctvom zavádzania top digitálnych technológií)</w:t>
            </w:r>
          </w:p>
        </w:tc>
        <w:tc>
          <w:tcPr>
            <w:tcW w:w="11201" w:type="dxa"/>
            <w:hideMark/>
          </w:tcPr>
          <w:p w14:paraId="04F14058" w14:textId="77777777" w:rsidR="00CB4106" w:rsidRPr="00723C2E" w:rsidRDefault="00CB4106" w:rsidP="00F77C01">
            <w:pPr>
              <w:spacing w:after="120"/>
              <w:jc w:val="both"/>
              <w:rPr>
                <w:rFonts w:ascii="Arial Narrow" w:hAnsi="Arial Narrow"/>
              </w:rPr>
            </w:pPr>
            <w:r w:rsidRPr="00723C2E">
              <w:rPr>
                <w:rFonts w:ascii="Arial Narrow" w:hAnsi="Arial Narrow"/>
              </w:rPr>
              <w:t>- podpora projektov na základe prioritných oblastí najmä v doméne Digitálna transformácia Slovenska podľa návrhu Stratégie inteligentnej špecializácie RIS3;</w:t>
            </w:r>
          </w:p>
          <w:p w14:paraId="363E1429" w14:textId="77777777" w:rsidR="00CB4106" w:rsidRPr="00723C2E" w:rsidRDefault="00CB4106" w:rsidP="00F77C01">
            <w:pPr>
              <w:spacing w:after="120"/>
              <w:jc w:val="both"/>
              <w:rPr>
                <w:rFonts w:ascii="Arial Narrow" w:hAnsi="Arial Narrow"/>
              </w:rPr>
            </w:pPr>
            <w:r w:rsidRPr="00723C2E">
              <w:rPr>
                <w:rFonts w:ascii="Arial Narrow" w:hAnsi="Arial Narrow"/>
              </w:rPr>
              <w:t>- podpora zapojenia slovenských subjektov do PRP EÚ: DIGITAL, HE a CEF v súlade s nastavenými pravidlami EK a podpora zapojenia do európskych projektov spoločného významu (multi-country projects) - (dofinancovanie a financovanie);</w:t>
            </w:r>
          </w:p>
          <w:p w14:paraId="06983879" w14:textId="77777777" w:rsidR="00CB4106" w:rsidRPr="00723C2E" w:rsidRDefault="00CB4106" w:rsidP="00F77C01">
            <w:pPr>
              <w:spacing w:after="120"/>
              <w:jc w:val="both"/>
              <w:rPr>
                <w:rFonts w:ascii="Arial Narrow" w:hAnsi="Arial Narrow"/>
              </w:rPr>
            </w:pPr>
            <w:r w:rsidRPr="00723C2E">
              <w:rPr>
                <w:rFonts w:ascii="Arial Narrow" w:hAnsi="Arial Narrow"/>
              </w:rPr>
              <w:t>- podpora rozvoja siete európskych centier digitálnych inovácií (ECDI) slúžiacich ako „one stop shop“ miesta, ktoré poskytnú podnikom, prevažne MSP, ale aj verejnej správe „služby na kľúč“ zamerané na podporu ich digitálnej transformácie; podpora vzniku a rozvoja menších regionálnych centier digitálnych inovácií (CDI), ktoré budú reagovať na potreby lokálnych podnikateľov v oblasti nasadzovania digitálnych riešení a digitálnych inovácií; ECDI budú poskytovať služby v súlade s nastavenými prioritami EK (testovanie nových technológií, budovanie digitálnych zručností,pomoc pri hľadaní investícií a networking) a budú geograficky rozdelené tak, aby dokázali poskytovať služby na celom území SR a spolupracovať aj so subjektami v zahraničí. Menšie regionálne CDI budú poskytovať služby v regiónoch na základe lokálnych potrieb, najmä v oblasti nasadzovania digitálnych nástrojov vo výrobe a službách.</w:t>
            </w:r>
          </w:p>
        </w:tc>
      </w:tr>
      <w:tr w:rsidR="00CB4106" w:rsidRPr="00723C2E" w14:paraId="71CBCC14" w14:textId="77777777" w:rsidTr="00CB4106">
        <w:trPr>
          <w:trHeight w:val="555"/>
        </w:trPr>
        <w:tc>
          <w:tcPr>
            <w:tcW w:w="1696" w:type="dxa"/>
            <w:vMerge/>
            <w:shd w:val="clear" w:color="auto" w:fill="FFF2CC" w:themeFill="accent4" w:themeFillTint="33"/>
            <w:hideMark/>
          </w:tcPr>
          <w:p w14:paraId="5F3B1376" w14:textId="77777777" w:rsidR="00CB4106" w:rsidRPr="00723C2E" w:rsidRDefault="00CB4106" w:rsidP="00F77C01">
            <w:pPr>
              <w:spacing w:after="120"/>
              <w:jc w:val="both"/>
              <w:rPr>
                <w:rFonts w:ascii="Arial Narrow" w:hAnsi="Arial Narrow"/>
              </w:rPr>
            </w:pPr>
          </w:p>
        </w:tc>
        <w:tc>
          <w:tcPr>
            <w:tcW w:w="2549" w:type="dxa"/>
            <w:hideMark/>
          </w:tcPr>
          <w:p w14:paraId="78667D7D" w14:textId="77777777" w:rsidR="00CB4106" w:rsidRPr="00723C2E" w:rsidRDefault="00CB4106" w:rsidP="00F77C01">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w:t>
            </w:r>
            <w:r w:rsidRPr="00723C2E">
              <w:rPr>
                <w:rFonts w:ascii="Arial Narrow" w:hAnsi="Arial Narrow"/>
                <w:b/>
              </w:rPr>
              <w:t>B.</w:t>
            </w:r>
            <w:r w:rsidRPr="00723C2E">
              <w:rPr>
                <w:rFonts w:ascii="Arial Narrow" w:hAnsi="Arial Narrow"/>
              </w:rPr>
              <w:t xml:space="preserve"> Podpora v oblasti zvýšenia kvality </w:t>
            </w:r>
            <w:r w:rsidRPr="00723C2E">
              <w:rPr>
                <w:rFonts w:ascii="Arial Narrow" w:hAnsi="Arial Narrow"/>
              </w:rPr>
              <w:lastRenderedPageBreak/>
              <w:t>poskytovaných verejných služieb)</w:t>
            </w:r>
          </w:p>
        </w:tc>
        <w:tc>
          <w:tcPr>
            <w:tcW w:w="11201" w:type="dxa"/>
            <w:hideMark/>
          </w:tcPr>
          <w:p w14:paraId="0EE92CA2" w14:textId="77777777" w:rsidR="00CB4106" w:rsidRPr="00723C2E" w:rsidRDefault="00CB4106" w:rsidP="00F77C01">
            <w:pPr>
              <w:spacing w:after="120"/>
              <w:jc w:val="both"/>
              <w:rPr>
                <w:rFonts w:ascii="Arial Narrow" w:hAnsi="Arial Narrow"/>
              </w:rPr>
            </w:pPr>
            <w:r w:rsidRPr="00723C2E">
              <w:rPr>
                <w:rFonts w:ascii="Arial Narrow" w:hAnsi="Arial Narrow"/>
              </w:rPr>
              <w:lastRenderedPageBreak/>
              <w:t>- rozvoj dátovej interoperability informačných systémov vrátane plnenia Európskeho rámca pre interoperabilitu (EIF), EU Data Strategy a zavedenie pravidiel používania “mojich údajov”;</w:t>
            </w:r>
          </w:p>
          <w:p w14:paraId="2261FF05" w14:textId="77777777" w:rsidR="00CB4106" w:rsidRPr="00723C2E" w:rsidRDefault="00CB4106" w:rsidP="00F77C01">
            <w:pPr>
              <w:spacing w:after="120"/>
              <w:jc w:val="both"/>
              <w:rPr>
                <w:rFonts w:ascii="Arial Narrow" w:hAnsi="Arial Narrow"/>
              </w:rPr>
            </w:pPr>
            <w:r w:rsidRPr="00723C2E">
              <w:rPr>
                <w:rFonts w:ascii="Arial Narrow" w:hAnsi="Arial Narrow"/>
              </w:rPr>
              <w:t>- zavádzanie optimalizovaných a automatizovaných procesov vrátane využitia low-code platforiem pri zavádzaní európskej a národnej legislatívy;</w:t>
            </w:r>
          </w:p>
          <w:p w14:paraId="24813730" w14:textId="77777777" w:rsidR="00CB4106" w:rsidRPr="00723C2E" w:rsidRDefault="00CB4106" w:rsidP="00F77C01">
            <w:pPr>
              <w:spacing w:after="120"/>
              <w:jc w:val="both"/>
              <w:rPr>
                <w:rFonts w:ascii="Arial Narrow" w:hAnsi="Arial Narrow"/>
              </w:rPr>
            </w:pPr>
            <w:r w:rsidRPr="00723C2E">
              <w:rPr>
                <w:rFonts w:ascii="Arial Narrow" w:hAnsi="Arial Narrow"/>
              </w:rPr>
              <w:lastRenderedPageBreak/>
              <w:t>- budovanie nových a výrazne zmenených personalizovaných služieb a životných situácií a využitie multikanálového prístupu postaveného na API s dôrazom na mobilné služby a v súlade s WAD (EU) 2016/2102;</w:t>
            </w:r>
          </w:p>
          <w:p w14:paraId="0C2EF426" w14:textId="77777777" w:rsidR="00CB4106" w:rsidRPr="00723C2E" w:rsidRDefault="00CB4106" w:rsidP="00F77C01">
            <w:pPr>
              <w:spacing w:after="120"/>
              <w:jc w:val="both"/>
              <w:rPr>
                <w:rFonts w:ascii="Arial Narrow" w:hAnsi="Arial Narrow"/>
              </w:rPr>
            </w:pPr>
            <w:r w:rsidRPr="00723C2E">
              <w:rPr>
                <w:rFonts w:ascii="Arial Narrow" w:hAnsi="Arial Narrow"/>
              </w:rPr>
              <w:t>- budovanie aplikačnej a technologickej architektúry na princípoch cloud native a cloud ready postavenej na bezpečnej sieti Govnet</w:t>
            </w:r>
            <w:r>
              <w:rPr>
                <w:rFonts w:ascii="Arial Narrow" w:hAnsi="Arial Narrow"/>
              </w:rPr>
              <w:t xml:space="preserve"> </w:t>
            </w:r>
            <w:r w:rsidRPr="00723C2E">
              <w:rPr>
                <w:rFonts w:ascii="Arial Narrow" w:hAnsi="Arial Narrow"/>
              </w:rPr>
              <w:t>a</w:t>
            </w:r>
            <w:r>
              <w:rPr>
                <w:rFonts w:ascii="Arial Narrow" w:hAnsi="Arial Narrow"/>
              </w:rPr>
              <w:t xml:space="preserve"> </w:t>
            </w:r>
            <w:r w:rsidRPr="00723C2E">
              <w:rPr>
                <w:rFonts w:ascii="Arial Narrow" w:hAnsi="Arial Narrow"/>
              </w:rPr>
              <w:t>podpora rozširovania služieb vládneho cloudu, vrátane prevádzkových nákladov;</w:t>
            </w:r>
          </w:p>
          <w:p w14:paraId="005902C4" w14:textId="77777777" w:rsidR="00CB4106" w:rsidRPr="00723C2E" w:rsidRDefault="00CB4106" w:rsidP="00F77C01">
            <w:pPr>
              <w:spacing w:after="120"/>
              <w:jc w:val="both"/>
              <w:rPr>
                <w:rFonts w:ascii="Arial Narrow" w:hAnsi="Arial Narrow"/>
              </w:rPr>
            </w:pPr>
            <w:r w:rsidRPr="00723C2E">
              <w:rPr>
                <w:rFonts w:ascii="Arial Narrow" w:hAnsi="Arial Narrow"/>
              </w:rPr>
              <w:t>- lepšie riadenie a plánovanie zdrojov pomocou analytického spracovania údajov vo verejnej správe za účelom lepšieho poskytovania verejných služieb v prospech občana/podnikateľa na základoch Open Data Directive (Directive (EU) 2019/1024.</w:t>
            </w:r>
          </w:p>
        </w:tc>
      </w:tr>
      <w:tr w:rsidR="00CB4106" w:rsidRPr="00723C2E" w14:paraId="63A649C5" w14:textId="77777777" w:rsidTr="002A4A08">
        <w:trPr>
          <w:trHeight w:val="1968"/>
        </w:trPr>
        <w:tc>
          <w:tcPr>
            <w:tcW w:w="1696" w:type="dxa"/>
            <w:vMerge/>
            <w:shd w:val="clear" w:color="auto" w:fill="FFF2CC" w:themeFill="accent4" w:themeFillTint="33"/>
            <w:hideMark/>
          </w:tcPr>
          <w:p w14:paraId="326101EC" w14:textId="77777777" w:rsidR="00CB4106" w:rsidRPr="00723C2E" w:rsidRDefault="00CB4106" w:rsidP="00F77C01">
            <w:pPr>
              <w:spacing w:after="120"/>
              <w:jc w:val="both"/>
              <w:rPr>
                <w:rFonts w:ascii="Arial Narrow" w:hAnsi="Arial Narrow"/>
              </w:rPr>
            </w:pPr>
          </w:p>
        </w:tc>
        <w:tc>
          <w:tcPr>
            <w:tcW w:w="2549" w:type="dxa"/>
            <w:hideMark/>
          </w:tcPr>
          <w:p w14:paraId="4E9376C0" w14:textId="77777777" w:rsidR="00CB4106" w:rsidRPr="00723C2E" w:rsidRDefault="00CB4106" w:rsidP="00F77C01">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(Kybernetická a informačná bezpečnosť)</w:t>
            </w:r>
          </w:p>
        </w:tc>
        <w:tc>
          <w:tcPr>
            <w:tcW w:w="11201" w:type="dxa"/>
            <w:hideMark/>
          </w:tcPr>
          <w:p w14:paraId="0A3F908D" w14:textId="77777777" w:rsidR="00CB4106" w:rsidRDefault="00CB4106" w:rsidP="00F77C01">
            <w:pPr>
              <w:spacing w:after="120"/>
              <w:jc w:val="both"/>
              <w:rPr>
                <w:rFonts w:ascii="Arial Narrow" w:hAnsi="Arial Narrow"/>
              </w:rPr>
            </w:pPr>
            <w:r w:rsidRPr="00723C2E">
              <w:rPr>
                <w:rFonts w:ascii="Arial Narrow" w:hAnsi="Arial Narrow"/>
              </w:rPr>
              <w:t>- zlepšovanie procesného, infraštruktúrneho, vedomostného a organizačného zabezpečenia zručností a kapacít pre plnenie úloh</w:t>
            </w:r>
            <w:r>
              <w:rPr>
                <w:rFonts w:ascii="Arial Narrow" w:hAnsi="Arial Narrow"/>
              </w:rPr>
              <w:t xml:space="preserve"> </w:t>
            </w:r>
            <w:r w:rsidRPr="00723C2E">
              <w:rPr>
                <w:rFonts w:ascii="Arial Narrow" w:hAnsi="Arial Narrow"/>
              </w:rPr>
              <w:t>v</w:t>
            </w:r>
            <w:r>
              <w:rPr>
                <w:rFonts w:ascii="Arial Narrow" w:hAnsi="Arial Narrow"/>
              </w:rPr>
              <w:t> </w:t>
            </w:r>
            <w:r w:rsidRPr="00723C2E">
              <w:rPr>
                <w:rFonts w:ascii="Arial Narrow" w:hAnsi="Arial Narrow"/>
              </w:rPr>
              <w:t>oblasti</w:t>
            </w:r>
            <w:r>
              <w:rPr>
                <w:rFonts w:ascii="Arial Narrow" w:hAnsi="Arial Narrow"/>
              </w:rPr>
              <w:t xml:space="preserve"> </w:t>
            </w:r>
            <w:r w:rsidRPr="00723C2E">
              <w:rPr>
                <w:rFonts w:ascii="Arial Narrow" w:hAnsi="Arial Narrow"/>
              </w:rPr>
              <w:t>KIB</w:t>
            </w:r>
            <w:r>
              <w:rPr>
                <w:rFonts w:ascii="Arial Narrow" w:hAnsi="Arial Narrow"/>
              </w:rPr>
              <w:t xml:space="preserve"> </w:t>
            </w:r>
            <w:r w:rsidRPr="00723C2E">
              <w:rPr>
                <w:rFonts w:ascii="Arial Narrow" w:hAnsi="Arial Narrow"/>
              </w:rPr>
              <w:t>v</w:t>
            </w:r>
            <w:r>
              <w:rPr>
                <w:rFonts w:ascii="Arial Narrow" w:hAnsi="Arial Narrow"/>
              </w:rPr>
              <w:t> </w:t>
            </w:r>
            <w:r w:rsidRPr="00723C2E">
              <w:rPr>
                <w:rFonts w:ascii="Arial Narrow" w:hAnsi="Arial Narrow"/>
              </w:rPr>
              <w:t>prostredí</w:t>
            </w:r>
            <w:r>
              <w:rPr>
                <w:rFonts w:ascii="Arial Narrow" w:hAnsi="Arial Narrow"/>
              </w:rPr>
              <w:t xml:space="preserve"> </w:t>
            </w:r>
            <w:r w:rsidRPr="00723C2E">
              <w:rPr>
                <w:rFonts w:ascii="Arial Narrow" w:hAnsi="Arial Narrow"/>
              </w:rPr>
              <w:t>orgánov</w:t>
            </w:r>
            <w:r>
              <w:rPr>
                <w:rFonts w:ascii="Arial Narrow" w:hAnsi="Arial Narrow"/>
              </w:rPr>
              <w:t xml:space="preserve"> </w:t>
            </w:r>
            <w:r w:rsidRPr="00723C2E">
              <w:rPr>
                <w:rFonts w:ascii="Arial Narrow" w:hAnsi="Arial Narrow"/>
              </w:rPr>
              <w:t>štátnej</w:t>
            </w:r>
            <w:r>
              <w:rPr>
                <w:rFonts w:ascii="Arial Narrow" w:hAnsi="Arial Narrow"/>
              </w:rPr>
              <w:t xml:space="preserve"> </w:t>
            </w:r>
            <w:r w:rsidRPr="00723C2E">
              <w:rPr>
                <w:rFonts w:ascii="Arial Narrow" w:hAnsi="Arial Narrow"/>
              </w:rPr>
              <w:t>a</w:t>
            </w:r>
            <w:r>
              <w:rPr>
                <w:rFonts w:ascii="Arial Narrow" w:hAnsi="Arial Narrow"/>
              </w:rPr>
              <w:t xml:space="preserve"> </w:t>
            </w:r>
            <w:r w:rsidRPr="00723C2E">
              <w:rPr>
                <w:rFonts w:ascii="Arial Narrow" w:hAnsi="Arial Narrow"/>
              </w:rPr>
              <w:t>verejnej</w:t>
            </w:r>
            <w:r>
              <w:rPr>
                <w:rFonts w:ascii="Arial Narrow" w:hAnsi="Arial Narrow"/>
              </w:rPr>
              <w:t xml:space="preserve"> </w:t>
            </w:r>
            <w:r w:rsidRPr="00723C2E">
              <w:rPr>
                <w:rFonts w:ascii="Arial Narrow" w:hAnsi="Arial Narrow"/>
              </w:rPr>
              <w:t>správy;</w:t>
            </w:r>
          </w:p>
          <w:p w14:paraId="43991ACF" w14:textId="77777777" w:rsidR="00CB4106" w:rsidRPr="00723C2E" w:rsidRDefault="00CB4106" w:rsidP="00F77C01">
            <w:pPr>
              <w:spacing w:after="120"/>
              <w:jc w:val="both"/>
              <w:rPr>
                <w:rFonts w:ascii="Arial Narrow" w:hAnsi="Arial Narrow"/>
              </w:rPr>
            </w:pPr>
            <w:r>
              <w:rPr>
                <w:rFonts w:ascii="Arial Narrow" w:hAnsi="Arial Narrow"/>
              </w:rPr>
              <w:t xml:space="preserve">- </w:t>
            </w:r>
            <w:r w:rsidRPr="00723C2E">
              <w:rPr>
                <w:rFonts w:ascii="Arial Narrow" w:hAnsi="Arial Narrow"/>
              </w:rPr>
              <w:t>budovanie špecializovaných inštitúcií KIB zameraných na dizajn a vývoj nových bezpečnostných riešení;</w:t>
            </w:r>
            <w:r w:rsidRPr="00723C2E">
              <w:rPr>
                <w:rFonts w:ascii="Arial Narrow" w:hAnsi="Arial Narrow"/>
              </w:rPr>
              <w:br/>
              <w:t>-</w:t>
            </w:r>
            <w:r>
              <w:rPr>
                <w:rFonts w:ascii="Arial Narrow" w:hAnsi="Arial Narrow"/>
              </w:rPr>
              <w:t xml:space="preserve"> </w:t>
            </w:r>
            <w:r w:rsidRPr="00723C2E">
              <w:rPr>
                <w:rFonts w:ascii="Arial Narrow" w:hAnsi="Arial Narrow"/>
              </w:rPr>
              <w:t>posilnenie prvkov kritickej infraštruktúry a budovanie nástroja pre manažment údajov;</w:t>
            </w:r>
            <w:r w:rsidRPr="00723C2E">
              <w:rPr>
                <w:rFonts w:ascii="Arial Narrow" w:hAnsi="Arial Narrow"/>
              </w:rPr>
              <w:br/>
              <w:t>- podporu včasnej detekcie a zvýšenie schopnosti reakcie na kybernetické bezpečnostné incidenty a na adaptáciu najmodernejších technológií, na zvýšenie odolnosti základných služieb pred kybernetickými hrozbami, vrátane podpory inovatívnych produktov a služieb až po úroveň TRL 9.</w:t>
            </w:r>
          </w:p>
        </w:tc>
      </w:tr>
      <w:tr w:rsidR="00CB4106" w:rsidRPr="00723C2E" w14:paraId="127C9C90" w14:textId="77777777" w:rsidTr="00CB4106">
        <w:trPr>
          <w:trHeight w:val="1972"/>
        </w:trPr>
        <w:tc>
          <w:tcPr>
            <w:tcW w:w="1696" w:type="dxa"/>
            <w:shd w:val="clear" w:color="auto" w:fill="FFF2CC" w:themeFill="accent4" w:themeFillTint="33"/>
            <w:hideMark/>
          </w:tcPr>
          <w:p w14:paraId="16E4984E" w14:textId="77777777" w:rsidR="00CB4106" w:rsidRPr="00723C2E" w:rsidRDefault="00CB4106" w:rsidP="00F77C01">
            <w:pPr>
              <w:spacing w:after="120"/>
              <w:jc w:val="both"/>
              <w:rPr>
                <w:rFonts w:ascii="Arial Narrow" w:hAnsi="Arial Narrow"/>
              </w:rPr>
            </w:pPr>
            <w:r w:rsidRPr="00723C2E">
              <w:rPr>
                <w:rFonts w:ascii="Arial Narrow" w:hAnsi="Arial Narrow"/>
                <w:b/>
              </w:rPr>
              <w:t>RSO1.4.</w:t>
            </w:r>
            <w:r w:rsidRPr="00723C2E">
              <w:rPr>
                <w:rFonts w:ascii="Arial Narrow" w:hAnsi="Arial Narrow"/>
              </w:rPr>
              <w:t xml:space="preserve"> Rozvoj pre inteligentnú špecializáciu, priemyselnú</w:t>
            </w:r>
            <w:r w:rsidRPr="00723C2E">
              <w:rPr>
                <w:rFonts w:ascii="Arial Narrow" w:hAnsi="Arial Narrow"/>
              </w:rPr>
              <w:br/>
              <w:t>transformáciu a podnikanie (EFRR)</w:t>
            </w:r>
          </w:p>
        </w:tc>
        <w:tc>
          <w:tcPr>
            <w:tcW w:w="2549" w:type="dxa"/>
            <w:hideMark/>
          </w:tcPr>
          <w:p w14:paraId="5AB3B0A4" w14:textId="77777777" w:rsidR="00CB4106" w:rsidRPr="00723C2E" w:rsidRDefault="00CB4106" w:rsidP="00F77C01">
            <w:pPr>
              <w:spacing w:after="120"/>
              <w:jc w:val="both"/>
              <w:rPr>
                <w:rFonts w:ascii="Arial Narrow" w:hAnsi="Arial Narrow"/>
                <w:b/>
              </w:rPr>
            </w:pPr>
            <w:r w:rsidRPr="00723C2E">
              <w:rPr>
                <w:rFonts w:ascii="Arial Narrow" w:hAnsi="Arial Narrow"/>
                <w:b/>
              </w:rPr>
              <w:t>1.4.2 Digitálne zručnosti prispôsobené doménam RIS3 a potrebám priemyselnej a zelenej transformácie</w:t>
            </w:r>
          </w:p>
        </w:tc>
        <w:tc>
          <w:tcPr>
            <w:tcW w:w="11201" w:type="dxa"/>
            <w:hideMark/>
          </w:tcPr>
          <w:p w14:paraId="3A8C6848" w14:textId="4E558ADB" w:rsidR="00CB4106" w:rsidRPr="00723C2E" w:rsidRDefault="00CB4106" w:rsidP="00EE694F">
            <w:pPr>
              <w:spacing w:after="120"/>
              <w:rPr>
                <w:rFonts w:ascii="Arial Narrow" w:hAnsi="Arial Narrow"/>
              </w:rPr>
            </w:pPr>
            <w:r w:rsidRPr="00EE694F">
              <w:rPr>
                <w:rFonts w:ascii="Arial Narrow" w:hAnsi="Arial Narrow"/>
                <w:b/>
              </w:rPr>
              <w:t>Doména 1</w:t>
            </w:r>
            <w:r w:rsidR="002F1329">
              <w:rPr>
                <w:rFonts w:ascii="Arial Narrow" w:hAnsi="Arial Narrow"/>
                <w:b/>
              </w:rPr>
              <w:t xml:space="preserve"> -</w:t>
            </w:r>
            <w:r w:rsidR="002F1329" w:rsidRPr="002F1329">
              <w:rPr>
                <w:rFonts w:ascii="Arial" w:hAnsi="Arial" w:cs="Arial"/>
                <w:color w:val="0B0C0C"/>
                <w:sz w:val="29"/>
                <w:szCs w:val="29"/>
                <w:shd w:val="clear" w:color="auto" w:fill="FFFFFF"/>
              </w:rPr>
              <w:t xml:space="preserve"> </w:t>
            </w:r>
            <w:r w:rsidR="002F1329" w:rsidRPr="002F1329">
              <w:rPr>
                <w:rFonts w:ascii="Arial Narrow" w:hAnsi="Arial Narrow"/>
                <w:b/>
              </w:rPr>
              <w:t>Inovatívny priemysel pre 21. storočie</w:t>
            </w:r>
            <w:r w:rsidRPr="00723C2E">
              <w:rPr>
                <w:rFonts w:ascii="Arial Narrow" w:hAnsi="Arial Narrow"/>
              </w:rPr>
              <w:t>:</w:t>
            </w:r>
            <w:r w:rsidRPr="00723C2E">
              <w:rPr>
                <w:rFonts w:ascii="Arial Narrow" w:hAnsi="Arial Narrow"/>
              </w:rPr>
              <w:br/>
              <w:t>- programy (vrátane podpory pilotných projektov a schém) na rozvoj vzdelávania špecifických cieľových skupín, manažérov spoločností a riadiacich pracovníkov verejného a súkromného sektora a ich kompetencií v oblasti riadenia, ktoré sú nevyhnutné pre digitálnu transformáciu a inovácie spoločností pre potreby domén RIS3;</w:t>
            </w:r>
          </w:p>
          <w:p w14:paraId="378970CB" w14:textId="77777777" w:rsidR="00CB4106" w:rsidRPr="00723C2E" w:rsidRDefault="00CB4106" w:rsidP="00F77C01">
            <w:pPr>
              <w:spacing w:after="120"/>
              <w:jc w:val="both"/>
              <w:rPr>
                <w:rFonts w:ascii="Arial Narrow" w:hAnsi="Arial Narrow"/>
              </w:rPr>
            </w:pPr>
            <w:r w:rsidRPr="00723C2E">
              <w:rPr>
                <w:rFonts w:ascii="Arial Narrow" w:hAnsi="Arial Narrow"/>
              </w:rPr>
              <w:t>- vytvorenie dotačného programu, finančnej podpory vzdelávacích programov a analýzy potrieb (vrátane podpory pilotných projektov) najmä pre spoločnosti, ale aj ostatných príjemcov podpory, na podporu vzdelávania zamestnancov, vrátane neformálneho vzdelávania pre zamestnancov podnikov, školiaceho personálu, vrátane aktívnej podpory udržania a rozvoja špecialistov v relevantnom sektore, zameraného na zvyšovanie digitálnych zručností, pre potreby domén RIS3;</w:t>
            </w:r>
          </w:p>
          <w:p w14:paraId="2EB8DF08" w14:textId="77777777" w:rsidR="00CB4106" w:rsidRPr="00723C2E" w:rsidRDefault="00CB4106" w:rsidP="00F77C01">
            <w:pPr>
              <w:spacing w:after="120"/>
              <w:jc w:val="both"/>
              <w:rPr>
                <w:rFonts w:ascii="Arial Narrow" w:hAnsi="Arial Narrow"/>
              </w:rPr>
            </w:pPr>
            <w:r w:rsidRPr="00723C2E">
              <w:rPr>
                <w:rFonts w:ascii="Arial Narrow" w:hAnsi="Arial Narrow"/>
              </w:rPr>
              <w:t>- podpora vzdelávania a zvyšovania počtu lektorov v oblasti digitálnych zručností zameraná striktne na plnenie potrieb domén RIS3;</w:t>
            </w:r>
          </w:p>
          <w:p w14:paraId="20A73943" w14:textId="77777777" w:rsidR="00CC2E3C" w:rsidRDefault="00CB4106" w:rsidP="00CC2E3C">
            <w:pPr>
              <w:spacing w:after="120"/>
              <w:jc w:val="both"/>
              <w:rPr>
                <w:rFonts w:ascii="Arial Narrow" w:hAnsi="Arial Narrow"/>
              </w:rPr>
            </w:pPr>
            <w:r w:rsidRPr="00723C2E">
              <w:rPr>
                <w:rFonts w:ascii="Arial Narrow" w:hAnsi="Arial Narrow"/>
              </w:rPr>
              <w:t>- podpora aktivít, programov a pilotných projektov vzdelávania v oblasti zelenej transformácie, v prepojení na požiadavky digitálnej transformácie  vrátane podpory rozvoja zručností a využívanie tzv. dôveryhodných inteligentných technológií a práce s údajmi striktne pre potreby domén RIS3.</w:t>
            </w:r>
          </w:p>
          <w:p w14:paraId="05511418" w14:textId="72C0056C" w:rsidR="00CB4106" w:rsidRPr="00723C2E" w:rsidRDefault="00CB4106" w:rsidP="00EE694F">
            <w:pPr>
              <w:spacing w:after="120"/>
              <w:rPr>
                <w:rFonts w:ascii="Arial Narrow" w:hAnsi="Arial Narrow"/>
              </w:rPr>
            </w:pPr>
            <w:r w:rsidRPr="00EE694F">
              <w:rPr>
                <w:rFonts w:ascii="Arial Narrow" w:hAnsi="Arial Narrow"/>
                <w:b/>
              </w:rPr>
              <w:t>Doména 3</w:t>
            </w:r>
            <w:r w:rsidR="002F1329">
              <w:rPr>
                <w:rFonts w:ascii="Arial Narrow" w:hAnsi="Arial Narrow"/>
                <w:b/>
              </w:rPr>
              <w:t xml:space="preserve"> - </w:t>
            </w:r>
            <w:r w:rsidR="002F1329" w:rsidRPr="002F1329">
              <w:rPr>
                <w:rFonts w:ascii="Arial Narrow" w:hAnsi="Arial Narrow"/>
                <w:b/>
              </w:rPr>
              <w:t>Digitálna transformácia Slovenska</w:t>
            </w:r>
            <w:r w:rsidRPr="00723C2E">
              <w:rPr>
                <w:rFonts w:ascii="Arial Narrow" w:hAnsi="Arial Narrow"/>
              </w:rPr>
              <w:t>:</w:t>
            </w:r>
            <w:r w:rsidRPr="00723C2E">
              <w:rPr>
                <w:rFonts w:ascii="Arial Narrow" w:hAnsi="Arial Narrow"/>
              </w:rPr>
              <w:br/>
              <w:t>- podpora vzdelávacích iniciatív, aktivít a programov (vrátane pilotných aktivít) vychádzajúcej z iniciatívy Európskej komisie Digital Skills and Jobs Coalition striktne pre potreby domén RIS3</w:t>
            </w:r>
          </w:p>
        </w:tc>
      </w:tr>
    </w:tbl>
    <w:p w14:paraId="353C56B4" w14:textId="7C1D8379" w:rsidR="00CB4106" w:rsidRPr="00BC321E" w:rsidRDefault="00BC321E" w:rsidP="00BC321E">
      <w:pPr>
        <w:pStyle w:val="L1"/>
        <w:numPr>
          <w:ilvl w:val="0"/>
          <w:numId w:val="46"/>
        </w:numPr>
        <w:spacing w:after="240"/>
        <w:rPr>
          <w:sz w:val="22"/>
          <w:szCs w:val="22"/>
        </w:rPr>
      </w:pPr>
      <w:r w:rsidRPr="00BC321E">
        <w:rPr>
          <w:sz w:val="22"/>
          <w:szCs w:val="22"/>
        </w:rPr>
        <w:lastRenderedPageBreak/>
        <w:t>Vylučujúce hodnotiace kritéria</w:t>
      </w:r>
    </w:p>
    <w:p w14:paraId="2BE88735" w14:textId="654008F1" w:rsidR="00C349E7" w:rsidRDefault="00BC321E" w:rsidP="00FC581E">
      <w:pPr>
        <w:keepNext/>
        <w:spacing w:after="240"/>
        <w:jc w:val="both"/>
        <w:rPr>
          <w:rFonts w:ascii="Arial Narrow" w:hAnsi="Arial Narrow"/>
          <w:b/>
        </w:rPr>
      </w:pPr>
      <w:r>
        <w:rPr>
          <w:rFonts w:ascii="Arial Narrow" w:hAnsi="Arial Narrow"/>
        </w:rPr>
        <w:t>Nižšie definované h</w:t>
      </w:r>
      <w:r w:rsidR="00841262" w:rsidRPr="00F23A87">
        <w:rPr>
          <w:rFonts w:ascii="Arial Narrow" w:hAnsi="Arial Narrow"/>
        </w:rPr>
        <w:t>odnotiace kritériá</w:t>
      </w:r>
      <w:r w:rsidR="00D4636E">
        <w:rPr>
          <w:rFonts w:ascii="Arial Narrow" w:hAnsi="Arial Narrow"/>
        </w:rPr>
        <w:t xml:space="preserve"> </w:t>
      </w:r>
      <w:r w:rsidR="00D4636E" w:rsidRPr="00D4636E">
        <w:rPr>
          <w:rFonts w:ascii="Arial Narrow" w:hAnsi="Arial Narrow"/>
        </w:rPr>
        <w:t>tzv. vecné kritéria</w:t>
      </w:r>
      <w:r w:rsidR="00841262" w:rsidRPr="00F23A87">
        <w:rPr>
          <w:rFonts w:ascii="Arial Narrow" w:hAnsi="Arial Narrow"/>
        </w:rPr>
        <w:t xml:space="preserve"> žiadostí o poskytnutie nenávratného finančného príspevku (ďalej ako „ŽoNFP“) predstavujú </w:t>
      </w:r>
      <w:r w:rsidR="00841262" w:rsidRPr="00F23A87">
        <w:rPr>
          <w:rFonts w:ascii="Arial Narrow" w:hAnsi="Arial Narrow"/>
          <w:b/>
        </w:rPr>
        <w:t>vylučujúc</w:t>
      </w:r>
      <w:r w:rsidR="00CB4106">
        <w:rPr>
          <w:rFonts w:ascii="Arial Narrow" w:hAnsi="Arial Narrow"/>
          <w:b/>
        </w:rPr>
        <w:t>e kritéria</w:t>
      </w:r>
      <w:r w:rsidR="008B41CE" w:rsidRPr="00F23A87">
        <w:rPr>
          <w:rFonts w:ascii="Arial Narrow" w:hAnsi="Arial Narrow"/>
          <w:b/>
        </w:rPr>
        <w:t xml:space="preserve">, </w:t>
      </w:r>
      <w:r w:rsidR="008B41CE" w:rsidRPr="00F50271">
        <w:rPr>
          <w:rFonts w:ascii="Arial Narrow" w:hAnsi="Arial Narrow"/>
        </w:rPr>
        <w:t>ktoré</w:t>
      </w:r>
      <w:r w:rsidR="00841262" w:rsidRPr="00F50271">
        <w:rPr>
          <w:rFonts w:ascii="Arial Narrow" w:hAnsi="Arial Narrow"/>
        </w:rPr>
        <w:t xml:space="preserve"> </w:t>
      </w:r>
      <w:r w:rsidR="00841262" w:rsidRPr="00F23A87">
        <w:rPr>
          <w:rFonts w:ascii="Arial Narrow" w:hAnsi="Arial Narrow"/>
        </w:rPr>
        <w:t xml:space="preserve">sú vyhodnocované iba možnosťou </w:t>
      </w:r>
      <w:r w:rsidR="00841262" w:rsidRPr="00F23A87">
        <w:rPr>
          <w:rFonts w:ascii="Arial Narrow" w:hAnsi="Arial Narrow"/>
          <w:b/>
        </w:rPr>
        <w:t>áno</w:t>
      </w:r>
      <w:r w:rsidR="00F50271">
        <w:rPr>
          <w:rFonts w:ascii="Arial Narrow" w:hAnsi="Arial Narrow"/>
          <w:b/>
        </w:rPr>
        <w:t xml:space="preserve"> alebo </w:t>
      </w:r>
      <w:r w:rsidR="00841262" w:rsidRPr="00F23A87">
        <w:rPr>
          <w:rFonts w:ascii="Arial Narrow" w:hAnsi="Arial Narrow"/>
          <w:b/>
        </w:rPr>
        <w:t>nie</w:t>
      </w:r>
      <w:r w:rsidR="00841262" w:rsidRPr="00F23A87">
        <w:rPr>
          <w:rFonts w:ascii="Arial Narrow" w:hAnsi="Arial Narrow"/>
        </w:rPr>
        <w:t xml:space="preserve">, pričom </w:t>
      </w:r>
      <w:r w:rsidR="00841262" w:rsidRPr="00EE694F">
        <w:rPr>
          <w:rFonts w:ascii="Arial Narrow" w:hAnsi="Arial Narrow"/>
          <w:b/>
        </w:rPr>
        <w:t>,,</w:t>
      </w:r>
      <w:r w:rsidR="00841262" w:rsidRPr="00F23A87">
        <w:rPr>
          <w:rFonts w:ascii="Arial Narrow" w:hAnsi="Arial Narrow"/>
          <w:b/>
        </w:rPr>
        <w:t>nie“</w:t>
      </w:r>
      <w:r w:rsidR="00841262" w:rsidRPr="00F23A87">
        <w:rPr>
          <w:rFonts w:ascii="Arial Narrow" w:hAnsi="Arial Narrow"/>
        </w:rPr>
        <w:t xml:space="preserve"> znamená automaticky </w:t>
      </w:r>
      <w:r w:rsidR="00841262" w:rsidRPr="00F23A87">
        <w:rPr>
          <w:rFonts w:ascii="Arial Narrow" w:hAnsi="Arial Narrow"/>
          <w:b/>
        </w:rPr>
        <w:t>nesplnenie kritérií</w:t>
      </w:r>
      <w:r w:rsidR="00841262" w:rsidRPr="00F23A87">
        <w:rPr>
          <w:rFonts w:ascii="Arial Narrow" w:hAnsi="Arial Narrow"/>
        </w:rPr>
        <w:t xml:space="preserve"> pre výber projektov a </w:t>
      </w:r>
      <w:r w:rsidR="00841262" w:rsidRPr="00F23A87">
        <w:rPr>
          <w:rFonts w:ascii="Arial Narrow" w:hAnsi="Arial Narrow"/>
          <w:b/>
        </w:rPr>
        <w:t>neschválenie ŽoNFP.</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2526E6" w:rsidRPr="00F23A87" w14:paraId="39E51D01" w14:textId="77777777" w:rsidTr="00D72856">
        <w:trPr>
          <w:trHeight w:val="300"/>
          <w:jc w:val="center"/>
        </w:trPr>
        <w:tc>
          <w:tcPr>
            <w:tcW w:w="5000" w:type="pct"/>
            <w:gridSpan w:val="5"/>
            <w:tcBorders>
              <w:top w:val="single" w:sz="4" w:space="0" w:color="auto"/>
            </w:tcBorders>
            <w:shd w:val="clear" w:color="auto" w:fill="5B9BD5" w:themeFill="accent1"/>
          </w:tcPr>
          <w:p w14:paraId="2A55D550" w14:textId="5C775ABA" w:rsidR="002526E6" w:rsidRPr="00F50271" w:rsidRDefault="002526E6" w:rsidP="002526E6">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526E6" w:rsidRPr="00F23A87" w14:paraId="6AC6DDD1" w14:textId="77777777" w:rsidTr="00FC581E">
        <w:trPr>
          <w:trHeight w:val="300"/>
          <w:jc w:val="center"/>
        </w:trPr>
        <w:tc>
          <w:tcPr>
            <w:tcW w:w="142" w:type="pct"/>
            <w:vMerge w:val="restart"/>
            <w:shd w:val="clear" w:color="auto" w:fill="DEEAF6" w:themeFill="accent1" w:themeFillTint="33"/>
            <w:vAlign w:val="center"/>
          </w:tcPr>
          <w:p w14:paraId="64985043" w14:textId="7CADA3DF" w:rsidR="002526E6" w:rsidRPr="002526E6" w:rsidRDefault="002526E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1. </w:t>
            </w:r>
          </w:p>
        </w:tc>
        <w:tc>
          <w:tcPr>
            <w:tcW w:w="736" w:type="pct"/>
            <w:vMerge w:val="restart"/>
            <w:shd w:val="clear" w:color="auto" w:fill="DEEAF6" w:themeFill="accent1" w:themeFillTint="33"/>
            <w:vAlign w:val="center"/>
          </w:tcPr>
          <w:p w14:paraId="46437710" w14:textId="7417FE08" w:rsidR="002526E6" w:rsidRPr="002526E6" w:rsidRDefault="002526E6" w:rsidP="00F50388">
            <w:pPr>
              <w:spacing w:after="0" w:line="240" w:lineRule="auto"/>
              <w:ind w:left="135" w:right="135"/>
              <w:textAlignment w:val="baseline"/>
              <w:rPr>
                <w:rFonts w:ascii="Arial Narrow" w:eastAsia="Times New Roman" w:hAnsi="Arial Narrow" w:cs="Arial"/>
                <w:b/>
                <w:bCs/>
                <w:color w:val="000000"/>
                <w:lang w:eastAsia="sk-SK"/>
              </w:rPr>
            </w:pPr>
            <w:r w:rsidRPr="002526E6">
              <w:rPr>
                <w:rFonts w:ascii="Arial Narrow" w:eastAsia="Times New Roman" w:hAnsi="Arial Narrow" w:cs="Arial"/>
                <w:b/>
                <w:bCs/>
                <w:color w:val="000000"/>
                <w:lang w:eastAsia="sk-SK"/>
              </w:rPr>
              <w:t xml:space="preserve">Príspevok    projektu k cieľom a výsledkom </w:t>
            </w:r>
            <w:r w:rsidR="00F50388">
              <w:rPr>
                <w:rFonts w:ascii="Arial Narrow" w:eastAsia="Times New Roman" w:hAnsi="Arial Narrow" w:cs="Arial"/>
                <w:b/>
                <w:bCs/>
                <w:color w:val="000000"/>
                <w:lang w:eastAsia="sk-SK"/>
              </w:rPr>
              <w:t>Programu Slovensko 2021 -2027</w:t>
            </w:r>
          </w:p>
        </w:tc>
        <w:tc>
          <w:tcPr>
            <w:tcW w:w="2445" w:type="pct"/>
            <w:shd w:val="clear" w:color="auto" w:fill="DEEAF6" w:themeFill="accent1" w:themeFillTint="33"/>
            <w:vAlign w:val="center"/>
            <w:hideMark/>
          </w:tcPr>
          <w:p w14:paraId="25967905" w14:textId="49BBD767" w:rsidR="002526E6" w:rsidRPr="00F50271" w:rsidRDefault="002526E6" w:rsidP="002526E6">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18AD7D80" w14:textId="77777777" w:rsidR="002526E6" w:rsidRPr="00F50271" w:rsidRDefault="002526E6" w:rsidP="002526E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2" w:type="pct"/>
            <w:shd w:val="clear" w:color="auto" w:fill="DEEAF6" w:themeFill="accent1" w:themeFillTint="33"/>
            <w:vAlign w:val="center"/>
            <w:hideMark/>
          </w:tcPr>
          <w:p w14:paraId="52B45251" w14:textId="2A244993" w:rsidR="002526E6" w:rsidRPr="00F50271" w:rsidRDefault="002526E6" w:rsidP="002526E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6AACFD2B" w14:textId="77777777" w:rsidTr="00EE694F">
        <w:trPr>
          <w:trHeight w:val="961"/>
          <w:jc w:val="center"/>
        </w:trPr>
        <w:tc>
          <w:tcPr>
            <w:tcW w:w="142" w:type="pct"/>
            <w:vMerge/>
          </w:tcPr>
          <w:p w14:paraId="54092EF4"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tc>
        <w:tc>
          <w:tcPr>
            <w:tcW w:w="736" w:type="pct"/>
            <w:vMerge/>
          </w:tcPr>
          <w:p w14:paraId="780AD13F" w14:textId="282950B0"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1DD59C7E" w14:textId="0F910A75"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Posudzuje sa súlad projektu s intervenčnou stratégiou </w:t>
            </w:r>
            <w:r w:rsidR="00F50388">
              <w:rPr>
                <w:rFonts w:ascii="Arial Narrow" w:eastAsia="Times New Roman" w:hAnsi="Arial Narrow" w:cs="Arial"/>
                <w:lang w:eastAsia="sk-SK"/>
              </w:rPr>
              <w:t>programu Slovensko 2021 – 2027 (ďalej ako „P SK“)</w:t>
            </w:r>
            <w:r w:rsidRPr="00F50271">
              <w:rPr>
                <w:rFonts w:ascii="Arial Narrow" w:eastAsia="Times New Roman" w:hAnsi="Arial Narrow" w:cs="Arial"/>
                <w:lang w:eastAsia="sk-SK"/>
              </w:rPr>
              <w:t xml:space="preserve"> v nasledovných oblastiach:</w:t>
            </w:r>
          </w:p>
          <w:p w14:paraId="26E154E2" w14:textId="4B9D00D0"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1) súlad projektu s niektorým z nasledujúcich špecifických cieľov: </w:t>
            </w:r>
            <w:r w:rsidRPr="00F50271">
              <w:rPr>
                <w:rFonts w:ascii="Arial Narrow" w:eastAsia="Times New Roman" w:hAnsi="Arial Narrow" w:cs="Arial"/>
                <w:b/>
                <w:lang w:eastAsia="sk-SK"/>
              </w:rPr>
              <w:t>RSO1.2</w:t>
            </w:r>
            <w:r w:rsidRPr="00F50271">
              <w:rPr>
                <w:rFonts w:ascii="Arial Narrow" w:eastAsia="Times New Roman" w:hAnsi="Arial Narrow" w:cs="Arial"/>
                <w:lang w:eastAsia="sk-SK"/>
              </w:rPr>
              <w:t xml:space="preserve">, </w:t>
            </w:r>
            <w:r w:rsidRPr="00F50271">
              <w:rPr>
                <w:rFonts w:ascii="Arial Narrow" w:eastAsia="Times New Roman" w:hAnsi="Arial Narrow" w:cs="Arial"/>
                <w:b/>
                <w:lang w:eastAsia="sk-SK"/>
              </w:rPr>
              <w:t>RSO1.4</w:t>
            </w:r>
            <w:r w:rsidRPr="00F50271">
              <w:rPr>
                <w:rFonts w:ascii="Arial Narrow" w:eastAsia="Times New Roman" w:hAnsi="Arial Narrow" w:cs="Arial"/>
                <w:lang w:eastAsia="sk-SK"/>
              </w:rPr>
              <w:t xml:space="preserve">, </w:t>
            </w:r>
          </w:p>
          <w:p w14:paraId="2D82240A"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2) súlad s očakávanými výsledkami,</w:t>
            </w:r>
          </w:p>
          <w:p w14:paraId="74AD677A"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3) súlad s definovanými typmi oprávnených aktivít v rámci výzvy.</w:t>
            </w:r>
          </w:p>
          <w:p w14:paraId="3B6796FA"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p w14:paraId="6A388672" w14:textId="1017BEC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Na rozdiel od administratívneho overenia ide o hĺbkové posúdenie vecnej (obsahovej) stránky projektu z hľadiska jeho súladu s intervenčnou stratégiou P SK.</w:t>
            </w:r>
          </w:p>
        </w:tc>
        <w:tc>
          <w:tcPr>
            <w:tcW w:w="364" w:type="pct"/>
            <w:shd w:val="clear" w:color="auto" w:fill="auto"/>
            <w:vAlign w:val="center"/>
          </w:tcPr>
          <w:p w14:paraId="158AB66F" w14:textId="77777777" w:rsidR="002526E6" w:rsidRPr="00F50271" w:rsidRDefault="002526E6" w:rsidP="002526E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áno</w:t>
            </w:r>
          </w:p>
        </w:tc>
        <w:tc>
          <w:tcPr>
            <w:tcW w:w="1312" w:type="pct"/>
            <w:shd w:val="clear" w:color="auto" w:fill="auto"/>
            <w:vAlign w:val="center"/>
          </w:tcPr>
          <w:p w14:paraId="05856CD6" w14:textId="69E136F7" w:rsidR="002526E6" w:rsidRPr="00F50271" w:rsidRDefault="002526E6" w:rsidP="002526E6">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 intervenčnou stratégiou P SK v príslušných oblastiach</w:t>
            </w:r>
            <w:r w:rsidRPr="00F50271">
              <w:rPr>
                <w:rFonts w:ascii="Arial Narrow" w:eastAsia="Times New Roman" w:hAnsi="Arial Narrow" w:cs="Arial"/>
                <w:i/>
                <w:lang w:eastAsia="sk-SK"/>
              </w:rPr>
              <w:t>.</w:t>
            </w:r>
          </w:p>
        </w:tc>
      </w:tr>
      <w:tr w:rsidR="002526E6" w:rsidRPr="00F23A87" w14:paraId="7022677D" w14:textId="77777777" w:rsidTr="00FC581E">
        <w:trPr>
          <w:trHeight w:val="555"/>
          <w:jc w:val="center"/>
        </w:trPr>
        <w:tc>
          <w:tcPr>
            <w:tcW w:w="142" w:type="pct"/>
            <w:vMerge/>
          </w:tcPr>
          <w:p w14:paraId="3AC4BA3C" w14:textId="77777777" w:rsidR="002526E6" w:rsidRPr="00F50271" w:rsidRDefault="002526E6" w:rsidP="002526E6">
            <w:pPr>
              <w:spacing w:after="0" w:line="240" w:lineRule="auto"/>
              <w:rPr>
                <w:rFonts w:ascii="Arial Narrow" w:eastAsia="Times New Roman" w:hAnsi="Arial Narrow" w:cs="Arial"/>
                <w:lang w:eastAsia="sk-SK"/>
              </w:rPr>
            </w:pPr>
          </w:p>
        </w:tc>
        <w:tc>
          <w:tcPr>
            <w:tcW w:w="736" w:type="pct"/>
            <w:vMerge/>
          </w:tcPr>
          <w:p w14:paraId="73A2E045" w14:textId="4AC3208E" w:rsidR="002526E6" w:rsidRPr="00F50271" w:rsidRDefault="002526E6" w:rsidP="002526E6">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09795A01" w14:textId="520A63C8" w:rsidR="002526E6" w:rsidRPr="00F50271" w:rsidRDefault="002526E6" w:rsidP="002526E6">
            <w:pPr>
              <w:spacing w:after="0" w:line="240" w:lineRule="auto"/>
              <w:rPr>
                <w:rFonts w:ascii="Arial Narrow" w:eastAsia="Times New Roman" w:hAnsi="Arial Narrow" w:cs="Arial"/>
                <w:lang w:eastAsia="sk-SK"/>
              </w:rPr>
            </w:pPr>
          </w:p>
        </w:tc>
        <w:tc>
          <w:tcPr>
            <w:tcW w:w="364" w:type="pct"/>
            <w:shd w:val="clear" w:color="auto" w:fill="auto"/>
            <w:vAlign w:val="center"/>
          </w:tcPr>
          <w:p w14:paraId="0F7E83C0" w14:textId="77777777" w:rsidR="002526E6" w:rsidRPr="00F50271" w:rsidRDefault="002526E6" w:rsidP="002526E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nie</w:t>
            </w:r>
          </w:p>
        </w:tc>
        <w:tc>
          <w:tcPr>
            <w:tcW w:w="1312" w:type="pct"/>
            <w:shd w:val="clear" w:color="auto" w:fill="auto"/>
            <w:vAlign w:val="center"/>
          </w:tcPr>
          <w:p w14:paraId="039116C0" w14:textId="575353C8" w:rsidR="002526E6" w:rsidRPr="00F50271" w:rsidRDefault="002526E6" w:rsidP="002526E6">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Projekt nie je v súlade s intervenčnou stratégiou P SK v príslušných oblastiach</w:t>
            </w:r>
            <w:r>
              <w:rPr>
                <w:rFonts w:ascii="Arial Narrow" w:eastAsia="Times New Roman" w:hAnsi="Arial Narrow" w:cs="Arial"/>
                <w:lang w:eastAsia="sk-SK"/>
              </w:rPr>
              <w:t>.</w:t>
            </w:r>
          </w:p>
        </w:tc>
      </w:tr>
    </w:tbl>
    <w:p w14:paraId="73B98683" w14:textId="77777777" w:rsidR="00466376" w:rsidRPr="00F50271" w:rsidRDefault="00466376" w:rsidP="00466376">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informácie uvedené v častiach ŽoNFP: 5. Identifikácia projektu, 7. Popis projektu, 10.1 Aktivity projektu a očakávané merateľné ukazovatele.</w:t>
      </w:r>
    </w:p>
    <w:p w14:paraId="2F6A4BE6" w14:textId="77777777"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posúdi, či je správne a dostatočne deklarovaný súlad ŽoNFP s intervenčnou stratégiou P SK v nasledovných aspektoch:</w:t>
      </w:r>
    </w:p>
    <w:p w14:paraId="1BEE7738" w14:textId="5D4F2452" w:rsidR="00466376" w:rsidRPr="00F50271" w:rsidRDefault="00466376" w:rsidP="00466376">
      <w:pPr>
        <w:pStyle w:val="Odsekzoznamu"/>
        <w:numPr>
          <w:ilvl w:val="0"/>
          <w:numId w:val="4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príslušným špecifickým cieľom,</w:t>
      </w:r>
    </w:p>
    <w:p w14:paraId="26606FD2" w14:textId="77777777" w:rsidR="00466376" w:rsidRPr="00F50271" w:rsidRDefault="00466376" w:rsidP="00466376">
      <w:pPr>
        <w:pStyle w:val="Odsekzoznamu"/>
        <w:numPr>
          <w:ilvl w:val="0"/>
          <w:numId w:val="4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očakávanými výsledkami,</w:t>
      </w:r>
    </w:p>
    <w:p w14:paraId="5CAE81E9" w14:textId="77777777" w:rsidR="00466376" w:rsidRPr="00F50271" w:rsidRDefault="00466376" w:rsidP="00466376">
      <w:pPr>
        <w:pStyle w:val="Odsekzoznamu"/>
        <w:numPr>
          <w:ilvl w:val="0"/>
          <w:numId w:val="4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definovanými typmi oprávnených aktivít v rámci výzvy.</w:t>
      </w:r>
    </w:p>
    <w:p w14:paraId="2DBAB172" w14:textId="4E3BBE2B"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posúdi, či deklarovaný príspevok vyplýva z realizácie konkrétnych aktivít projektu. </w:t>
      </w:r>
      <w:r w:rsidRPr="00F50271">
        <w:rPr>
          <w:rFonts w:ascii="Arial Narrow" w:hAnsi="Arial Narrow" w:cs="Arial"/>
          <w:b/>
          <w:color w:val="000000" w:themeColor="text1"/>
        </w:rPr>
        <w:t>V prípade, že ŽoNFP</w:t>
      </w:r>
      <w:r w:rsidRPr="00F50271">
        <w:rPr>
          <w:rFonts w:ascii="Arial Narrow" w:eastAsia="Helvetica" w:hAnsi="Arial Narrow" w:cs="Arial"/>
          <w:b/>
          <w:color w:val="000000" w:themeColor="text1"/>
        </w:rPr>
        <w:t xml:space="preserve"> je v súlade s intervenčnou stratégiou P SK vo všetkých troch uvedených </w:t>
      </w:r>
      <w:r w:rsidR="008B41CE" w:rsidRPr="00F50271">
        <w:rPr>
          <w:rFonts w:ascii="Arial Narrow" w:eastAsia="Helvetica" w:hAnsi="Arial Narrow" w:cs="Arial"/>
          <w:b/>
          <w:color w:val="000000" w:themeColor="text1"/>
        </w:rPr>
        <w:t>oblastiach</w:t>
      </w:r>
      <w:r w:rsidRPr="00F50271">
        <w:rPr>
          <w:rFonts w:ascii="Arial Narrow" w:eastAsia="Helvetica" w:hAnsi="Arial Narrow" w:cs="Arial"/>
          <w:b/>
          <w:color w:val="000000" w:themeColor="text1"/>
        </w:rPr>
        <w:t xml:space="preserve">, hodnotiteľ priradí odpoveď </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áno</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 prirad</w:t>
      </w:r>
      <w:r w:rsidR="00F53CF8">
        <w:rPr>
          <w:rFonts w:ascii="Arial Narrow" w:eastAsia="Helvetica" w:hAnsi="Arial Narrow" w:cs="Arial"/>
          <w:b/>
          <w:color w:val="000000" w:themeColor="text1"/>
        </w:rPr>
        <w:t>í odpoveď „</w:t>
      </w:r>
      <w:r w:rsidRPr="00F50271">
        <w:rPr>
          <w:rFonts w:ascii="Arial Narrow" w:eastAsia="Helvetica" w:hAnsi="Arial Narrow" w:cs="Arial"/>
          <w:b/>
          <w:color w:val="000000" w:themeColor="text1"/>
        </w:rPr>
        <w:t>nie</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p>
    <w:p w14:paraId="6E36282B" w14:textId="6AF61043" w:rsidR="00466376" w:rsidRDefault="00466376" w:rsidP="00FC581E">
      <w:pPr>
        <w:spacing w:after="24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sidR="00F50271">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1"/>
        <w:gridCol w:w="1121"/>
        <w:gridCol w:w="4036"/>
      </w:tblGrid>
      <w:tr w:rsidR="00D72856" w:rsidRPr="00F23A87" w14:paraId="3AA09C27" w14:textId="77777777" w:rsidTr="00F77C01">
        <w:trPr>
          <w:trHeight w:val="300"/>
        </w:trPr>
        <w:tc>
          <w:tcPr>
            <w:tcW w:w="5000" w:type="pct"/>
            <w:gridSpan w:val="5"/>
            <w:tcBorders>
              <w:top w:val="single" w:sz="4" w:space="0" w:color="auto"/>
            </w:tcBorders>
            <w:shd w:val="clear" w:color="auto" w:fill="5B9BD5" w:themeFill="accent1"/>
          </w:tcPr>
          <w:p w14:paraId="2100E6BD" w14:textId="77777777" w:rsidR="00D72856" w:rsidRPr="00F50271" w:rsidRDefault="00D72856" w:rsidP="00F77C01">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D72856" w:rsidRPr="00F23A87" w14:paraId="29B94031" w14:textId="77777777" w:rsidTr="00EE694F">
        <w:trPr>
          <w:trHeight w:val="550"/>
        </w:trPr>
        <w:tc>
          <w:tcPr>
            <w:tcW w:w="135" w:type="pct"/>
            <w:vMerge w:val="restart"/>
            <w:shd w:val="clear" w:color="auto" w:fill="DEEAF6" w:themeFill="accent1" w:themeFillTint="33"/>
            <w:vAlign w:val="center"/>
          </w:tcPr>
          <w:p w14:paraId="3E93668D" w14:textId="0E861419" w:rsidR="00D72856" w:rsidRPr="002526E6" w:rsidRDefault="00D7285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2. </w:t>
            </w:r>
          </w:p>
        </w:tc>
        <w:tc>
          <w:tcPr>
            <w:tcW w:w="738" w:type="pct"/>
            <w:vMerge w:val="restart"/>
            <w:shd w:val="clear" w:color="auto" w:fill="DEEAF6" w:themeFill="accent1" w:themeFillTint="33"/>
            <w:vAlign w:val="center"/>
          </w:tcPr>
          <w:p w14:paraId="37D1F5A8" w14:textId="25634ECE" w:rsidR="00D72856" w:rsidRPr="002526E6" w:rsidRDefault="00D72856" w:rsidP="000A1944">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Je projekt v súlade s Národnou koncepciou </w:t>
            </w:r>
            <w:r w:rsidRPr="00D72856">
              <w:rPr>
                <w:rFonts w:ascii="Arial Narrow" w:eastAsia="Times New Roman" w:hAnsi="Arial Narrow" w:cs="Arial"/>
                <w:b/>
                <w:bCs/>
                <w:color w:val="000000"/>
                <w:lang w:eastAsia="sk-SK"/>
              </w:rPr>
              <w:t>informatizácie verejnej správy Slovenskej republiky</w:t>
            </w:r>
            <w:r w:rsidR="002462D4">
              <w:rPr>
                <w:rFonts w:ascii="Arial Narrow" w:eastAsia="Times New Roman" w:hAnsi="Arial Narrow" w:cs="Arial"/>
                <w:b/>
                <w:bCs/>
                <w:color w:val="000000"/>
                <w:lang w:eastAsia="sk-SK"/>
              </w:rPr>
              <w:t xml:space="preserve"> (</w:t>
            </w:r>
            <w:r w:rsidR="002462D4" w:rsidRPr="00EE694F">
              <w:rPr>
                <w:rFonts w:ascii="Arial Narrow" w:eastAsia="Times New Roman" w:hAnsi="Arial Narrow" w:cs="Arial"/>
                <w:b/>
                <w:bCs/>
                <w:color w:val="000000"/>
                <w:u w:val="single"/>
                <w:lang w:eastAsia="sk-SK"/>
              </w:rPr>
              <w:t xml:space="preserve">relevantné </w:t>
            </w:r>
            <w:r w:rsidR="002462D4" w:rsidRPr="00EE694F">
              <w:rPr>
                <w:rFonts w:ascii="Arial Narrow" w:eastAsia="Times New Roman" w:hAnsi="Arial Narrow" w:cs="Arial"/>
                <w:b/>
                <w:bCs/>
                <w:color w:val="000000"/>
                <w:u w:val="single"/>
                <w:lang w:eastAsia="sk-SK"/>
              </w:rPr>
              <w:lastRenderedPageBreak/>
              <w:t xml:space="preserve">pre </w:t>
            </w:r>
            <w:r w:rsidR="00173475" w:rsidRPr="00EE694F">
              <w:rPr>
                <w:rFonts w:ascii="Arial Narrow" w:eastAsia="Times New Roman" w:hAnsi="Arial Narrow" w:cs="Arial"/>
                <w:b/>
                <w:bCs/>
                <w:color w:val="000000"/>
                <w:u w:val="single"/>
                <w:lang w:eastAsia="sk-SK"/>
              </w:rPr>
              <w:t xml:space="preserve">špecifický cieľ </w:t>
            </w:r>
            <w:r w:rsidR="00173475" w:rsidRPr="00EE694F">
              <w:rPr>
                <w:rFonts w:ascii="Arial Narrow" w:hAnsi="Arial Narrow"/>
                <w:b/>
                <w:u w:val="single"/>
              </w:rPr>
              <w:t>RSO1.2</w:t>
            </w:r>
            <w:r w:rsidR="002462D4">
              <w:rPr>
                <w:rFonts w:ascii="Arial Narrow" w:eastAsia="Times New Roman" w:hAnsi="Arial Narrow" w:cs="Arial"/>
                <w:b/>
                <w:bCs/>
                <w:color w:val="000000"/>
                <w:lang w:eastAsia="sk-SK"/>
              </w:rPr>
              <w:t>)</w:t>
            </w:r>
          </w:p>
        </w:tc>
        <w:tc>
          <w:tcPr>
            <w:tcW w:w="2447" w:type="pct"/>
            <w:shd w:val="clear" w:color="auto" w:fill="DEEAF6" w:themeFill="accent1" w:themeFillTint="33"/>
            <w:vAlign w:val="center"/>
            <w:hideMark/>
          </w:tcPr>
          <w:p w14:paraId="0CC9FDFC" w14:textId="77777777" w:rsidR="00D72856" w:rsidRPr="00F50271" w:rsidRDefault="00D72856" w:rsidP="00F77C01">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lastRenderedPageBreak/>
              <w:t>Predmet posúdenia</w:t>
            </w:r>
          </w:p>
        </w:tc>
        <w:tc>
          <w:tcPr>
            <w:tcW w:w="366" w:type="pct"/>
            <w:shd w:val="clear" w:color="auto" w:fill="DEEAF6" w:themeFill="accent1" w:themeFillTint="33"/>
            <w:vAlign w:val="center"/>
            <w:hideMark/>
          </w:tcPr>
          <w:p w14:paraId="3C2158C1" w14:textId="77777777" w:rsidR="00D72856" w:rsidRPr="00F50271" w:rsidRDefault="00D72856" w:rsidP="00F77C01">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4" w:type="pct"/>
            <w:shd w:val="clear" w:color="auto" w:fill="DEEAF6" w:themeFill="accent1" w:themeFillTint="33"/>
            <w:vAlign w:val="center"/>
            <w:hideMark/>
          </w:tcPr>
          <w:p w14:paraId="6656C465" w14:textId="77777777" w:rsidR="00D72856" w:rsidRPr="00F50271" w:rsidRDefault="00D72856" w:rsidP="00F77C01">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D72856" w:rsidRPr="00F23A87" w14:paraId="72441250" w14:textId="77777777" w:rsidTr="00EE694F">
        <w:trPr>
          <w:trHeight w:val="668"/>
        </w:trPr>
        <w:tc>
          <w:tcPr>
            <w:tcW w:w="135" w:type="pct"/>
            <w:vMerge/>
          </w:tcPr>
          <w:p w14:paraId="42E0680D" w14:textId="77777777" w:rsidR="00D72856" w:rsidRPr="00F50271" w:rsidRDefault="00D72856" w:rsidP="00F77C01">
            <w:pPr>
              <w:spacing w:after="0" w:line="240" w:lineRule="auto"/>
              <w:ind w:left="15"/>
              <w:jc w:val="both"/>
              <w:textAlignment w:val="baseline"/>
              <w:rPr>
                <w:rFonts w:ascii="Arial Narrow" w:eastAsia="Times New Roman" w:hAnsi="Arial Narrow" w:cs="Arial"/>
                <w:lang w:eastAsia="sk-SK"/>
              </w:rPr>
            </w:pPr>
          </w:p>
        </w:tc>
        <w:tc>
          <w:tcPr>
            <w:tcW w:w="738" w:type="pct"/>
            <w:vMerge/>
          </w:tcPr>
          <w:p w14:paraId="360482CE" w14:textId="77777777" w:rsidR="00D72856" w:rsidRPr="00F50271" w:rsidRDefault="00D72856" w:rsidP="00F77C01">
            <w:pPr>
              <w:spacing w:after="0" w:line="240" w:lineRule="auto"/>
              <w:ind w:left="15"/>
              <w:jc w:val="both"/>
              <w:textAlignment w:val="baseline"/>
              <w:rPr>
                <w:rFonts w:ascii="Arial Narrow" w:eastAsia="Times New Roman" w:hAnsi="Arial Narrow" w:cs="Arial"/>
                <w:lang w:eastAsia="sk-SK"/>
              </w:rPr>
            </w:pPr>
          </w:p>
        </w:tc>
        <w:tc>
          <w:tcPr>
            <w:tcW w:w="2447" w:type="pct"/>
            <w:vMerge w:val="restart"/>
            <w:shd w:val="clear" w:color="auto" w:fill="auto"/>
            <w:vAlign w:val="center"/>
          </w:tcPr>
          <w:p w14:paraId="21A4A1DA" w14:textId="6EEBF11D" w:rsidR="00D72856" w:rsidRPr="00D72856" w:rsidRDefault="00D72856" w:rsidP="00D7285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Posudzuje sa súlad projektu s </w:t>
            </w:r>
            <w:r w:rsidRPr="00D72856">
              <w:rPr>
                <w:rFonts w:ascii="Arial Narrow" w:eastAsia="Times New Roman" w:hAnsi="Arial Narrow" w:cs="Arial"/>
                <w:lang w:eastAsia="sk-SK"/>
              </w:rPr>
              <w:t>Národn</w:t>
            </w:r>
            <w:r>
              <w:rPr>
                <w:rFonts w:ascii="Arial Narrow" w:eastAsia="Times New Roman" w:hAnsi="Arial Narrow" w:cs="Arial"/>
                <w:lang w:eastAsia="sk-SK"/>
              </w:rPr>
              <w:t>ou</w:t>
            </w:r>
            <w:r w:rsidRPr="00D72856">
              <w:rPr>
                <w:rFonts w:ascii="Arial Narrow" w:eastAsia="Times New Roman" w:hAnsi="Arial Narrow" w:cs="Arial"/>
                <w:lang w:eastAsia="sk-SK"/>
              </w:rPr>
              <w:t xml:space="preserve"> koncepci</w:t>
            </w:r>
            <w:r>
              <w:rPr>
                <w:rFonts w:ascii="Arial Narrow" w:eastAsia="Times New Roman" w:hAnsi="Arial Narrow" w:cs="Arial"/>
                <w:lang w:eastAsia="sk-SK"/>
              </w:rPr>
              <w:t>ou</w:t>
            </w:r>
            <w:r w:rsidRPr="00D72856">
              <w:rPr>
                <w:rFonts w:ascii="Arial Narrow" w:eastAsia="Times New Roman" w:hAnsi="Arial Narrow" w:cs="Arial"/>
                <w:lang w:eastAsia="sk-SK"/>
              </w:rPr>
              <w:t xml:space="preserve"> informatizácie verejnej správy Slovenskej republiky</w:t>
            </w:r>
            <w:r>
              <w:rPr>
                <w:rFonts w:ascii="Arial Narrow" w:eastAsia="Times New Roman" w:hAnsi="Arial Narrow" w:cs="Arial"/>
                <w:lang w:eastAsia="sk-SK"/>
              </w:rPr>
              <w:t xml:space="preserve"> (ďalej ako „NKIVS“).</w:t>
            </w:r>
          </w:p>
          <w:p w14:paraId="661AE8A2" w14:textId="6A06FF39" w:rsidR="00D72856" w:rsidRPr="00F50271" w:rsidRDefault="00D72856" w:rsidP="00D72856">
            <w:pPr>
              <w:spacing w:after="0" w:line="240" w:lineRule="auto"/>
              <w:ind w:left="15"/>
              <w:jc w:val="both"/>
              <w:textAlignment w:val="baseline"/>
              <w:rPr>
                <w:rFonts w:ascii="Arial Narrow" w:eastAsia="Times New Roman" w:hAnsi="Arial Narrow" w:cs="Arial"/>
                <w:lang w:eastAsia="sk-SK"/>
              </w:rPr>
            </w:pPr>
          </w:p>
          <w:p w14:paraId="2794A5B4" w14:textId="14348838" w:rsidR="00D72856" w:rsidRPr="00F50271" w:rsidRDefault="00D72856" w:rsidP="00F77C01">
            <w:pPr>
              <w:spacing w:after="0" w:line="240" w:lineRule="auto"/>
              <w:ind w:left="15"/>
              <w:jc w:val="both"/>
              <w:textAlignment w:val="baseline"/>
              <w:rPr>
                <w:rFonts w:ascii="Arial Narrow" w:eastAsia="Times New Roman" w:hAnsi="Arial Narrow" w:cs="Arial"/>
                <w:lang w:eastAsia="sk-SK"/>
              </w:rPr>
            </w:pPr>
          </w:p>
        </w:tc>
        <w:tc>
          <w:tcPr>
            <w:tcW w:w="366" w:type="pct"/>
            <w:shd w:val="clear" w:color="auto" w:fill="auto"/>
            <w:vAlign w:val="center"/>
          </w:tcPr>
          <w:p w14:paraId="0CA5B672" w14:textId="77777777" w:rsidR="00D72856" w:rsidRPr="00F50271" w:rsidRDefault="00D72856" w:rsidP="00F77C01">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áno</w:t>
            </w:r>
          </w:p>
        </w:tc>
        <w:tc>
          <w:tcPr>
            <w:tcW w:w="1314" w:type="pct"/>
            <w:shd w:val="clear" w:color="auto" w:fill="auto"/>
            <w:vAlign w:val="center"/>
          </w:tcPr>
          <w:p w14:paraId="4C54F4E7" w14:textId="2C669FB5" w:rsidR="00D72856" w:rsidRPr="00F50271" w:rsidRDefault="00D72856" w:rsidP="00E22755">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w:t>
            </w:r>
            <w:r w:rsidR="00E22755">
              <w:rPr>
                <w:rFonts w:ascii="Arial Narrow" w:eastAsia="Times New Roman" w:hAnsi="Arial Narrow" w:cs="Arial"/>
                <w:lang w:eastAsia="sk-SK"/>
              </w:rPr>
              <w:t> niektorým zo strategických cieľov definovanom v NKIVS</w:t>
            </w:r>
            <w:r w:rsidRPr="00F50271">
              <w:rPr>
                <w:rFonts w:ascii="Arial Narrow" w:eastAsia="Times New Roman" w:hAnsi="Arial Narrow" w:cs="Arial"/>
                <w:i/>
                <w:lang w:eastAsia="sk-SK"/>
              </w:rPr>
              <w:t>.</w:t>
            </w:r>
          </w:p>
        </w:tc>
      </w:tr>
      <w:tr w:rsidR="00D72856" w:rsidRPr="00F23A87" w14:paraId="1A9ACABB" w14:textId="77777777" w:rsidTr="00D72856">
        <w:trPr>
          <w:trHeight w:val="555"/>
        </w:trPr>
        <w:tc>
          <w:tcPr>
            <w:tcW w:w="135" w:type="pct"/>
            <w:vMerge/>
          </w:tcPr>
          <w:p w14:paraId="387F8372" w14:textId="77777777" w:rsidR="00D72856" w:rsidRPr="00F50271" w:rsidRDefault="00D72856" w:rsidP="00F77C01">
            <w:pPr>
              <w:spacing w:after="0" w:line="240" w:lineRule="auto"/>
              <w:rPr>
                <w:rFonts w:ascii="Arial Narrow" w:eastAsia="Times New Roman" w:hAnsi="Arial Narrow" w:cs="Arial"/>
                <w:lang w:eastAsia="sk-SK"/>
              </w:rPr>
            </w:pPr>
          </w:p>
        </w:tc>
        <w:tc>
          <w:tcPr>
            <w:tcW w:w="738" w:type="pct"/>
            <w:vMerge/>
          </w:tcPr>
          <w:p w14:paraId="0EE273F9" w14:textId="77777777" w:rsidR="00D72856" w:rsidRPr="00F50271" w:rsidRDefault="00D72856" w:rsidP="00F77C01">
            <w:pPr>
              <w:spacing w:after="0" w:line="240" w:lineRule="auto"/>
              <w:rPr>
                <w:rFonts w:ascii="Arial Narrow" w:eastAsia="Times New Roman" w:hAnsi="Arial Narrow" w:cs="Arial"/>
                <w:lang w:eastAsia="sk-SK"/>
              </w:rPr>
            </w:pPr>
          </w:p>
        </w:tc>
        <w:tc>
          <w:tcPr>
            <w:tcW w:w="2447" w:type="pct"/>
            <w:vMerge/>
            <w:shd w:val="clear" w:color="auto" w:fill="auto"/>
            <w:vAlign w:val="center"/>
          </w:tcPr>
          <w:p w14:paraId="2087DCD8" w14:textId="77777777" w:rsidR="00D72856" w:rsidRPr="00F50271" w:rsidRDefault="00D72856" w:rsidP="00F77C01">
            <w:pPr>
              <w:spacing w:after="0" w:line="240" w:lineRule="auto"/>
              <w:rPr>
                <w:rFonts w:ascii="Arial Narrow" w:eastAsia="Times New Roman" w:hAnsi="Arial Narrow" w:cs="Arial"/>
                <w:lang w:eastAsia="sk-SK"/>
              </w:rPr>
            </w:pPr>
          </w:p>
        </w:tc>
        <w:tc>
          <w:tcPr>
            <w:tcW w:w="366" w:type="pct"/>
            <w:shd w:val="clear" w:color="auto" w:fill="auto"/>
            <w:vAlign w:val="center"/>
          </w:tcPr>
          <w:p w14:paraId="17300597" w14:textId="77777777" w:rsidR="00D72856" w:rsidRPr="00F50271" w:rsidRDefault="00D72856" w:rsidP="00F77C01">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nie</w:t>
            </w:r>
          </w:p>
        </w:tc>
        <w:tc>
          <w:tcPr>
            <w:tcW w:w="1314" w:type="pct"/>
            <w:shd w:val="clear" w:color="auto" w:fill="auto"/>
            <w:vAlign w:val="center"/>
          </w:tcPr>
          <w:p w14:paraId="28533165" w14:textId="5FC0A14E" w:rsidR="00D72856" w:rsidRPr="00F50271" w:rsidRDefault="00D72856" w:rsidP="00E22755">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Projekt nie je v súlade s</w:t>
            </w:r>
            <w:r w:rsidR="00E22755">
              <w:rPr>
                <w:rFonts w:ascii="Arial Narrow" w:eastAsia="Times New Roman" w:hAnsi="Arial Narrow" w:cs="Arial"/>
                <w:lang w:eastAsia="sk-SK"/>
              </w:rPr>
              <w:t>o strategickým cieľom definovanom v NKIVS</w:t>
            </w:r>
            <w:r>
              <w:rPr>
                <w:rFonts w:ascii="Arial Narrow" w:eastAsia="Times New Roman" w:hAnsi="Arial Narrow" w:cs="Arial"/>
                <w:lang w:eastAsia="sk-SK"/>
              </w:rPr>
              <w:t>.</w:t>
            </w:r>
          </w:p>
        </w:tc>
      </w:tr>
    </w:tbl>
    <w:p w14:paraId="153785E5" w14:textId="2EF23D47" w:rsidR="00F50388" w:rsidRDefault="00A17B4E" w:rsidP="00FC581E">
      <w:pPr>
        <w:spacing w:before="240" w:after="240" w:line="288" w:lineRule="auto"/>
        <w:jc w:val="both"/>
        <w:rPr>
          <w:rFonts w:ascii="Arial Narrow" w:eastAsia="Helvetica" w:hAnsi="Arial Narrow" w:cs="Arial"/>
          <w:color w:val="000000" w:themeColor="text1"/>
        </w:rPr>
      </w:pPr>
      <w:r>
        <w:rPr>
          <w:rFonts w:ascii="Arial Narrow" w:hAnsi="Arial Narrow" w:cs="Arial"/>
          <w:color w:val="000000" w:themeColor="text1"/>
        </w:rPr>
        <w:t>Hodnotiteľ posudzuje, či obsahom projektu</w:t>
      </w:r>
      <w:r w:rsidR="00691593">
        <w:rPr>
          <w:rFonts w:ascii="Arial Narrow" w:hAnsi="Arial Narrow" w:cs="Arial"/>
          <w:color w:val="000000" w:themeColor="text1"/>
        </w:rPr>
        <w:t>/ŽoNFP</w:t>
      </w:r>
      <w:r>
        <w:rPr>
          <w:rFonts w:ascii="Arial Narrow" w:hAnsi="Arial Narrow" w:cs="Arial"/>
          <w:color w:val="000000" w:themeColor="text1"/>
        </w:rPr>
        <w:t xml:space="preserve"> je príspevok k niektorému zo strategických cieľov NKIVS </w:t>
      </w:r>
      <w:r w:rsidR="00691593">
        <w:rPr>
          <w:rFonts w:ascii="Arial Narrow" w:hAnsi="Arial Narrow" w:cs="Arial"/>
          <w:color w:val="000000" w:themeColor="text1"/>
        </w:rPr>
        <w:t>(</w:t>
      </w:r>
      <w:hyperlink r:id="rId8" w:history="1">
        <w:r w:rsidR="00691593" w:rsidRPr="00DC7D43">
          <w:rPr>
            <w:rStyle w:val="Hypertextovprepojenie"/>
            <w:rFonts w:ascii="Arial Narrow" w:hAnsi="Arial Narrow" w:cs="Arial"/>
          </w:rPr>
          <w:t>https://www.mirri.gov.sk/sekcie/informatizacia/narodna-koncepcia-informatizacie-verejnej-spravy-nikvs/</w:t>
        </w:r>
      </w:hyperlink>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V prípade, že projekt/ŽoNFP</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prispieva k niektorému</w:t>
      </w:r>
      <w:r w:rsidR="00691593">
        <w:rPr>
          <w:rFonts w:ascii="Arial Narrow" w:hAnsi="Arial Narrow" w:cs="Arial"/>
          <w:b/>
          <w:color w:val="000000" w:themeColor="text1"/>
        </w:rPr>
        <w:t xml:space="preserve"> </w:t>
      </w:r>
      <w:r w:rsidR="00691593">
        <w:rPr>
          <w:rFonts w:ascii="Arial Narrow" w:hAnsi="Arial Narrow" w:cs="Arial"/>
          <w:color w:val="000000" w:themeColor="text1"/>
        </w:rPr>
        <w:t>zo strategických cieľov NKIVS</w:t>
      </w:r>
      <w:r w:rsidR="00691593" w:rsidRPr="00F50271">
        <w:rPr>
          <w:rFonts w:ascii="Arial Narrow" w:eastAsia="Helvetica" w:hAnsi="Arial Narrow" w:cs="Arial"/>
          <w:b/>
          <w:color w:val="000000" w:themeColor="text1"/>
        </w:rPr>
        <w:t xml:space="preserve">, hodnotiteľ priradí odpoveď </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áno</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 V opačnom prípade prirad</w:t>
      </w:r>
      <w:r w:rsidR="00691593">
        <w:rPr>
          <w:rFonts w:ascii="Arial Narrow" w:eastAsia="Helvetica" w:hAnsi="Arial Narrow" w:cs="Arial"/>
          <w:b/>
          <w:color w:val="000000" w:themeColor="text1"/>
        </w:rPr>
        <w:t>í odpoveď „</w:t>
      </w:r>
      <w:r w:rsidR="00691593" w:rsidRPr="00F50271">
        <w:rPr>
          <w:rFonts w:ascii="Arial Narrow" w:eastAsia="Helvetica" w:hAnsi="Arial Narrow" w:cs="Arial"/>
          <w:b/>
          <w:color w:val="000000" w:themeColor="text1"/>
        </w:rPr>
        <w:t>nie</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w:t>
      </w:r>
      <w:r w:rsidR="00F50388">
        <w:rPr>
          <w:rFonts w:ascii="Arial Narrow" w:eastAsia="Helvetica" w:hAnsi="Arial Narrow" w:cs="Arial"/>
          <w:b/>
          <w:color w:val="000000" w:themeColor="text1"/>
        </w:rPr>
        <w:t xml:space="preserve"> </w:t>
      </w:r>
      <w:r w:rsidR="00F50388" w:rsidRPr="007731B9">
        <w:rPr>
          <w:rFonts w:ascii="Arial Narrow" w:eastAsia="Helvetica" w:hAnsi="Arial Narrow" w:cs="Arial"/>
          <w:b/>
          <w:color w:val="000000" w:themeColor="text1"/>
        </w:rPr>
        <w:t>Hodnotiteľ svoju odpoveď zdôvodní</w:t>
      </w:r>
      <w:r w:rsidR="00F50388" w:rsidRPr="00F50388">
        <w:rPr>
          <w:rFonts w:ascii="Arial Narrow" w:eastAsia="Helvetica" w:hAnsi="Arial Narrow" w:cs="Arial"/>
          <w:color w:val="000000" w:themeColor="text1"/>
        </w:rPr>
        <w:t xml:space="preserve"> v hodnotiacom hárku odborného hodnotenia v časti „Komentár“ 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2462D4" w:rsidRPr="00F23A87" w14:paraId="26596BCE" w14:textId="77777777" w:rsidTr="008B4936">
        <w:trPr>
          <w:trHeight w:val="300"/>
        </w:trPr>
        <w:tc>
          <w:tcPr>
            <w:tcW w:w="5000" w:type="pct"/>
            <w:gridSpan w:val="5"/>
            <w:tcBorders>
              <w:top w:val="single" w:sz="4" w:space="0" w:color="auto"/>
            </w:tcBorders>
            <w:shd w:val="clear" w:color="auto" w:fill="5B9BD5" w:themeFill="accent1"/>
          </w:tcPr>
          <w:p w14:paraId="1C4536F1" w14:textId="77777777" w:rsidR="002462D4" w:rsidRPr="00F50271" w:rsidRDefault="002462D4" w:rsidP="008B4936">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462D4" w:rsidRPr="00F23A87" w14:paraId="22B3B67E" w14:textId="77777777" w:rsidTr="004C15E4">
        <w:trPr>
          <w:trHeight w:val="300"/>
        </w:trPr>
        <w:tc>
          <w:tcPr>
            <w:tcW w:w="142" w:type="pct"/>
            <w:vMerge w:val="restart"/>
            <w:shd w:val="clear" w:color="auto" w:fill="DEEAF6" w:themeFill="accent1" w:themeFillTint="33"/>
            <w:vAlign w:val="center"/>
          </w:tcPr>
          <w:p w14:paraId="4F8996C6" w14:textId="6DD2EEFA" w:rsidR="002462D4" w:rsidRPr="002526E6" w:rsidRDefault="004C15E4" w:rsidP="008B4936">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3</w:t>
            </w:r>
            <w:r w:rsidR="002462D4">
              <w:rPr>
                <w:rFonts w:ascii="Arial Narrow" w:eastAsia="Times New Roman" w:hAnsi="Arial Narrow" w:cs="Arial"/>
                <w:b/>
                <w:bCs/>
                <w:color w:val="000000"/>
                <w:lang w:eastAsia="sk-SK"/>
              </w:rPr>
              <w:t xml:space="preserve">. </w:t>
            </w:r>
          </w:p>
        </w:tc>
        <w:tc>
          <w:tcPr>
            <w:tcW w:w="736" w:type="pct"/>
            <w:vMerge w:val="restart"/>
            <w:shd w:val="clear" w:color="auto" w:fill="DEEAF6" w:themeFill="accent1" w:themeFillTint="33"/>
            <w:vAlign w:val="center"/>
          </w:tcPr>
          <w:p w14:paraId="3D9D6605" w14:textId="20450715" w:rsidR="002462D4" w:rsidRPr="002526E6" w:rsidRDefault="002462D4">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Je projekt v súlade s</w:t>
            </w:r>
            <w:r w:rsidR="00173475">
              <w:rPr>
                <w:rFonts w:ascii="Arial Narrow" w:eastAsia="Times New Roman" w:hAnsi="Arial Narrow" w:cs="Arial"/>
                <w:b/>
                <w:bCs/>
                <w:color w:val="000000"/>
                <w:lang w:eastAsia="sk-SK"/>
              </w:rPr>
              <w:t>o</w:t>
            </w:r>
            <w:r>
              <w:rPr>
                <w:rFonts w:ascii="Arial Narrow" w:eastAsia="Times New Roman" w:hAnsi="Arial Narrow" w:cs="Arial"/>
                <w:b/>
                <w:bCs/>
                <w:color w:val="000000"/>
                <w:lang w:eastAsia="sk-SK"/>
              </w:rPr>
              <w:t> </w:t>
            </w:r>
            <w:r w:rsidR="00173475">
              <w:rPr>
                <w:rFonts w:ascii="Arial Narrow" w:eastAsia="Times New Roman" w:hAnsi="Arial Narrow" w:cs="Arial"/>
                <w:b/>
                <w:bCs/>
                <w:color w:val="000000"/>
                <w:lang w:eastAsia="sk-SK"/>
              </w:rPr>
              <w:t xml:space="preserve">stratégiou </w:t>
            </w:r>
            <w:r w:rsidR="00173475" w:rsidRPr="00173475">
              <w:rPr>
                <w:rFonts w:ascii="Arial Narrow" w:eastAsia="Times New Roman" w:hAnsi="Arial Narrow" w:cs="Arial"/>
                <w:b/>
                <w:bCs/>
                <w:color w:val="000000"/>
                <w:lang w:eastAsia="sk-SK"/>
              </w:rPr>
              <w:t>Poznatkami k prosperite – Stratégia výskumu a inovácií pre inteligentnú špecializáciu</w:t>
            </w:r>
            <w:r w:rsidR="002F1329">
              <w:rPr>
                <w:rFonts w:ascii="Arial Narrow" w:eastAsia="Times New Roman" w:hAnsi="Arial Narrow" w:cs="Arial"/>
                <w:b/>
                <w:bCs/>
                <w:color w:val="000000"/>
                <w:lang w:eastAsia="sk-SK"/>
              </w:rPr>
              <w:t xml:space="preserve"> (ďalej ako „RIS3“)</w:t>
            </w:r>
            <w:r w:rsidR="00173475" w:rsidRPr="00173475">
              <w:rPr>
                <w:rFonts w:ascii="Arial Narrow" w:eastAsia="Times New Roman" w:hAnsi="Arial Narrow" w:cs="Arial"/>
                <w:b/>
                <w:bCs/>
                <w:color w:val="000000"/>
                <w:lang w:eastAsia="sk-SK"/>
              </w:rPr>
              <w:t xml:space="preserve"> </w:t>
            </w:r>
            <w:r>
              <w:rPr>
                <w:rFonts w:ascii="Arial Narrow" w:eastAsia="Times New Roman" w:hAnsi="Arial Narrow" w:cs="Arial"/>
                <w:b/>
                <w:bCs/>
                <w:color w:val="000000"/>
                <w:lang w:eastAsia="sk-SK"/>
              </w:rPr>
              <w:t>(</w:t>
            </w:r>
            <w:r w:rsidRPr="00EE694F">
              <w:rPr>
                <w:rFonts w:ascii="Arial Narrow" w:eastAsia="Times New Roman" w:hAnsi="Arial Narrow" w:cs="Arial"/>
                <w:b/>
                <w:bCs/>
                <w:color w:val="000000"/>
                <w:u w:val="single"/>
                <w:lang w:eastAsia="sk-SK"/>
              </w:rPr>
              <w:t xml:space="preserve">relevantné pre </w:t>
            </w:r>
            <w:r w:rsidR="00173475" w:rsidRPr="00EE694F">
              <w:rPr>
                <w:rFonts w:ascii="Arial Narrow" w:eastAsia="Times New Roman" w:hAnsi="Arial Narrow" w:cs="Arial"/>
                <w:b/>
                <w:bCs/>
                <w:color w:val="000000"/>
                <w:u w:val="single"/>
                <w:lang w:eastAsia="sk-SK"/>
              </w:rPr>
              <w:t>špecifický cieľ RSO</w:t>
            </w:r>
            <w:r w:rsidRPr="00EE694F">
              <w:rPr>
                <w:rFonts w:ascii="Arial Narrow" w:eastAsia="Times New Roman" w:hAnsi="Arial Narrow" w:cs="Arial"/>
                <w:b/>
                <w:bCs/>
                <w:color w:val="000000"/>
                <w:u w:val="single"/>
                <w:lang w:eastAsia="sk-SK"/>
              </w:rPr>
              <w:t>1.4</w:t>
            </w:r>
            <w:r>
              <w:rPr>
                <w:rFonts w:ascii="Arial Narrow" w:eastAsia="Times New Roman" w:hAnsi="Arial Narrow" w:cs="Arial"/>
                <w:b/>
                <w:bCs/>
                <w:color w:val="000000"/>
                <w:lang w:eastAsia="sk-SK"/>
              </w:rPr>
              <w:t>)</w:t>
            </w:r>
          </w:p>
        </w:tc>
        <w:tc>
          <w:tcPr>
            <w:tcW w:w="2445" w:type="pct"/>
            <w:shd w:val="clear" w:color="auto" w:fill="DEEAF6" w:themeFill="accent1" w:themeFillTint="33"/>
            <w:vAlign w:val="center"/>
            <w:hideMark/>
          </w:tcPr>
          <w:p w14:paraId="5A5F979F" w14:textId="77777777" w:rsidR="002462D4" w:rsidRPr="00F50271" w:rsidRDefault="002462D4" w:rsidP="008B4936">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20488562" w14:textId="77777777" w:rsidR="002462D4" w:rsidRPr="00F50271" w:rsidRDefault="002462D4" w:rsidP="008B493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2" w:type="pct"/>
            <w:shd w:val="clear" w:color="auto" w:fill="DEEAF6" w:themeFill="accent1" w:themeFillTint="33"/>
            <w:vAlign w:val="center"/>
            <w:hideMark/>
          </w:tcPr>
          <w:p w14:paraId="1931B32E" w14:textId="77777777" w:rsidR="002462D4" w:rsidRPr="00F50271" w:rsidRDefault="002462D4" w:rsidP="008B493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4C15E4" w:rsidRPr="00F23A87" w14:paraId="0FDD8CD1" w14:textId="77777777" w:rsidTr="004C15E4">
        <w:trPr>
          <w:trHeight w:val="668"/>
        </w:trPr>
        <w:tc>
          <w:tcPr>
            <w:tcW w:w="142" w:type="pct"/>
            <w:vMerge/>
          </w:tcPr>
          <w:p w14:paraId="636CBDE3" w14:textId="77777777" w:rsidR="002462D4" w:rsidRPr="00F50271" w:rsidRDefault="002462D4" w:rsidP="008B4936">
            <w:pPr>
              <w:spacing w:after="0" w:line="240" w:lineRule="auto"/>
              <w:ind w:left="15"/>
              <w:jc w:val="both"/>
              <w:textAlignment w:val="baseline"/>
              <w:rPr>
                <w:rFonts w:ascii="Arial Narrow" w:eastAsia="Times New Roman" w:hAnsi="Arial Narrow" w:cs="Arial"/>
                <w:lang w:eastAsia="sk-SK"/>
              </w:rPr>
            </w:pPr>
          </w:p>
        </w:tc>
        <w:tc>
          <w:tcPr>
            <w:tcW w:w="736" w:type="pct"/>
            <w:vMerge/>
          </w:tcPr>
          <w:p w14:paraId="5DBD9D8E" w14:textId="77777777" w:rsidR="002462D4" w:rsidRPr="00F50271" w:rsidRDefault="002462D4" w:rsidP="008B4936">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4E524699" w14:textId="51716854" w:rsidR="002462D4" w:rsidRPr="00D72856" w:rsidRDefault="002462D4" w:rsidP="008B493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Posudzuje sa súlad projektu s</w:t>
            </w:r>
            <w:r w:rsidR="002F1329">
              <w:rPr>
                <w:rFonts w:ascii="Arial Narrow" w:eastAsia="Times New Roman" w:hAnsi="Arial Narrow" w:cs="Arial"/>
                <w:lang w:eastAsia="sk-SK"/>
              </w:rPr>
              <w:t> RIS3</w:t>
            </w:r>
            <w:r>
              <w:rPr>
                <w:rFonts w:ascii="Arial Narrow" w:eastAsia="Times New Roman" w:hAnsi="Arial Narrow" w:cs="Arial"/>
                <w:lang w:eastAsia="sk-SK"/>
              </w:rPr>
              <w:t>.</w:t>
            </w:r>
          </w:p>
          <w:p w14:paraId="456B38A5" w14:textId="77777777" w:rsidR="002462D4" w:rsidRPr="00F50271" w:rsidRDefault="002462D4" w:rsidP="008B4936">
            <w:pPr>
              <w:spacing w:after="0" w:line="240" w:lineRule="auto"/>
              <w:ind w:left="15"/>
              <w:jc w:val="both"/>
              <w:textAlignment w:val="baseline"/>
              <w:rPr>
                <w:rFonts w:ascii="Arial Narrow" w:eastAsia="Times New Roman" w:hAnsi="Arial Narrow" w:cs="Arial"/>
                <w:lang w:eastAsia="sk-SK"/>
              </w:rPr>
            </w:pPr>
          </w:p>
          <w:p w14:paraId="3D68DC58" w14:textId="77777777" w:rsidR="002462D4" w:rsidRPr="00F50271" w:rsidRDefault="002462D4" w:rsidP="008B4936">
            <w:pPr>
              <w:spacing w:after="0" w:line="240" w:lineRule="auto"/>
              <w:ind w:left="15"/>
              <w:jc w:val="both"/>
              <w:textAlignment w:val="baseline"/>
              <w:rPr>
                <w:rFonts w:ascii="Arial Narrow" w:eastAsia="Times New Roman" w:hAnsi="Arial Narrow" w:cs="Arial"/>
                <w:lang w:eastAsia="sk-SK"/>
              </w:rPr>
            </w:pPr>
          </w:p>
        </w:tc>
        <w:tc>
          <w:tcPr>
            <w:tcW w:w="364" w:type="pct"/>
            <w:shd w:val="clear" w:color="auto" w:fill="auto"/>
            <w:vAlign w:val="center"/>
          </w:tcPr>
          <w:p w14:paraId="7ADA03F7" w14:textId="77777777" w:rsidR="002462D4" w:rsidRPr="00F50271" w:rsidRDefault="002462D4" w:rsidP="008B493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áno</w:t>
            </w:r>
          </w:p>
        </w:tc>
        <w:tc>
          <w:tcPr>
            <w:tcW w:w="1312" w:type="pct"/>
            <w:shd w:val="clear" w:color="auto" w:fill="auto"/>
            <w:vAlign w:val="center"/>
          </w:tcPr>
          <w:p w14:paraId="18D71F6E" w14:textId="7F96B809" w:rsidR="002462D4" w:rsidRPr="00F50271" w:rsidRDefault="002462D4" w:rsidP="004C15E4">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w:t>
            </w:r>
            <w:r>
              <w:rPr>
                <w:rFonts w:ascii="Arial Narrow" w:eastAsia="Times New Roman" w:hAnsi="Arial Narrow" w:cs="Arial"/>
                <w:lang w:eastAsia="sk-SK"/>
              </w:rPr>
              <w:t> niektor</w:t>
            </w:r>
            <w:r w:rsidR="004C15E4">
              <w:rPr>
                <w:rFonts w:ascii="Arial Narrow" w:eastAsia="Times New Roman" w:hAnsi="Arial Narrow" w:cs="Arial"/>
                <w:lang w:eastAsia="sk-SK"/>
              </w:rPr>
              <w:t>ou z</w:t>
            </w:r>
            <w:r w:rsidR="004566D9">
              <w:rPr>
                <w:rFonts w:ascii="Arial Narrow" w:eastAsia="Times New Roman" w:hAnsi="Arial Narrow" w:cs="Arial"/>
                <w:lang w:eastAsia="sk-SK"/>
              </w:rPr>
              <w:t xml:space="preserve"> vybraných </w:t>
            </w:r>
            <w:r w:rsidR="004C15E4">
              <w:rPr>
                <w:rFonts w:ascii="Arial Narrow" w:eastAsia="Times New Roman" w:hAnsi="Arial Narrow" w:cs="Arial"/>
                <w:lang w:eastAsia="sk-SK"/>
              </w:rPr>
              <w:t>domén RIS3</w:t>
            </w:r>
            <w:r w:rsidRPr="00F50271">
              <w:rPr>
                <w:rFonts w:ascii="Arial Narrow" w:eastAsia="Times New Roman" w:hAnsi="Arial Narrow" w:cs="Arial"/>
                <w:i/>
                <w:lang w:eastAsia="sk-SK"/>
              </w:rPr>
              <w:t>.</w:t>
            </w:r>
          </w:p>
        </w:tc>
      </w:tr>
      <w:tr w:rsidR="002462D4" w:rsidRPr="00F23A87" w14:paraId="16266B8E" w14:textId="77777777" w:rsidTr="00EE694F">
        <w:trPr>
          <w:trHeight w:val="2076"/>
        </w:trPr>
        <w:tc>
          <w:tcPr>
            <w:tcW w:w="142" w:type="pct"/>
            <w:vMerge/>
          </w:tcPr>
          <w:p w14:paraId="416FD6D6" w14:textId="77777777" w:rsidR="002462D4" w:rsidRPr="00F50271" w:rsidRDefault="002462D4" w:rsidP="008B4936">
            <w:pPr>
              <w:spacing w:after="0" w:line="240" w:lineRule="auto"/>
              <w:rPr>
                <w:rFonts w:ascii="Arial Narrow" w:eastAsia="Times New Roman" w:hAnsi="Arial Narrow" w:cs="Arial"/>
                <w:lang w:eastAsia="sk-SK"/>
              </w:rPr>
            </w:pPr>
          </w:p>
        </w:tc>
        <w:tc>
          <w:tcPr>
            <w:tcW w:w="736" w:type="pct"/>
            <w:vMerge/>
          </w:tcPr>
          <w:p w14:paraId="7A91B052" w14:textId="77777777" w:rsidR="002462D4" w:rsidRPr="00F50271" w:rsidRDefault="002462D4" w:rsidP="008B4936">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42263F29" w14:textId="77777777" w:rsidR="002462D4" w:rsidRPr="00F50271" w:rsidRDefault="002462D4" w:rsidP="008B4936">
            <w:pPr>
              <w:spacing w:after="0" w:line="240" w:lineRule="auto"/>
              <w:rPr>
                <w:rFonts w:ascii="Arial Narrow" w:eastAsia="Times New Roman" w:hAnsi="Arial Narrow" w:cs="Arial"/>
                <w:lang w:eastAsia="sk-SK"/>
              </w:rPr>
            </w:pPr>
          </w:p>
        </w:tc>
        <w:tc>
          <w:tcPr>
            <w:tcW w:w="364" w:type="pct"/>
            <w:shd w:val="clear" w:color="auto" w:fill="auto"/>
            <w:vAlign w:val="center"/>
          </w:tcPr>
          <w:p w14:paraId="5051EE05" w14:textId="77777777" w:rsidR="002462D4" w:rsidRPr="00F50271" w:rsidRDefault="002462D4" w:rsidP="008B493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nie</w:t>
            </w:r>
          </w:p>
        </w:tc>
        <w:tc>
          <w:tcPr>
            <w:tcW w:w="1312" w:type="pct"/>
            <w:shd w:val="clear" w:color="auto" w:fill="auto"/>
            <w:vAlign w:val="center"/>
          </w:tcPr>
          <w:p w14:paraId="722525C2" w14:textId="541F29D4" w:rsidR="002462D4" w:rsidRPr="00F50271" w:rsidRDefault="002462D4" w:rsidP="004C15E4">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Projekt nie je v súlade </w:t>
            </w:r>
            <w:r w:rsidR="004C15E4" w:rsidRPr="00F50271">
              <w:rPr>
                <w:rFonts w:ascii="Arial Narrow" w:eastAsia="Times New Roman" w:hAnsi="Arial Narrow" w:cs="Arial"/>
                <w:lang w:eastAsia="sk-SK"/>
              </w:rPr>
              <w:t>s</w:t>
            </w:r>
            <w:r w:rsidR="004C15E4">
              <w:rPr>
                <w:rFonts w:ascii="Arial Narrow" w:eastAsia="Times New Roman" w:hAnsi="Arial Narrow" w:cs="Arial"/>
                <w:lang w:eastAsia="sk-SK"/>
              </w:rPr>
              <w:t> niektorou z</w:t>
            </w:r>
            <w:r w:rsidR="004566D9">
              <w:rPr>
                <w:rFonts w:ascii="Arial Narrow" w:eastAsia="Times New Roman" w:hAnsi="Arial Narrow" w:cs="Arial"/>
                <w:lang w:eastAsia="sk-SK"/>
              </w:rPr>
              <w:t xml:space="preserve"> vybraných </w:t>
            </w:r>
            <w:r w:rsidR="004C15E4">
              <w:rPr>
                <w:rFonts w:ascii="Arial Narrow" w:eastAsia="Times New Roman" w:hAnsi="Arial Narrow" w:cs="Arial"/>
                <w:lang w:eastAsia="sk-SK"/>
              </w:rPr>
              <w:t>domén RIS3.</w:t>
            </w:r>
          </w:p>
        </w:tc>
      </w:tr>
    </w:tbl>
    <w:p w14:paraId="12310F6E" w14:textId="4A948DE5" w:rsidR="004C15E4" w:rsidRDefault="004C15E4" w:rsidP="004C15E4">
      <w:pPr>
        <w:spacing w:before="240" w:after="240" w:line="288" w:lineRule="auto"/>
        <w:jc w:val="both"/>
        <w:rPr>
          <w:rFonts w:ascii="Arial Narrow" w:eastAsia="Helvetica" w:hAnsi="Arial Narrow" w:cs="Arial"/>
          <w:color w:val="000000" w:themeColor="text1"/>
        </w:rPr>
      </w:pPr>
      <w:r>
        <w:rPr>
          <w:rFonts w:ascii="Arial Narrow" w:hAnsi="Arial Narrow" w:cs="Arial"/>
          <w:color w:val="000000" w:themeColor="text1"/>
        </w:rPr>
        <w:t>Hodnotiteľ posudzuje, či obsahom projektu/ŽoNFP je príspevok k niektorej z</w:t>
      </w:r>
      <w:r w:rsidR="004566D9">
        <w:rPr>
          <w:rFonts w:ascii="Arial Narrow" w:hAnsi="Arial Narrow" w:cs="Arial"/>
          <w:color w:val="000000" w:themeColor="text1"/>
        </w:rPr>
        <w:t xml:space="preserve"> vybraných</w:t>
      </w:r>
      <w:r>
        <w:rPr>
          <w:rFonts w:ascii="Arial Narrow" w:hAnsi="Arial Narrow" w:cs="Arial"/>
          <w:color w:val="000000" w:themeColor="text1"/>
        </w:rPr>
        <w:t xml:space="preserve"> domén RIS3. </w:t>
      </w:r>
      <w:r w:rsidRPr="00691593">
        <w:rPr>
          <w:rFonts w:ascii="Arial Narrow" w:hAnsi="Arial Narrow" w:cs="Arial"/>
          <w:color w:val="000000" w:themeColor="text1"/>
        </w:rPr>
        <w:t>V prípade, že projekt/ŽoNFP</w:t>
      </w:r>
      <w:r>
        <w:rPr>
          <w:rFonts w:ascii="Arial Narrow" w:hAnsi="Arial Narrow" w:cs="Arial"/>
          <w:color w:val="000000" w:themeColor="text1"/>
        </w:rPr>
        <w:t xml:space="preserve"> </w:t>
      </w:r>
      <w:r w:rsidRPr="00691593">
        <w:rPr>
          <w:rFonts w:ascii="Arial Narrow" w:hAnsi="Arial Narrow" w:cs="Arial"/>
          <w:color w:val="000000" w:themeColor="text1"/>
        </w:rPr>
        <w:t>prispieva k niektor</w:t>
      </w:r>
      <w:r>
        <w:rPr>
          <w:rFonts w:ascii="Arial Narrow" w:hAnsi="Arial Narrow" w:cs="Arial"/>
          <w:color w:val="000000" w:themeColor="text1"/>
        </w:rPr>
        <w:t>ej</w:t>
      </w:r>
      <w:r>
        <w:rPr>
          <w:rFonts w:ascii="Arial Narrow" w:hAnsi="Arial Narrow" w:cs="Arial"/>
          <w:b/>
          <w:color w:val="000000" w:themeColor="text1"/>
        </w:rPr>
        <w:t xml:space="preserve"> </w:t>
      </w:r>
      <w:r>
        <w:rPr>
          <w:rFonts w:ascii="Arial Narrow" w:hAnsi="Arial Narrow" w:cs="Arial"/>
          <w:color w:val="000000" w:themeColor="text1"/>
        </w:rPr>
        <w:t>z</w:t>
      </w:r>
      <w:r w:rsidR="004566D9">
        <w:rPr>
          <w:rFonts w:ascii="Arial Narrow" w:hAnsi="Arial Narrow" w:cs="Arial"/>
          <w:color w:val="000000" w:themeColor="text1"/>
        </w:rPr>
        <w:t xml:space="preserve"> vybraných </w:t>
      </w:r>
      <w:r>
        <w:rPr>
          <w:rFonts w:ascii="Arial Narrow" w:hAnsi="Arial Narrow" w:cs="Arial"/>
          <w:color w:val="000000" w:themeColor="text1"/>
        </w:rPr>
        <w:t>domén RIS3</w:t>
      </w:r>
      <w:r w:rsidRPr="00F50271">
        <w:rPr>
          <w:rFonts w:ascii="Arial Narrow" w:eastAsia="Helvetica" w:hAnsi="Arial Narrow" w:cs="Arial"/>
          <w:b/>
          <w:color w:val="000000" w:themeColor="text1"/>
        </w:rPr>
        <w:t xml:space="preserve">, hodnotiteľ priradí odpoveď </w:t>
      </w:r>
      <w:r>
        <w:rPr>
          <w:rFonts w:ascii="Arial Narrow" w:eastAsia="Helvetica" w:hAnsi="Arial Narrow" w:cs="Arial"/>
          <w:b/>
          <w:color w:val="000000" w:themeColor="text1"/>
        </w:rPr>
        <w:t>„</w:t>
      </w:r>
      <w:r w:rsidRPr="00F50271">
        <w:rPr>
          <w:rFonts w:ascii="Arial Narrow" w:eastAsia="Helvetica" w:hAnsi="Arial Narrow" w:cs="Arial"/>
          <w:b/>
          <w:color w:val="000000" w:themeColor="text1"/>
        </w:rPr>
        <w:t>áno</w:t>
      </w:r>
      <w:r>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 prirad</w:t>
      </w:r>
      <w:r>
        <w:rPr>
          <w:rFonts w:ascii="Arial Narrow" w:eastAsia="Helvetica" w:hAnsi="Arial Narrow" w:cs="Arial"/>
          <w:b/>
          <w:color w:val="000000" w:themeColor="text1"/>
        </w:rPr>
        <w:t>í odpoveď „</w:t>
      </w:r>
      <w:r w:rsidRPr="00F50271">
        <w:rPr>
          <w:rFonts w:ascii="Arial Narrow" w:eastAsia="Helvetica" w:hAnsi="Arial Narrow" w:cs="Arial"/>
          <w:b/>
          <w:color w:val="000000" w:themeColor="text1"/>
        </w:rPr>
        <w:t>nie</w:t>
      </w:r>
      <w:r>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r>
        <w:rPr>
          <w:rFonts w:ascii="Arial Narrow" w:eastAsia="Helvetica" w:hAnsi="Arial Narrow" w:cs="Arial"/>
          <w:b/>
          <w:color w:val="000000" w:themeColor="text1"/>
        </w:rPr>
        <w:t xml:space="preserve"> </w:t>
      </w:r>
      <w:r w:rsidRPr="007731B9">
        <w:rPr>
          <w:rFonts w:ascii="Arial Narrow" w:eastAsia="Helvetica" w:hAnsi="Arial Narrow" w:cs="Arial"/>
          <w:b/>
          <w:color w:val="000000" w:themeColor="text1"/>
        </w:rPr>
        <w:t>Hodnotiteľ svoju odpoveď zdôvodní</w:t>
      </w:r>
      <w:r w:rsidRPr="00F50388">
        <w:rPr>
          <w:rFonts w:ascii="Arial Narrow" w:eastAsia="Helvetica" w:hAnsi="Arial Narrow" w:cs="Arial"/>
          <w:color w:val="000000" w:themeColor="text1"/>
        </w:rPr>
        <w:t xml:space="preserve"> v hodnotiacom hárku odborného hodnotenia v časti „Komentár“ 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2248"/>
        <w:gridCol w:w="7744"/>
        <w:gridCol w:w="1018"/>
        <w:gridCol w:w="3931"/>
      </w:tblGrid>
      <w:tr w:rsidR="002526E6" w:rsidRPr="00F23A87" w14:paraId="536C1AE6" w14:textId="77777777" w:rsidTr="002526E6">
        <w:trPr>
          <w:trHeight w:val="300"/>
        </w:trPr>
        <w:tc>
          <w:tcPr>
            <w:tcW w:w="5000" w:type="pct"/>
            <w:gridSpan w:val="5"/>
            <w:tcBorders>
              <w:top w:val="single" w:sz="4" w:space="0" w:color="auto"/>
            </w:tcBorders>
            <w:shd w:val="clear" w:color="auto" w:fill="5B9BD5" w:themeFill="accent1"/>
          </w:tcPr>
          <w:p w14:paraId="25875246" w14:textId="59958579" w:rsidR="002526E6" w:rsidRPr="00F50271" w:rsidRDefault="002526E6" w:rsidP="00504909">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526E6" w:rsidRPr="00F23A87" w14:paraId="4CB6B8AA" w14:textId="77777777" w:rsidTr="00D72856">
        <w:trPr>
          <w:trHeight w:val="300"/>
        </w:trPr>
        <w:tc>
          <w:tcPr>
            <w:tcW w:w="142" w:type="pct"/>
            <w:vMerge w:val="restart"/>
            <w:shd w:val="clear" w:color="auto" w:fill="DEEAF6" w:themeFill="accent1" w:themeFillTint="33"/>
            <w:vAlign w:val="center"/>
          </w:tcPr>
          <w:p w14:paraId="696C3742" w14:textId="6A09302B" w:rsidR="002526E6" w:rsidRPr="00F50271" w:rsidRDefault="004C15E4" w:rsidP="002526E6">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4</w:t>
            </w:r>
            <w:r w:rsidR="002526E6" w:rsidRPr="00F50271">
              <w:rPr>
                <w:rFonts w:ascii="Arial Narrow" w:eastAsia="Times New Roman" w:hAnsi="Arial Narrow" w:cs="Arial"/>
                <w:b/>
                <w:bCs/>
                <w:color w:val="000000"/>
                <w:lang w:eastAsia="sk-SK"/>
              </w:rPr>
              <w:t xml:space="preserve">. </w:t>
            </w:r>
          </w:p>
        </w:tc>
        <w:tc>
          <w:tcPr>
            <w:tcW w:w="731" w:type="pct"/>
            <w:vMerge w:val="restart"/>
            <w:shd w:val="clear" w:color="auto" w:fill="DEEAF6" w:themeFill="accent1" w:themeFillTint="33"/>
            <w:vAlign w:val="center"/>
          </w:tcPr>
          <w:p w14:paraId="2416F8F2" w14:textId="10580C5B" w:rsidR="002526E6" w:rsidRPr="00F50271" w:rsidRDefault="002526E6" w:rsidP="002526E6">
            <w:pPr>
              <w:spacing w:after="0" w:line="240" w:lineRule="auto"/>
              <w:ind w:left="135" w:right="135"/>
              <w:textAlignment w:val="baseline"/>
              <w:rPr>
                <w:rFonts w:ascii="Arial Narrow" w:eastAsia="Times New Roman" w:hAnsi="Arial Narrow" w:cs="Arial"/>
                <w:b/>
                <w:bCs/>
                <w:color w:val="000000"/>
                <w:lang w:eastAsia="sk-SK"/>
              </w:rPr>
            </w:pPr>
            <w:r w:rsidRPr="00504909">
              <w:rPr>
                <w:rFonts w:ascii="Arial Narrow" w:eastAsia="Times New Roman" w:hAnsi="Arial Narrow" w:cs="Arial"/>
                <w:b/>
                <w:bCs/>
                <w:color w:val="000000"/>
                <w:lang w:eastAsia="sk-SK"/>
              </w:rPr>
              <w:t>Vhodnosť navrhovaných aktivít z vecného a časového hľadiska</w:t>
            </w:r>
          </w:p>
        </w:tc>
        <w:tc>
          <w:tcPr>
            <w:tcW w:w="2518" w:type="pct"/>
            <w:shd w:val="clear" w:color="auto" w:fill="DEEAF6" w:themeFill="accent1" w:themeFillTint="33"/>
            <w:vAlign w:val="center"/>
            <w:hideMark/>
          </w:tcPr>
          <w:p w14:paraId="7550D0BA" w14:textId="4E40B971" w:rsidR="002526E6" w:rsidRPr="00F50271" w:rsidRDefault="002526E6" w:rsidP="002526E6">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31" w:type="pct"/>
            <w:shd w:val="clear" w:color="auto" w:fill="DEEAF6" w:themeFill="accent1" w:themeFillTint="33"/>
            <w:vAlign w:val="center"/>
            <w:hideMark/>
          </w:tcPr>
          <w:p w14:paraId="38647458" w14:textId="77777777" w:rsidR="002526E6" w:rsidRPr="00F50271" w:rsidRDefault="002526E6" w:rsidP="002526E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8" w:type="pct"/>
            <w:shd w:val="clear" w:color="auto" w:fill="DEEAF6" w:themeFill="accent1" w:themeFillTint="33"/>
            <w:vAlign w:val="center"/>
            <w:hideMark/>
          </w:tcPr>
          <w:p w14:paraId="00D028B8" w14:textId="77777777" w:rsidR="002526E6" w:rsidRPr="00F50271" w:rsidRDefault="002526E6" w:rsidP="002526E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5A6AB072" w14:textId="77777777" w:rsidTr="00D72856">
        <w:trPr>
          <w:trHeight w:val="545"/>
        </w:trPr>
        <w:tc>
          <w:tcPr>
            <w:tcW w:w="142" w:type="pct"/>
            <w:vMerge/>
          </w:tcPr>
          <w:p w14:paraId="488A7853" w14:textId="77777777" w:rsidR="002526E6" w:rsidRPr="00504909" w:rsidRDefault="002526E6" w:rsidP="002526E6">
            <w:pPr>
              <w:spacing w:after="0" w:line="240" w:lineRule="auto"/>
              <w:ind w:left="15"/>
              <w:jc w:val="both"/>
              <w:textAlignment w:val="baseline"/>
              <w:rPr>
                <w:rFonts w:ascii="Arial Narrow" w:eastAsia="Times New Roman" w:hAnsi="Arial Narrow" w:cs="Arial"/>
                <w:lang w:eastAsia="sk-SK"/>
              </w:rPr>
            </w:pPr>
          </w:p>
        </w:tc>
        <w:tc>
          <w:tcPr>
            <w:tcW w:w="731" w:type="pct"/>
            <w:vMerge/>
          </w:tcPr>
          <w:p w14:paraId="1847EC1C" w14:textId="7CEA6DFD" w:rsidR="002526E6" w:rsidRPr="00504909" w:rsidRDefault="002526E6" w:rsidP="002526E6">
            <w:pPr>
              <w:spacing w:after="0" w:line="240" w:lineRule="auto"/>
              <w:ind w:left="15"/>
              <w:jc w:val="both"/>
              <w:textAlignment w:val="baseline"/>
              <w:rPr>
                <w:rFonts w:ascii="Arial Narrow" w:eastAsia="Times New Roman" w:hAnsi="Arial Narrow" w:cs="Arial"/>
                <w:lang w:eastAsia="sk-SK"/>
              </w:rPr>
            </w:pPr>
          </w:p>
        </w:tc>
        <w:tc>
          <w:tcPr>
            <w:tcW w:w="2518" w:type="pct"/>
            <w:vMerge w:val="restart"/>
            <w:shd w:val="clear" w:color="auto" w:fill="auto"/>
            <w:vAlign w:val="center"/>
          </w:tcPr>
          <w:p w14:paraId="3D9D9912" w14:textId="2DB1CCF0" w:rsidR="002526E6" w:rsidRPr="00F50271" w:rsidRDefault="002526E6" w:rsidP="0059503F">
            <w:pPr>
              <w:spacing w:after="0" w:line="240" w:lineRule="auto"/>
              <w:ind w:left="15"/>
              <w:jc w:val="both"/>
              <w:textAlignment w:val="baseline"/>
              <w:rPr>
                <w:rFonts w:ascii="Arial Narrow" w:eastAsia="Times New Roman" w:hAnsi="Arial Narrow" w:cs="Arial"/>
                <w:lang w:eastAsia="sk-SK"/>
              </w:rPr>
            </w:pPr>
            <w:r w:rsidRPr="00504909">
              <w:rPr>
                <w:rFonts w:ascii="Arial Narrow" w:eastAsia="Times New Roman" w:hAnsi="Arial Narrow" w:cs="Arial"/>
                <w:lang w:eastAsia="sk-SK"/>
              </w:rPr>
              <w:t>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w:t>
            </w:r>
            <w:r w:rsidR="004566D9">
              <w:rPr>
                <w:rFonts w:ascii="Arial Narrow" w:eastAsia="Times New Roman" w:hAnsi="Arial Narrow" w:cs="Arial"/>
                <w:lang w:eastAsia="sk-SK"/>
              </w:rPr>
              <w:t xml:space="preserve"> vrátane</w:t>
            </w:r>
            <w:r w:rsidR="003509D1" w:rsidRPr="00184F74">
              <w:rPr>
                <w:rFonts w:ascii="Arial Narrow" w:eastAsia="Times New Roman" w:hAnsi="Arial Narrow" w:cs="Arial"/>
                <w:lang w:eastAsia="sk-SK"/>
              </w:rPr>
              <w:t xml:space="preserve"> </w:t>
            </w:r>
            <w:r w:rsidR="003509D1">
              <w:rPr>
                <w:rFonts w:ascii="Arial Narrow" w:eastAsia="Times New Roman" w:hAnsi="Arial Narrow" w:cs="Arial"/>
                <w:lang w:eastAsia="sk-SK"/>
              </w:rPr>
              <w:t xml:space="preserve">reálnosti a primeranosti nastavenia hodnôt </w:t>
            </w:r>
            <w:r w:rsidR="003509D1" w:rsidRPr="00184F74">
              <w:rPr>
                <w:rFonts w:ascii="Arial Narrow" w:eastAsia="Times New Roman" w:hAnsi="Arial Narrow" w:cs="Arial"/>
                <w:lang w:eastAsia="sk-SK"/>
              </w:rPr>
              <w:t xml:space="preserve">merateľných ukazovateľov </w:t>
            </w:r>
            <w:r w:rsidR="003509D1">
              <w:rPr>
                <w:rFonts w:ascii="Arial Narrow" w:eastAsia="Times New Roman" w:hAnsi="Arial Narrow" w:cs="Arial"/>
                <w:lang w:eastAsia="sk-SK"/>
              </w:rPr>
              <w:t xml:space="preserve">voči </w:t>
            </w:r>
            <w:r w:rsidR="003509D1" w:rsidRPr="00184F74">
              <w:rPr>
                <w:rFonts w:ascii="Arial Narrow" w:eastAsia="Times New Roman" w:hAnsi="Arial Narrow" w:cs="Arial"/>
                <w:lang w:eastAsia="sk-SK"/>
              </w:rPr>
              <w:t>výšk</w:t>
            </w:r>
            <w:r w:rsidR="003509D1">
              <w:rPr>
                <w:rFonts w:ascii="Arial Narrow" w:eastAsia="Times New Roman" w:hAnsi="Arial Narrow" w:cs="Arial"/>
                <w:lang w:eastAsia="sk-SK"/>
              </w:rPr>
              <w:t>e</w:t>
            </w:r>
            <w:r w:rsidR="003509D1" w:rsidRPr="00184F74">
              <w:rPr>
                <w:rFonts w:ascii="Arial Narrow" w:eastAsia="Times New Roman" w:hAnsi="Arial Narrow" w:cs="Arial"/>
                <w:lang w:eastAsia="sk-SK"/>
              </w:rPr>
              <w:t xml:space="preserve"> žiadaného NFP</w:t>
            </w:r>
            <w:r w:rsidR="003509D1">
              <w:rPr>
                <w:rFonts w:ascii="Arial Narrow" w:eastAsia="Times New Roman" w:hAnsi="Arial Narrow" w:cs="Arial"/>
                <w:lang w:eastAsia="sk-SK"/>
              </w:rPr>
              <w:t xml:space="preserve"> a rozsahu </w:t>
            </w:r>
            <w:r w:rsidR="0059503F">
              <w:rPr>
                <w:rFonts w:ascii="Arial Narrow" w:eastAsia="Times New Roman" w:hAnsi="Arial Narrow" w:cs="Arial"/>
                <w:lang w:eastAsia="sk-SK"/>
              </w:rPr>
              <w:t>aktivít projektu</w:t>
            </w:r>
            <w:r w:rsidR="003509D1">
              <w:rPr>
                <w:rFonts w:ascii="Arial Narrow" w:eastAsia="Times New Roman" w:hAnsi="Arial Narrow" w:cs="Arial"/>
                <w:lang w:eastAsia="sk-SK"/>
              </w:rPr>
              <w:t>.</w:t>
            </w:r>
          </w:p>
        </w:tc>
        <w:tc>
          <w:tcPr>
            <w:tcW w:w="331" w:type="pct"/>
            <w:shd w:val="clear" w:color="auto" w:fill="auto"/>
            <w:vAlign w:val="center"/>
          </w:tcPr>
          <w:p w14:paraId="62062E1D" w14:textId="77777777" w:rsidR="002526E6" w:rsidRPr="00F50271" w:rsidRDefault="002526E6" w:rsidP="002526E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áno</w:t>
            </w:r>
          </w:p>
        </w:tc>
        <w:tc>
          <w:tcPr>
            <w:tcW w:w="1278" w:type="pct"/>
            <w:shd w:val="clear" w:color="auto" w:fill="auto"/>
            <w:vAlign w:val="center"/>
          </w:tcPr>
          <w:p w14:paraId="222401ED" w14:textId="190FE04B" w:rsidR="002526E6" w:rsidRPr="00504909" w:rsidRDefault="002526E6" w:rsidP="0059503F">
            <w:pPr>
              <w:spacing w:after="0" w:line="240" w:lineRule="auto"/>
              <w:jc w:val="both"/>
              <w:textAlignment w:val="baseline"/>
              <w:rPr>
                <w:rFonts w:ascii="Arial Narrow" w:eastAsia="Times New Roman" w:hAnsi="Arial Narrow" w:cs="Arial"/>
                <w:i/>
                <w:lang w:eastAsia="sk-SK"/>
              </w:rPr>
            </w:pPr>
            <w:r w:rsidRPr="00504909">
              <w:rPr>
                <w:rFonts w:ascii="Arial Narrow" w:eastAsia="Helvetica" w:hAnsi="Arial Narrow" w:cs="Arial"/>
                <w:color w:val="000000" w:themeColor="text1"/>
              </w:rPr>
              <w:t>Navrhovaný spôsob realizácie aktivít umožňuje dosiahnutie výstupov projektu v navrhovanom rozsahu, aktivity projektu majú logickú vzájomnú súvislosť, časové lehoty realizácie aktivít sú reálne a sú v súlade so súvisiacou dokumentáciou</w:t>
            </w:r>
            <w:r w:rsidR="0059503F">
              <w:rPr>
                <w:rFonts w:ascii="Arial Narrow" w:eastAsia="Helvetica" w:hAnsi="Arial Narrow" w:cs="Arial"/>
                <w:color w:val="000000" w:themeColor="text1"/>
              </w:rPr>
              <w:t>, hodnoty merateľných ukazovatele sú reálne a primerané voči výške žiadaného NFP a rozsahu aktivít.</w:t>
            </w:r>
          </w:p>
        </w:tc>
      </w:tr>
      <w:tr w:rsidR="002526E6" w:rsidRPr="00F23A87" w14:paraId="18B7B4FB" w14:textId="77777777" w:rsidTr="00D72856">
        <w:trPr>
          <w:trHeight w:val="555"/>
        </w:trPr>
        <w:tc>
          <w:tcPr>
            <w:tcW w:w="142" w:type="pct"/>
            <w:vMerge/>
          </w:tcPr>
          <w:p w14:paraId="7E7F83A6" w14:textId="77777777" w:rsidR="002526E6" w:rsidRPr="00F50271" w:rsidRDefault="002526E6" w:rsidP="002526E6">
            <w:pPr>
              <w:spacing w:after="0" w:line="240" w:lineRule="auto"/>
              <w:rPr>
                <w:rFonts w:ascii="Arial Narrow" w:eastAsia="Times New Roman" w:hAnsi="Arial Narrow" w:cs="Arial"/>
                <w:lang w:eastAsia="sk-SK"/>
              </w:rPr>
            </w:pPr>
          </w:p>
        </w:tc>
        <w:tc>
          <w:tcPr>
            <w:tcW w:w="731" w:type="pct"/>
            <w:vMerge/>
          </w:tcPr>
          <w:p w14:paraId="3048CB7C" w14:textId="60322342" w:rsidR="002526E6" w:rsidRPr="00F50271" w:rsidRDefault="002526E6" w:rsidP="002526E6">
            <w:pPr>
              <w:spacing w:after="0" w:line="240" w:lineRule="auto"/>
              <w:rPr>
                <w:rFonts w:ascii="Arial Narrow" w:eastAsia="Times New Roman" w:hAnsi="Arial Narrow" w:cs="Arial"/>
                <w:lang w:eastAsia="sk-SK"/>
              </w:rPr>
            </w:pPr>
          </w:p>
        </w:tc>
        <w:tc>
          <w:tcPr>
            <w:tcW w:w="2518" w:type="pct"/>
            <w:vMerge/>
            <w:shd w:val="clear" w:color="auto" w:fill="auto"/>
            <w:vAlign w:val="center"/>
          </w:tcPr>
          <w:p w14:paraId="49FFECF7" w14:textId="1A39A3AC" w:rsidR="002526E6" w:rsidRPr="00F50271" w:rsidRDefault="002526E6" w:rsidP="002526E6">
            <w:pPr>
              <w:spacing w:after="0" w:line="240" w:lineRule="auto"/>
              <w:rPr>
                <w:rFonts w:ascii="Arial Narrow" w:eastAsia="Times New Roman" w:hAnsi="Arial Narrow" w:cs="Arial"/>
                <w:lang w:eastAsia="sk-SK"/>
              </w:rPr>
            </w:pPr>
          </w:p>
        </w:tc>
        <w:tc>
          <w:tcPr>
            <w:tcW w:w="331" w:type="pct"/>
            <w:shd w:val="clear" w:color="auto" w:fill="auto"/>
            <w:vAlign w:val="center"/>
          </w:tcPr>
          <w:p w14:paraId="7A329A9E" w14:textId="77777777" w:rsidR="002526E6" w:rsidRPr="00F50271" w:rsidRDefault="002526E6" w:rsidP="002526E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nie</w:t>
            </w:r>
          </w:p>
        </w:tc>
        <w:tc>
          <w:tcPr>
            <w:tcW w:w="1278" w:type="pct"/>
            <w:shd w:val="clear" w:color="auto" w:fill="auto"/>
            <w:vAlign w:val="center"/>
          </w:tcPr>
          <w:p w14:paraId="7B08703C" w14:textId="77777777" w:rsidR="0059503F" w:rsidRDefault="002526E6" w:rsidP="0059503F">
            <w:pPr>
              <w:spacing w:after="0" w:line="240" w:lineRule="auto"/>
              <w:jc w:val="both"/>
              <w:textAlignment w:val="baseline"/>
              <w:rPr>
                <w:rFonts w:ascii="Arial Narrow" w:eastAsia="Times New Roman" w:hAnsi="Arial Narrow" w:cs="Arial"/>
                <w:lang w:eastAsia="sk-SK"/>
              </w:rPr>
            </w:pPr>
            <w:r w:rsidRPr="00264DCC">
              <w:rPr>
                <w:rFonts w:ascii="Arial Narrow" w:eastAsia="Times New Roman" w:hAnsi="Arial Narrow" w:cs="Arial"/>
                <w:lang w:eastAsia="sk-SK"/>
              </w:rPr>
              <w:t xml:space="preserve">Navrhovaný spôsob realizácie aktivít vykazuje </w:t>
            </w:r>
            <w:r w:rsidRPr="00EE694F">
              <w:rPr>
                <w:rFonts w:ascii="Arial Narrow" w:eastAsia="Times New Roman" w:hAnsi="Arial Narrow" w:cs="Arial"/>
                <w:b/>
                <w:lang w:eastAsia="sk-SK"/>
              </w:rPr>
              <w:t>viaceré z nasledovných nedostatkov</w:t>
            </w:r>
            <w:r w:rsidR="0059503F">
              <w:rPr>
                <w:rFonts w:ascii="Arial Narrow" w:eastAsia="Times New Roman" w:hAnsi="Arial Narrow" w:cs="Arial"/>
                <w:lang w:eastAsia="sk-SK"/>
              </w:rPr>
              <w:t>, ktoré môžu mať vplyv na dodržanie žiadateľom stanovenej dĺžky realizácie projektu/ohrozenie dosiahnutia cieľa a výsledkov projektu</w:t>
            </w:r>
            <w:r w:rsidRPr="00264DCC">
              <w:rPr>
                <w:rFonts w:ascii="Arial Narrow" w:eastAsia="Times New Roman" w:hAnsi="Arial Narrow" w:cs="Arial"/>
                <w:lang w:eastAsia="sk-SK"/>
              </w:rPr>
              <w:t xml:space="preserve">: </w:t>
            </w:r>
          </w:p>
          <w:p w14:paraId="799D7EAB" w14:textId="77777777" w:rsidR="0059503F" w:rsidRPr="00EE694F" w:rsidRDefault="002526E6" w:rsidP="00EE694F">
            <w:pPr>
              <w:pStyle w:val="Odsekzoznamu"/>
              <w:numPr>
                <w:ilvl w:val="0"/>
                <w:numId w:val="47"/>
              </w:numPr>
              <w:spacing w:after="0" w:line="240" w:lineRule="auto"/>
              <w:jc w:val="both"/>
              <w:textAlignment w:val="baseline"/>
              <w:rPr>
                <w:rFonts w:ascii="Arial Narrow" w:eastAsia="Times New Roman" w:hAnsi="Arial Narrow" w:cs="Arial"/>
                <w:lang w:eastAsia="sk-SK"/>
              </w:rPr>
            </w:pPr>
            <w:r w:rsidRPr="00EE694F">
              <w:rPr>
                <w:rFonts w:ascii="Arial Narrow" w:eastAsia="Times New Roman" w:hAnsi="Arial Narrow" w:cs="Arial"/>
                <w:lang w:val="sk-SK" w:eastAsia="sk-SK"/>
              </w:rPr>
              <w:t xml:space="preserve">neumožňuje dosiahnutie výstupov projektu v navrhovanom rozsahu, </w:t>
            </w:r>
          </w:p>
          <w:p w14:paraId="56CED654" w14:textId="77777777" w:rsidR="0059503F" w:rsidRPr="00EE694F" w:rsidRDefault="002526E6" w:rsidP="00EE694F">
            <w:pPr>
              <w:pStyle w:val="Odsekzoznamu"/>
              <w:numPr>
                <w:ilvl w:val="0"/>
                <w:numId w:val="47"/>
              </w:numPr>
              <w:spacing w:after="0" w:line="240" w:lineRule="auto"/>
              <w:jc w:val="both"/>
              <w:textAlignment w:val="baseline"/>
              <w:rPr>
                <w:rFonts w:ascii="Arial Narrow" w:eastAsia="Times New Roman" w:hAnsi="Arial Narrow" w:cs="Arial"/>
                <w:lang w:eastAsia="sk-SK"/>
              </w:rPr>
            </w:pPr>
            <w:r w:rsidRPr="00EE694F">
              <w:rPr>
                <w:rFonts w:ascii="Arial Narrow" w:eastAsia="Times New Roman" w:hAnsi="Arial Narrow" w:cs="Arial"/>
                <w:lang w:val="sk-SK" w:eastAsia="sk-SK"/>
              </w:rPr>
              <w:t xml:space="preserve">aktivity projektu nie sú v plnej miere logicky previazané, </w:t>
            </w:r>
          </w:p>
          <w:p w14:paraId="6C9561AA" w14:textId="77777777" w:rsidR="0059503F" w:rsidRPr="00EE694F" w:rsidRDefault="002526E6" w:rsidP="00EE694F">
            <w:pPr>
              <w:pStyle w:val="Odsekzoznamu"/>
              <w:numPr>
                <w:ilvl w:val="0"/>
                <w:numId w:val="47"/>
              </w:numPr>
              <w:spacing w:after="0" w:line="240" w:lineRule="auto"/>
              <w:jc w:val="both"/>
              <w:textAlignment w:val="baseline"/>
              <w:rPr>
                <w:rFonts w:ascii="Arial Narrow" w:eastAsia="Times New Roman" w:hAnsi="Arial Narrow" w:cs="Arial"/>
                <w:lang w:eastAsia="sk-SK"/>
              </w:rPr>
            </w:pPr>
            <w:r w:rsidRPr="00EE694F">
              <w:rPr>
                <w:rFonts w:ascii="Arial Narrow" w:eastAsia="Times New Roman" w:hAnsi="Arial Narrow" w:cs="Arial"/>
                <w:lang w:val="sk-SK" w:eastAsia="sk-SK"/>
              </w:rPr>
              <w:t xml:space="preserve">časové lehoty realizácie aktivít nie sú reálne, nie sú chronologicky usporiadané, </w:t>
            </w:r>
          </w:p>
          <w:p w14:paraId="0CB8618C" w14:textId="77777777" w:rsidR="0059503F" w:rsidRPr="00EE694F" w:rsidRDefault="002526E6" w:rsidP="00EE694F">
            <w:pPr>
              <w:pStyle w:val="Odsekzoznamu"/>
              <w:numPr>
                <w:ilvl w:val="0"/>
                <w:numId w:val="47"/>
              </w:numPr>
              <w:spacing w:after="0" w:line="240" w:lineRule="auto"/>
              <w:jc w:val="both"/>
              <w:textAlignment w:val="baseline"/>
              <w:rPr>
                <w:rFonts w:ascii="Arial Narrow" w:eastAsia="Times New Roman" w:hAnsi="Arial Narrow" w:cs="Arial"/>
                <w:lang w:eastAsia="sk-SK"/>
              </w:rPr>
            </w:pPr>
            <w:r w:rsidRPr="00EE694F">
              <w:rPr>
                <w:rFonts w:ascii="Arial Narrow" w:eastAsia="Times New Roman" w:hAnsi="Arial Narrow" w:cs="Arial"/>
                <w:lang w:val="sk-SK" w:eastAsia="sk-SK"/>
              </w:rPr>
              <w:t>nie sú v súlade so súvisiacou dokumentáciou</w:t>
            </w:r>
            <w:r w:rsidR="0059503F" w:rsidRPr="00EE694F">
              <w:rPr>
                <w:rFonts w:ascii="Arial Narrow" w:eastAsia="Times New Roman" w:hAnsi="Arial Narrow" w:cs="Arial"/>
                <w:lang w:val="sk-SK" w:eastAsia="sk-SK"/>
              </w:rPr>
              <w:t>,</w:t>
            </w:r>
          </w:p>
          <w:p w14:paraId="026285E8" w14:textId="111C4D34" w:rsidR="002526E6" w:rsidRPr="00EE694F" w:rsidRDefault="0059503F" w:rsidP="00EE694F">
            <w:pPr>
              <w:pStyle w:val="Odsekzoznamu"/>
              <w:numPr>
                <w:ilvl w:val="0"/>
                <w:numId w:val="47"/>
              </w:numPr>
              <w:spacing w:after="0" w:line="240" w:lineRule="auto"/>
              <w:jc w:val="both"/>
              <w:textAlignment w:val="baseline"/>
              <w:rPr>
                <w:rFonts w:ascii="Arial Narrow" w:eastAsia="Times New Roman" w:hAnsi="Arial Narrow" w:cs="Arial"/>
                <w:lang w:eastAsia="sk-SK"/>
              </w:rPr>
            </w:pPr>
            <w:r w:rsidRPr="00EE694F">
              <w:rPr>
                <w:rFonts w:ascii="Arial Narrow" w:eastAsia="Times New Roman" w:hAnsi="Arial Narrow" w:cs="Arial"/>
                <w:lang w:val="sk-SK" w:eastAsia="sk-SK"/>
              </w:rPr>
              <w:t xml:space="preserve">hodnoty merateľných ukazovateľov nie sú </w:t>
            </w:r>
            <w:r w:rsidR="00EE694F">
              <w:rPr>
                <w:rFonts w:ascii="Arial Narrow" w:eastAsia="Times New Roman" w:hAnsi="Arial Narrow" w:cs="Arial"/>
                <w:lang w:val="sk-SK" w:eastAsia="sk-SK"/>
              </w:rPr>
              <w:t xml:space="preserve">vecne a časovo </w:t>
            </w:r>
            <w:r w:rsidRPr="00EE694F">
              <w:rPr>
                <w:rFonts w:ascii="Arial Narrow" w:eastAsia="Times New Roman" w:hAnsi="Arial Narrow" w:cs="Arial"/>
                <w:lang w:val="sk-SK" w:eastAsia="sk-SK"/>
              </w:rPr>
              <w:t>reálne a primerané voči výške žiadaného N</w:t>
            </w:r>
            <w:r>
              <w:rPr>
                <w:rFonts w:ascii="Arial Narrow" w:eastAsia="Times New Roman" w:hAnsi="Arial Narrow" w:cs="Arial"/>
                <w:lang w:val="sk-SK" w:eastAsia="sk-SK"/>
              </w:rPr>
              <w:t>F</w:t>
            </w:r>
            <w:r w:rsidRPr="00EE694F">
              <w:rPr>
                <w:rFonts w:ascii="Arial Narrow" w:eastAsia="Times New Roman" w:hAnsi="Arial Narrow" w:cs="Arial"/>
                <w:lang w:val="sk-SK" w:eastAsia="sk-SK"/>
              </w:rPr>
              <w:t>P a rozsahu aktivít</w:t>
            </w:r>
            <w:r>
              <w:rPr>
                <w:rFonts w:ascii="Arial Narrow" w:eastAsia="Times New Roman" w:hAnsi="Arial Narrow" w:cs="Arial"/>
                <w:lang w:eastAsia="sk-SK"/>
              </w:rPr>
              <w:t>.</w:t>
            </w:r>
          </w:p>
        </w:tc>
      </w:tr>
    </w:tbl>
    <w:p w14:paraId="4CD5EA86" w14:textId="77777777" w:rsidR="00184F74" w:rsidRDefault="00184F74" w:rsidP="00184F74">
      <w:pPr>
        <w:spacing w:after="0"/>
        <w:jc w:val="both"/>
        <w:rPr>
          <w:rFonts w:ascii="Arial Narrow" w:eastAsiaTheme="majorEastAsia" w:hAnsi="Arial Narrow" w:cs="Arial"/>
          <w:color w:val="000000" w:themeColor="text1"/>
          <w:lang w:bidi="en-US"/>
        </w:rPr>
      </w:pPr>
    </w:p>
    <w:p w14:paraId="3B8A587C" w14:textId="05CA80F6" w:rsidR="00390BEE" w:rsidRPr="00264DCC" w:rsidRDefault="00390BEE" w:rsidP="00802B73">
      <w:pPr>
        <w:jc w:val="both"/>
        <w:rPr>
          <w:rFonts w:ascii="Arial Narrow" w:eastAsiaTheme="majorEastAsia" w:hAnsi="Arial Narrow" w:cs="Arial"/>
          <w:color w:val="000000" w:themeColor="text1"/>
          <w:lang w:bidi="en-US"/>
        </w:rPr>
      </w:pPr>
      <w:r w:rsidRPr="00264DCC">
        <w:rPr>
          <w:rFonts w:ascii="Arial Narrow" w:eastAsiaTheme="majorEastAsia" w:hAnsi="Arial Narrow" w:cs="Arial"/>
          <w:color w:val="000000" w:themeColor="text1"/>
          <w:lang w:bidi="en-US"/>
        </w:rPr>
        <w:t>Hodnotiteľ posudzuje informácie uvedené v častiach ŽoNFP: 7.2 Spôsob realizácie aktivít projektu, 9. Harmonogram realizácie aktivít</w:t>
      </w:r>
      <w:r w:rsidR="0012573E">
        <w:rPr>
          <w:rFonts w:ascii="Arial Narrow" w:eastAsiaTheme="majorEastAsia" w:hAnsi="Arial Narrow" w:cs="Arial"/>
          <w:color w:val="000000" w:themeColor="text1"/>
          <w:lang w:bidi="en-US"/>
        </w:rPr>
        <w:t xml:space="preserve">, </w:t>
      </w:r>
      <w:r w:rsidR="0012573E" w:rsidRPr="00F50271">
        <w:rPr>
          <w:rFonts w:ascii="Arial Narrow" w:hAnsi="Arial Narrow" w:cs="Arial"/>
          <w:color w:val="000000" w:themeColor="text1"/>
        </w:rPr>
        <w:t>10.1 Aktivity projektu a očakávané merateľné ukazovatele</w:t>
      </w:r>
      <w:r w:rsidR="0012573E">
        <w:rPr>
          <w:rFonts w:ascii="Arial Narrow" w:hAnsi="Arial Narrow" w:cs="Arial"/>
          <w:color w:val="000000" w:themeColor="text1"/>
        </w:rPr>
        <w:t>.</w:t>
      </w:r>
    </w:p>
    <w:p w14:paraId="4571659D" w14:textId="77777777" w:rsidR="00390BEE" w:rsidRPr="00264DCC" w:rsidRDefault="00390BEE" w:rsidP="00802B73">
      <w:pPr>
        <w:jc w:val="both"/>
        <w:rPr>
          <w:rFonts w:ascii="Arial Narrow" w:eastAsiaTheme="majorEastAsia" w:hAnsi="Arial Narrow" w:cs="Arial"/>
          <w:color w:val="000000" w:themeColor="text1"/>
          <w:lang w:bidi="en-US"/>
        </w:rPr>
      </w:pPr>
      <w:r w:rsidRPr="00264DCC">
        <w:rPr>
          <w:rFonts w:ascii="Arial Narrow" w:eastAsiaTheme="majorEastAsia" w:hAnsi="Arial Narrow" w:cs="Arial"/>
          <w:color w:val="000000" w:themeColor="text1"/>
          <w:lang w:bidi="en-US"/>
        </w:rPr>
        <w:t>Hodnotiteľ posudzuje najmä plnenie nasledovných oblastí:</w:t>
      </w:r>
    </w:p>
    <w:p w14:paraId="2A540656" w14:textId="77777777" w:rsidR="00390BEE" w:rsidRPr="00264DCC" w:rsidRDefault="00390BEE" w:rsidP="00802B73">
      <w:pPr>
        <w:numPr>
          <w:ilvl w:val="0"/>
          <w:numId w:val="35"/>
        </w:numPr>
        <w:spacing w:after="0"/>
        <w:jc w:val="both"/>
        <w:rPr>
          <w:rFonts w:ascii="Arial Narrow" w:eastAsiaTheme="majorEastAsia" w:hAnsi="Arial Narrow" w:cs="Arial"/>
          <w:color w:val="000000" w:themeColor="text1"/>
          <w:lang w:bidi="en-US"/>
        </w:rPr>
      </w:pPr>
      <w:r w:rsidRPr="00264DCC">
        <w:rPr>
          <w:rFonts w:ascii="Arial Narrow" w:eastAsiaTheme="majorEastAsia" w:hAnsi="Arial Narrow" w:cs="Arial"/>
          <w:color w:val="000000" w:themeColor="text1"/>
          <w:lang w:bidi="en-US"/>
        </w:rPr>
        <w:t>jednotlivé aktivity, resp. čiastkové práce na projekte na seba vecne a logicky nadväzujú,</w:t>
      </w:r>
    </w:p>
    <w:p w14:paraId="02CD4297" w14:textId="64439DAE" w:rsidR="00390BEE" w:rsidRPr="0012573E" w:rsidRDefault="00390BEE">
      <w:pPr>
        <w:numPr>
          <w:ilvl w:val="0"/>
          <w:numId w:val="35"/>
        </w:numPr>
        <w:spacing w:after="0"/>
        <w:jc w:val="both"/>
        <w:rPr>
          <w:rFonts w:ascii="Arial Narrow" w:eastAsiaTheme="majorEastAsia" w:hAnsi="Arial Narrow" w:cs="Arial"/>
          <w:color w:val="000000" w:themeColor="text1"/>
          <w:lang w:bidi="en-US"/>
        </w:rPr>
      </w:pPr>
      <w:r w:rsidRPr="0012573E">
        <w:rPr>
          <w:rFonts w:ascii="Arial Narrow" w:eastAsiaTheme="majorEastAsia" w:hAnsi="Arial Narrow" w:cs="Arial"/>
          <w:color w:val="000000" w:themeColor="text1"/>
          <w:lang w:bidi="en-US"/>
        </w:rPr>
        <w:t>dĺžka trvania jednotlivých aktivít je realistická</w:t>
      </w:r>
      <w:r w:rsidR="0012573E">
        <w:rPr>
          <w:rFonts w:ascii="Arial Narrow" w:eastAsiaTheme="majorEastAsia" w:hAnsi="Arial Narrow" w:cs="Arial"/>
          <w:color w:val="000000" w:themeColor="text1"/>
          <w:lang w:bidi="en-US"/>
        </w:rPr>
        <w:t xml:space="preserve"> a umožňuje dosiahnutie výstupov projektu v navrhovanom rozsahu,</w:t>
      </w:r>
    </w:p>
    <w:p w14:paraId="46460162" w14:textId="11051A65" w:rsidR="00CA38A2" w:rsidRDefault="00390BEE" w:rsidP="00EE694F">
      <w:pPr>
        <w:numPr>
          <w:ilvl w:val="0"/>
          <w:numId w:val="35"/>
        </w:numPr>
        <w:spacing w:after="0"/>
        <w:ind w:left="924" w:hanging="357"/>
        <w:jc w:val="both"/>
        <w:rPr>
          <w:rFonts w:ascii="Arial Narrow" w:eastAsiaTheme="majorEastAsia" w:hAnsi="Arial Narrow" w:cs="Arial"/>
          <w:color w:val="000000" w:themeColor="text1"/>
          <w:lang w:bidi="en-US"/>
        </w:rPr>
      </w:pPr>
      <w:r w:rsidRPr="00264DCC">
        <w:rPr>
          <w:rFonts w:ascii="Arial Narrow" w:eastAsiaTheme="majorEastAsia" w:hAnsi="Arial Narrow" w:cs="Arial"/>
          <w:color w:val="000000" w:themeColor="text1"/>
          <w:lang w:bidi="en-US"/>
        </w:rPr>
        <w:t>časové obdobie realizácie projektu je v súlade s</w:t>
      </w:r>
      <w:r w:rsidR="0012573E">
        <w:rPr>
          <w:rFonts w:ascii="Arial Narrow" w:eastAsiaTheme="majorEastAsia" w:hAnsi="Arial Narrow" w:cs="Arial"/>
          <w:color w:val="000000" w:themeColor="text1"/>
          <w:lang w:bidi="en-US"/>
        </w:rPr>
        <w:t xml:space="preserve">o súvisiacou dokumentáciou, </w:t>
      </w:r>
      <w:r w:rsidRPr="00264DCC">
        <w:rPr>
          <w:rFonts w:ascii="Arial Narrow" w:eastAsiaTheme="majorEastAsia" w:hAnsi="Arial Narrow" w:cs="Arial"/>
          <w:color w:val="000000" w:themeColor="text1"/>
          <w:lang w:bidi="en-US"/>
        </w:rPr>
        <w:t>ďalšími lehotami vyplývajúcimi z legislatívy SR, relevantnými zmluvnými vzťahmi, resp. relevantnými povoleniami súvi</w:t>
      </w:r>
      <w:r w:rsidR="00264DCC">
        <w:rPr>
          <w:rFonts w:ascii="Arial Narrow" w:eastAsiaTheme="majorEastAsia" w:hAnsi="Arial Narrow" w:cs="Arial"/>
          <w:color w:val="000000" w:themeColor="text1"/>
          <w:lang w:bidi="en-US"/>
        </w:rPr>
        <w:t>siacimi s realizáciou projektu (ak relevantné)</w:t>
      </w:r>
      <w:r w:rsidR="00CA38A2">
        <w:rPr>
          <w:rFonts w:ascii="Arial Narrow" w:eastAsiaTheme="majorEastAsia" w:hAnsi="Arial Narrow" w:cs="Arial"/>
          <w:color w:val="000000" w:themeColor="text1"/>
          <w:lang w:bidi="en-US"/>
        </w:rPr>
        <w:t>,</w:t>
      </w:r>
    </w:p>
    <w:p w14:paraId="41BFF14A" w14:textId="4B44877E" w:rsidR="00CA38A2" w:rsidRPr="00184F74" w:rsidRDefault="00CA38A2" w:rsidP="00CA38A2">
      <w:pPr>
        <w:numPr>
          <w:ilvl w:val="0"/>
          <w:numId w:val="35"/>
        </w:numPr>
        <w:spacing w:after="0"/>
        <w:rPr>
          <w:rFonts w:ascii="Arial Narrow" w:eastAsia="Helvetica" w:hAnsi="Arial Narrow" w:cs="Arial"/>
          <w:color w:val="000000" w:themeColor="text1"/>
        </w:rPr>
      </w:pPr>
      <w:r w:rsidRPr="00184F74">
        <w:rPr>
          <w:rFonts w:ascii="Arial Narrow" w:eastAsia="Helvetica" w:hAnsi="Arial Narrow" w:cs="Arial"/>
          <w:color w:val="000000" w:themeColor="text1"/>
        </w:rPr>
        <w:t xml:space="preserve">hodnoty merateľných ukazovateľov sú </w:t>
      </w:r>
      <w:r w:rsidR="00EE694F">
        <w:rPr>
          <w:rFonts w:ascii="Arial Narrow" w:eastAsia="Helvetica" w:hAnsi="Arial Narrow" w:cs="Arial"/>
          <w:color w:val="000000" w:themeColor="text1"/>
        </w:rPr>
        <w:t xml:space="preserve">reálne a </w:t>
      </w:r>
      <w:r w:rsidRPr="00184F74">
        <w:rPr>
          <w:rFonts w:ascii="Arial Narrow" w:eastAsia="Helvetica" w:hAnsi="Arial Narrow" w:cs="Arial"/>
          <w:color w:val="000000" w:themeColor="text1"/>
        </w:rPr>
        <w:t>vecne dosiahnuteľné realizáciou navrhovaných aktivít,</w:t>
      </w:r>
    </w:p>
    <w:p w14:paraId="7B988044" w14:textId="6E55801B" w:rsidR="00CA38A2" w:rsidRDefault="00CA38A2" w:rsidP="00CA38A2">
      <w:pPr>
        <w:numPr>
          <w:ilvl w:val="0"/>
          <w:numId w:val="35"/>
        </w:numPr>
        <w:rPr>
          <w:rFonts w:ascii="Arial Narrow" w:eastAsia="Helvetica" w:hAnsi="Arial Narrow" w:cs="Arial"/>
          <w:color w:val="000000" w:themeColor="text1"/>
        </w:rPr>
      </w:pPr>
      <w:r w:rsidRPr="00184F74">
        <w:rPr>
          <w:rFonts w:ascii="Arial Narrow" w:eastAsia="Helvetica" w:hAnsi="Arial Narrow" w:cs="Arial"/>
          <w:color w:val="000000" w:themeColor="text1"/>
        </w:rPr>
        <w:t>hodnoty merateľných ukazovateľov sú časovo dosiahnuteľné v rámci plánovaného harmon</w:t>
      </w:r>
      <w:r>
        <w:rPr>
          <w:rFonts w:ascii="Arial Narrow" w:eastAsia="Helvetica" w:hAnsi="Arial Narrow" w:cs="Arial"/>
          <w:color w:val="000000" w:themeColor="text1"/>
        </w:rPr>
        <w:t>ogramu realizácie aktivít ŽoNFP.</w:t>
      </w:r>
    </w:p>
    <w:p w14:paraId="3169579F" w14:textId="1C7AF30E" w:rsidR="00390BEE" w:rsidRPr="00264DCC" w:rsidRDefault="00264DCC" w:rsidP="00EE694F">
      <w:pPr>
        <w:spacing w:after="120"/>
        <w:jc w:val="both"/>
        <w:rPr>
          <w:rFonts w:ascii="Arial Narrow" w:eastAsiaTheme="majorEastAsia" w:hAnsi="Arial Narrow" w:cs="Arial"/>
          <w:color w:val="000000" w:themeColor="text1"/>
          <w:lang w:bidi="en-US"/>
        </w:rPr>
      </w:pPr>
      <w:r w:rsidRPr="00F50271">
        <w:rPr>
          <w:rFonts w:ascii="Arial Narrow" w:hAnsi="Arial Narrow" w:cs="Arial"/>
          <w:b/>
          <w:color w:val="000000" w:themeColor="text1"/>
        </w:rPr>
        <w:t>V prípade, že ŽoNFP</w:t>
      </w:r>
      <w:r>
        <w:rPr>
          <w:rFonts w:ascii="Arial Narrow" w:hAnsi="Arial Narrow" w:cs="Arial"/>
          <w:b/>
          <w:color w:val="000000" w:themeColor="text1"/>
        </w:rPr>
        <w:t xml:space="preserve"> (</w:t>
      </w:r>
      <w:r w:rsidR="00184F74">
        <w:rPr>
          <w:rFonts w:ascii="Arial Narrow" w:hAnsi="Arial Narrow" w:cs="Arial"/>
          <w:b/>
          <w:color w:val="000000" w:themeColor="text1"/>
        </w:rPr>
        <w:t xml:space="preserve">navrhovaný </w:t>
      </w:r>
      <w:r>
        <w:rPr>
          <w:rFonts w:ascii="Arial Narrow" w:hAnsi="Arial Narrow" w:cs="Arial"/>
          <w:b/>
          <w:color w:val="000000" w:themeColor="text1"/>
        </w:rPr>
        <w:t>projekt)</w:t>
      </w:r>
      <w:r w:rsidRPr="00F50271">
        <w:rPr>
          <w:rFonts w:ascii="Arial Narrow" w:eastAsia="Helvetica" w:hAnsi="Arial Narrow" w:cs="Arial"/>
          <w:b/>
          <w:color w:val="000000" w:themeColor="text1"/>
        </w:rPr>
        <w:t xml:space="preserve"> </w:t>
      </w:r>
      <w:r w:rsidRPr="00504909">
        <w:rPr>
          <w:rFonts w:ascii="Arial Narrow" w:eastAsia="Helvetica" w:hAnsi="Arial Narrow" w:cs="Arial"/>
          <w:color w:val="000000" w:themeColor="text1"/>
        </w:rPr>
        <w:t>umožňuje dosiahnutie výstupov projektu v navrhovanom rozsahu, aktivity projektu majú logickú vzájomnú súvislosť, časové lehoty realizácie aktivít sú reálne a sú v súlade so súvisiacou dokumentáciou</w:t>
      </w:r>
      <w:r w:rsidR="00CA38A2">
        <w:rPr>
          <w:rFonts w:ascii="Arial Narrow" w:eastAsia="Helvetica" w:hAnsi="Arial Narrow" w:cs="Arial"/>
          <w:color w:val="000000" w:themeColor="text1"/>
        </w:rPr>
        <w:t>,</w:t>
      </w:r>
      <w:r w:rsidR="00CA38A2" w:rsidRPr="00CA38A2">
        <w:rPr>
          <w:rFonts w:ascii="Arial Narrow" w:eastAsia="Helvetica" w:hAnsi="Arial Narrow" w:cs="Arial"/>
          <w:color w:val="000000" w:themeColor="text1"/>
        </w:rPr>
        <w:t xml:space="preserve"> </w:t>
      </w:r>
      <w:r w:rsidR="00CA38A2">
        <w:rPr>
          <w:rFonts w:ascii="Arial Narrow" w:eastAsia="Helvetica" w:hAnsi="Arial Narrow" w:cs="Arial"/>
          <w:color w:val="000000" w:themeColor="text1"/>
        </w:rPr>
        <w:t>hodnoty merateľných ukazovatele sú</w:t>
      </w:r>
      <w:r w:rsidR="00EE694F">
        <w:rPr>
          <w:rFonts w:ascii="Arial Narrow" w:eastAsia="Helvetica" w:hAnsi="Arial Narrow" w:cs="Arial"/>
          <w:color w:val="000000" w:themeColor="text1"/>
        </w:rPr>
        <w:t xml:space="preserve"> vecne a časovo</w:t>
      </w:r>
      <w:r w:rsidR="00CA38A2">
        <w:rPr>
          <w:rFonts w:ascii="Arial Narrow" w:eastAsia="Helvetica" w:hAnsi="Arial Narrow" w:cs="Arial"/>
          <w:color w:val="000000" w:themeColor="text1"/>
        </w:rPr>
        <w:t xml:space="preserve"> reálne a primerané voči výške žiadaného NFP a rozsahu aktivít</w:t>
      </w:r>
      <w:r w:rsidR="00F53CF8">
        <w:rPr>
          <w:rFonts w:ascii="Arial Narrow" w:eastAsia="Helvetica" w:hAnsi="Arial Narrow" w:cs="Arial"/>
          <w:b/>
          <w:color w:val="000000" w:themeColor="text1"/>
        </w:rPr>
        <w:t xml:space="preserve"> hodnotiteľ priradí odpoveď „</w:t>
      </w:r>
      <w:r w:rsidRPr="00F50271">
        <w:rPr>
          <w:rFonts w:ascii="Arial Narrow" w:eastAsia="Helvetica" w:hAnsi="Arial Narrow" w:cs="Arial"/>
          <w:b/>
          <w:color w:val="000000" w:themeColor="text1"/>
        </w:rPr>
        <w:t>áno</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w:t>
      </w:r>
      <w:r>
        <w:rPr>
          <w:rFonts w:ascii="Arial Narrow" w:eastAsia="Helvetica" w:hAnsi="Arial Narrow" w:cs="Arial"/>
          <w:b/>
          <w:color w:val="000000" w:themeColor="text1"/>
        </w:rPr>
        <w:t xml:space="preserve">, ak hodnotiteľ </w:t>
      </w:r>
      <w:r w:rsidRPr="00EE694F">
        <w:rPr>
          <w:rFonts w:ascii="Arial Narrow" w:eastAsia="Helvetica" w:hAnsi="Arial Narrow" w:cs="Arial"/>
          <w:b/>
          <w:color w:val="000000" w:themeColor="text1"/>
        </w:rPr>
        <w:t>identifikuje viaceré nedostatky</w:t>
      </w:r>
      <w:r>
        <w:rPr>
          <w:rFonts w:ascii="Arial Narrow" w:eastAsia="Helvetica" w:hAnsi="Arial Narrow" w:cs="Arial"/>
          <w:b/>
          <w:color w:val="000000" w:themeColor="text1"/>
        </w:rPr>
        <w:t xml:space="preserve"> v navrhovanom spôsobe realizácie aktivít projektu,</w:t>
      </w:r>
      <w:r w:rsidR="00F53CF8">
        <w:rPr>
          <w:rFonts w:ascii="Arial Narrow" w:eastAsia="Helvetica" w:hAnsi="Arial Narrow" w:cs="Arial"/>
          <w:b/>
          <w:color w:val="000000" w:themeColor="text1"/>
        </w:rPr>
        <w:t xml:space="preserve"> priradí odpoveď „</w:t>
      </w:r>
      <w:r w:rsidRPr="00F50271">
        <w:rPr>
          <w:rFonts w:ascii="Arial Narrow" w:eastAsia="Helvetica" w:hAnsi="Arial Narrow" w:cs="Arial"/>
          <w:b/>
          <w:color w:val="000000" w:themeColor="text1"/>
        </w:rPr>
        <w:t>nie</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p>
    <w:p w14:paraId="63E48A4C" w14:textId="7E3E71E8" w:rsidR="00390BEE" w:rsidRDefault="00390BEE" w:rsidP="00802B73">
      <w:pPr>
        <w:jc w:val="both"/>
        <w:rPr>
          <w:rFonts w:ascii="Arial Narrow" w:eastAsiaTheme="majorEastAsia" w:hAnsi="Arial Narrow" w:cs="Arial"/>
          <w:color w:val="000000" w:themeColor="text1"/>
          <w:lang w:bidi="en-US"/>
        </w:rPr>
      </w:pPr>
      <w:r w:rsidRPr="00F50388">
        <w:rPr>
          <w:rFonts w:ascii="Arial Narrow" w:eastAsiaTheme="majorEastAsia" w:hAnsi="Arial Narrow" w:cs="Arial"/>
          <w:b/>
          <w:color w:val="000000" w:themeColor="text1"/>
          <w:lang w:bidi="en-US"/>
        </w:rPr>
        <w:t>Hodnotiteľ svoju odpoveď zdôvodní</w:t>
      </w:r>
      <w:r w:rsidRPr="00264DCC">
        <w:rPr>
          <w:rFonts w:ascii="Arial Narrow" w:eastAsiaTheme="majorEastAsia" w:hAnsi="Arial Narrow" w:cs="Arial"/>
          <w:color w:val="000000" w:themeColor="text1"/>
          <w:lang w:bidi="en-US"/>
        </w:rPr>
        <w:t xml:space="preserve"> v hodnotiacom hárku odborného hodnotenia v časti </w:t>
      </w:r>
      <w:r w:rsidR="00264DCC">
        <w:rPr>
          <w:rFonts w:ascii="Arial Narrow" w:eastAsiaTheme="majorEastAsia" w:hAnsi="Arial Narrow" w:cs="Arial"/>
          <w:color w:val="000000" w:themeColor="text1"/>
          <w:lang w:bidi="en-US"/>
        </w:rPr>
        <w:t>„</w:t>
      </w:r>
      <w:r w:rsidRPr="00264DCC">
        <w:rPr>
          <w:rFonts w:ascii="Arial Narrow" w:eastAsiaTheme="majorEastAsia" w:hAnsi="Arial Narrow" w:cs="Arial"/>
          <w:color w:val="000000" w:themeColor="text1"/>
          <w:lang w:bidi="en-US"/>
        </w:rPr>
        <w:t>Komentár</w:t>
      </w:r>
      <w:r w:rsidR="00264DCC">
        <w:rPr>
          <w:rFonts w:ascii="Arial Narrow" w:eastAsiaTheme="majorEastAsia" w:hAnsi="Arial Narrow" w:cs="Arial"/>
          <w:color w:val="000000" w:themeColor="text1"/>
          <w:lang w:bidi="en-US"/>
        </w:rPr>
        <w:t>“</w:t>
      </w:r>
      <w:r w:rsidRPr="00264DCC">
        <w:rPr>
          <w:rFonts w:ascii="Arial Narrow" w:eastAsiaTheme="majorEastAsia" w:hAnsi="Arial Narrow" w:cs="Arial"/>
          <w:color w:val="000000" w:themeColor="text1"/>
          <w:lang w:bidi="en-US"/>
        </w:rPr>
        <w:t xml:space="preserve"> a súčasne uvedie odkaz na dokument vrátane relevantnej časti (ŽoNFP a relevantnej prílohy), na základe ktorej bolo vykonané hodnotenie. Hodnotiteľ je povinný uviesť odpoveď pri každom konkrétnom hodnotení</w:t>
      </w:r>
      <w:r w:rsidR="003E01A4" w:rsidRPr="00264DCC">
        <w:rPr>
          <w:rFonts w:ascii="Arial Narrow" w:eastAsiaTheme="majorEastAsia" w:hAnsi="Arial Narrow" w:cs="Arial"/>
          <w:color w:val="000000" w:themeColor="text1"/>
          <w:lang w:bidi="en-US"/>
        </w:rPr>
        <w:t>.</w:t>
      </w:r>
    </w:p>
    <w:p w14:paraId="4C39C842" w14:textId="0FBFA9A7" w:rsidR="00390BEE" w:rsidRDefault="00390BEE" w:rsidP="00CD5DA4">
      <w:pPr>
        <w:spacing w:after="0"/>
        <w:rPr>
          <w:rFonts w:ascii="Arial Narrow" w:eastAsia="Helvetica" w:hAnsi="Arial Narrow" w:cs="Arial"/>
          <w:color w:val="000000" w:themeColor="text1"/>
          <w:sz w:val="19"/>
          <w:szCs w:val="19"/>
        </w:rPr>
      </w:pPr>
    </w:p>
    <w:p w14:paraId="6A46E170" w14:textId="65BB0B65" w:rsidR="00390BEE" w:rsidRDefault="00390BEE" w:rsidP="00FC581E">
      <w:pPr>
        <w:spacing w:after="240"/>
        <w:jc w:val="both"/>
        <w:rPr>
          <w:rFonts w:ascii="Arial Narrow" w:eastAsia="Helvetica" w:hAnsi="Arial Narrow" w:cs="Arial"/>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58"/>
        <w:gridCol w:w="1013"/>
        <w:gridCol w:w="3929"/>
      </w:tblGrid>
      <w:tr w:rsidR="002526E6" w:rsidRPr="00F23A87" w14:paraId="377A9804" w14:textId="77777777" w:rsidTr="002526E6">
        <w:trPr>
          <w:trHeight w:val="300"/>
        </w:trPr>
        <w:tc>
          <w:tcPr>
            <w:tcW w:w="5000" w:type="pct"/>
            <w:gridSpan w:val="5"/>
            <w:tcBorders>
              <w:top w:val="single" w:sz="4" w:space="0" w:color="auto"/>
            </w:tcBorders>
            <w:shd w:val="clear" w:color="auto" w:fill="5B9BD5" w:themeFill="accent1"/>
          </w:tcPr>
          <w:p w14:paraId="3CAC425C" w14:textId="0CAE24FC" w:rsidR="002526E6" w:rsidRPr="002526E6" w:rsidRDefault="002526E6" w:rsidP="002526E6">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lastRenderedPageBreak/>
              <w:t>Hodnotiace kritérium</w:t>
            </w:r>
          </w:p>
        </w:tc>
      </w:tr>
      <w:tr w:rsidR="002526E6" w:rsidRPr="00F23A87" w14:paraId="029CA371" w14:textId="77777777" w:rsidTr="002526E6">
        <w:trPr>
          <w:trHeight w:val="300"/>
        </w:trPr>
        <w:tc>
          <w:tcPr>
            <w:tcW w:w="135" w:type="pct"/>
            <w:vMerge w:val="restart"/>
            <w:tcBorders>
              <w:top w:val="single" w:sz="4" w:space="0" w:color="auto"/>
            </w:tcBorders>
            <w:shd w:val="clear" w:color="auto" w:fill="DEEAF6" w:themeFill="accent1" w:themeFillTint="33"/>
            <w:vAlign w:val="center"/>
          </w:tcPr>
          <w:p w14:paraId="574A43C7" w14:textId="76720394" w:rsidR="002526E6" w:rsidRPr="002526E6" w:rsidRDefault="00D72856" w:rsidP="002526E6">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5</w:t>
            </w:r>
            <w:r w:rsidR="002526E6">
              <w:rPr>
                <w:rFonts w:ascii="Arial Narrow" w:eastAsia="Times New Roman" w:hAnsi="Arial Narrow" w:cs="Arial"/>
                <w:b/>
                <w:bCs/>
                <w:color w:val="000000"/>
                <w:lang w:eastAsia="sk-SK"/>
              </w:rPr>
              <w:t>.</w:t>
            </w:r>
          </w:p>
        </w:tc>
        <w:tc>
          <w:tcPr>
            <w:tcW w:w="666" w:type="pct"/>
            <w:vMerge w:val="restart"/>
            <w:tcBorders>
              <w:top w:val="single" w:sz="4" w:space="0" w:color="auto"/>
            </w:tcBorders>
            <w:shd w:val="clear" w:color="auto" w:fill="DEEAF6" w:themeFill="accent1" w:themeFillTint="33"/>
            <w:vAlign w:val="center"/>
          </w:tcPr>
          <w:p w14:paraId="3E7E89EF" w14:textId="40B9EC84" w:rsidR="002526E6" w:rsidRPr="00F50271" w:rsidRDefault="002526E6" w:rsidP="002526E6">
            <w:pPr>
              <w:spacing w:after="0" w:line="240" w:lineRule="auto"/>
              <w:ind w:left="135" w:right="135"/>
              <w:textAlignment w:val="baseline"/>
              <w:rPr>
                <w:rFonts w:ascii="Arial Narrow" w:eastAsia="Times New Roman" w:hAnsi="Arial Narrow" w:cs="Arial"/>
                <w:b/>
                <w:bCs/>
                <w:color w:val="000000"/>
                <w:lang w:eastAsia="sk-SK"/>
              </w:rPr>
            </w:pPr>
            <w:r w:rsidRPr="002526E6">
              <w:rPr>
                <w:rFonts w:ascii="Arial Narrow" w:eastAsia="Times New Roman" w:hAnsi="Arial Narrow" w:cs="Arial"/>
                <w:b/>
                <w:bCs/>
                <w:color w:val="000000"/>
                <w:lang w:eastAsia="sk-SK"/>
              </w:rPr>
              <w:t>Spĺňajú výdavky uvedené v žiadosti podmienky oprávnenosti?</w:t>
            </w:r>
          </w:p>
        </w:tc>
        <w:tc>
          <w:tcPr>
            <w:tcW w:w="2589" w:type="pct"/>
            <w:tcBorders>
              <w:top w:val="single" w:sz="4" w:space="0" w:color="auto"/>
              <w:bottom w:val="single" w:sz="4" w:space="0" w:color="auto"/>
            </w:tcBorders>
            <w:shd w:val="clear" w:color="auto" w:fill="DEEAF6" w:themeFill="accent1" w:themeFillTint="33"/>
            <w:vAlign w:val="center"/>
            <w:hideMark/>
          </w:tcPr>
          <w:p w14:paraId="7526AE10" w14:textId="221298D9" w:rsidR="002526E6" w:rsidRPr="00F50271" w:rsidRDefault="002526E6" w:rsidP="00F77C01">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31" w:type="pct"/>
            <w:shd w:val="clear" w:color="auto" w:fill="DEEAF6" w:themeFill="accent1" w:themeFillTint="33"/>
            <w:vAlign w:val="center"/>
            <w:hideMark/>
          </w:tcPr>
          <w:p w14:paraId="67F08921" w14:textId="77777777" w:rsidR="002526E6" w:rsidRPr="00F50271" w:rsidRDefault="002526E6" w:rsidP="00F77C01">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8" w:type="pct"/>
            <w:shd w:val="clear" w:color="auto" w:fill="DEEAF6" w:themeFill="accent1" w:themeFillTint="33"/>
            <w:vAlign w:val="center"/>
            <w:hideMark/>
          </w:tcPr>
          <w:p w14:paraId="11C9B7CB" w14:textId="77777777" w:rsidR="002526E6" w:rsidRPr="00F50271" w:rsidRDefault="002526E6" w:rsidP="00F77C01">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329518EB" w14:textId="77777777" w:rsidTr="002526E6">
        <w:trPr>
          <w:trHeight w:val="545"/>
        </w:trPr>
        <w:tc>
          <w:tcPr>
            <w:tcW w:w="135" w:type="pct"/>
            <w:vMerge/>
          </w:tcPr>
          <w:p w14:paraId="0519B037" w14:textId="77777777"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666" w:type="pct"/>
            <w:vMerge/>
          </w:tcPr>
          <w:p w14:paraId="68078481" w14:textId="5D46EDB2"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2589" w:type="pct"/>
            <w:vMerge w:val="restart"/>
            <w:tcBorders>
              <w:top w:val="single" w:sz="4" w:space="0" w:color="auto"/>
            </w:tcBorders>
            <w:shd w:val="clear" w:color="auto" w:fill="auto"/>
            <w:vAlign w:val="center"/>
          </w:tcPr>
          <w:p w14:paraId="2B0F4238" w14:textId="177E6C25" w:rsidR="002526E6" w:rsidRDefault="002526E6" w:rsidP="00F53CF8">
            <w:pPr>
              <w:spacing w:after="0" w:line="240" w:lineRule="auto"/>
              <w:ind w:left="15"/>
              <w:jc w:val="both"/>
              <w:textAlignment w:val="baseline"/>
              <w:rPr>
                <w:rFonts w:ascii="Arial Narrow" w:eastAsia="Times New Roman" w:hAnsi="Arial Narrow" w:cs="Arial"/>
                <w:lang w:eastAsia="sk-SK"/>
              </w:rPr>
            </w:pPr>
            <w:r w:rsidRPr="00F53CF8">
              <w:rPr>
                <w:rFonts w:ascii="Arial Narrow" w:eastAsia="Times New Roman" w:hAnsi="Arial Narrow" w:cs="Arial"/>
                <w:lang w:eastAsia="sk-SK"/>
              </w:rPr>
              <w:t>Posudzuje sa, či žiadané výdavky projektu spĺňajú všetky podmienky oprávnenosti definované v riadiacej dokumentácii PO7 OPII upravujúcej oblasť oprávnenosti výdavkov (vecná oprávnenosť a účelnosť výdavkov, hospodárnosť a efektívnosť výdavkov, územná oprávnenosť výdavkov, časová oprávnenosť výdavkov a pod.).</w:t>
            </w:r>
          </w:p>
          <w:p w14:paraId="4E36DE79" w14:textId="6CA257CD" w:rsidR="002526E6" w:rsidRPr="00F50271" w:rsidRDefault="002526E6" w:rsidP="00F53CF8">
            <w:pPr>
              <w:spacing w:after="0" w:line="240" w:lineRule="auto"/>
              <w:ind w:left="15"/>
              <w:jc w:val="both"/>
              <w:textAlignment w:val="baseline"/>
              <w:rPr>
                <w:rFonts w:ascii="Arial Narrow" w:eastAsia="Times New Roman" w:hAnsi="Arial Narrow" w:cs="Arial"/>
                <w:lang w:eastAsia="sk-SK"/>
              </w:rPr>
            </w:pPr>
            <w:r w:rsidRPr="00F53CF8">
              <w:rPr>
                <w:rFonts w:ascii="Arial Narrow" w:eastAsia="Times New Roman" w:hAnsi="Arial Narrow" w:cs="Arial"/>
                <w:lang w:eastAsia="sk-SK"/>
              </w:rPr>
              <w:t>Pozn.: V prípade identifikácie neoprávnených výdavkov projektu sa v procese odborného hodnotenia výška celkových oprávnených výd</w:t>
            </w:r>
            <w:r>
              <w:rPr>
                <w:rFonts w:ascii="Arial Narrow" w:eastAsia="Times New Roman" w:hAnsi="Arial Narrow" w:cs="Arial"/>
                <w:lang w:eastAsia="sk-SK"/>
              </w:rPr>
              <w:t>avkov projektu adekvátne zníži.</w:t>
            </w:r>
          </w:p>
        </w:tc>
        <w:tc>
          <w:tcPr>
            <w:tcW w:w="331" w:type="pct"/>
            <w:shd w:val="clear" w:color="auto" w:fill="auto"/>
            <w:vAlign w:val="center"/>
          </w:tcPr>
          <w:p w14:paraId="2A01992F" w14:textId="77777777" w:rsidR="002526E6" w:rsidRPr="00F50271" w:rsidRDefault="002526E6" w:rsidP="00F77C01">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áno</w:t>
            </w:r>
          </w:p>
        </w:tc>
        <w:tc>
          <w:tcPr>
            <w:tcW w:w="1278" w:type="pct"/>
            <w:shd w:val="clear" w:color="auto" w:fill="auto"/>
            <w:vAlign w:val="center"/>
          </w:tcPr>
          <w:p w14:paraId="1A5E66A9" w14:textId="39721C7F" w:rsidR="002526E6" w:rsidRPr="00184F74" w:rsidRDefault="002526E6" w:rsidP="00F53CF8">
            <w:pPr>
              <w:spacing w:after="0" w:line="240" w:lineRule="auto"/>
              <w:jc w:val="both"/>
              <w:textAlignment w:val="baseline"/>
              <w:rPr>
                <w:rFonts w:ascii="Arial Narrow" w:eastAsia="Times New Roman" w:hAnsi="Arial Narrow" w:cs="Arial"/>
                <w:lang w:eastAsia="sk-SK"/>
              </w:rPr>
            </w:pPr>
            <w:r w:rsidRPr="00723C2E">
              <w:rPr>
                <w:rFonts w:ascii="Arial Narrow" w:hAnsi="Arial Narrow"/>
                <w:b/>
                <w:bCs/>
              </w:rPr>
              <w:t>70</w:t>
            </w:r>
            <w:r w:rsidRPr="00723C2E">
              <w:rPr>
                <w:rFonts w:ascii="Arial Narrow" w:hAnsi="Arial Narrow"/>
              </w:rPr>
              <w:t xml:space="preserve"> </w:t>
            </w:r>
            <w:r w:rsidRPr="00723C2E">
              <w:rPr>
                <w:rFonts w:ascii="Arial Narrow" w:hAnsi="Arial Narrow"/>
                <w:b/>
              </w:rPr>
              <w:t>%</w:t>
            </w:r>
            <w:r w:rsidRPr="00723C2E">
              <w:rPr>
                <w:rFonts w:ascii="Arial Narrow" w:hAnsi="Arial Narrow"/>
              </w:rPr>
              <w:t xml:space="preserve"> </w:t>
            </w:r>
            <w:r w:rsidRPr="00723C2E">
              <w:rPr>
                <w:rFonts w:ascii="Arial Narrow" w:hAnsi="Arial Narrow"/>
                <w:b/>
              </w:rPr>
              <w:t>a</w:t>
            </w:r>
            <w:r w:rsidRPr="00723C2E">
              <w:rPr>
                <w:rFonts w:ascii="Arial Narrow" w:hAnsi="Arial Narrow"/>
              </w:rPr>
              <w:t xml:space="preserve"> </w:t>
            </w:r>
            <w:r w:rsidRPr="00723C2E">
              <w:rPr>
                <w:rFonts w:ascii="Arial Narrow" w:hAnsi="Arial Narrow"/>
                <w:b/>
              </w:rPr>
              <w:t>viac</w:t>
            </w:r>
            <w:r w:rsidRPr="00723C2E">
              <w:rPr>
                <w:rFonts w:ascii="Arial Narrow" w:hAnsi="Arial Narrow"/>
              </w:rPr>
              <w:t xml:space="preserve"> finančnej hodnoty žiadateľom definovaných celkových oprávnených</w:t>
            </w:r>
            <w:r w:rsidRPr="00723C2E" w:rsidDel="00AA1F91">
              <w:rPr>
                <w:rFonts w:ascii="Arial Narrow" w:hAnsi="Arial Narrow"/>
              </w:rPr>
              <w:t xml:space="preserve"> </w:t>
            </w:r>
            <w:r w:rsidRPr="00723C2E">
              <w:rPr>
                <w:rFonts w:ascii="Arial Narrow" w:hAnsi="Arial Narrow"/>
              </w:rPr>
              <w:t xml:space="preserve">výdavkov projektu je </w:t>
            </w:r>
            <w:r w:rsidRPr="00723C2E">
              <w:rPr>
                <w:rFonts w:ascii="Arial Narrow" w:hAnsi="Arial Narrow"/>
                <w:b/>
                <w:bCs/>
              </w:rPr>
              <w:t>oprávnených</w:t>
            </w:r>
            <w:r>
              <w:rPr>
                <w:rFonts w:ascii="Arial Narrow" w:hAnsi="Arial Narrow"/>
                <w:b/>
                <w:bCs/>
              </w:rPr>
              <w:t xml:space="preserve"> </w:t>
            </w:r>
            <w:r w:rsidRPr="00723C2E">
              <w:rPr>
                <w:rFonts w:ascii="Arial Narrow" w:hAnsi="Arial Narrow"/>
                <w:bCs/>
              </w:rPr>
              <w:t>vzhľadom k stanoveným cieľom a očakávaným výstupom projektu</w:t>
            </w:r>
          </w:p>
        </w:tc>
      </w:tr>
      <w:tr w:rsidR="002526E6" w:rsidRPr="00F23A87" w14:paraId="40BD7FAF" w14:textId="77777777" w:rsidTr="00EE694F">
        <w:trPr>
          <w:trHeight w:val="1031"/>
        </w:trPr>
        <w:tc>
          <w:tcPr>
            <w:tcW w:w="135" w:type="pct"/>
            <w:vMerge/>
          </w:tcPr>
          <w:p w14:paraId="13988585" w14:textId="77777777" w:rsidR="002526E6" w:rsidRPr="00F50271" w:rsidRDefault="002526E6" w:rsidP="00F77C01">
            <w:pPr>
              <w:spacing w:after="0" w:line="240" w:lineRule="auto"/>
              <w:rPr>
                <w:rFonts w:ascii="Arial Narrow" w:eastAsia="Times New Roman" w:hAnsi="Arial Narrow" w:cs="Arial"/>
                <w:lang w:eastAsia="sk-SK"/>
              </w:rPr>
            </w:pPr>
          </w:p>
        </w:tc>
        <w:tc>
          <w:tcPr>
            <w:tcW w:w="666" w:type="pct"/>
            <w:vMerge/>
          </w:tcPr>
          <w:p w14:paraId="78FD8063" w14:textId="0CA43BD8" w:rsidR="002526E6" w:rsidRPr="00F50271" w:rsidRDefault="002526E6" w:rsidP="00F77C01">
            <w:pPr>
              <w:spacing w:after="0" w:line="240" w:lineRule="auto"/>
              <w:rPr>
                <w:rFonts w:ascii="Arial Narrow" w:eastAsia="Times New Roman" w:hAnsi="Arial Narrow" w:cs="Arial"/>
                <w:lang w:eastAsia="sk-SK"/>
              </w:rPr>
            </w:pPr>
          </w:p>
        </w:tc>
        <w:tc>
          <w:tcPr>
            <w:tcW w:w="2589" w:type="pct"/>
            <w:vMerge/>
            <w:shd w:val="clear" w:color="auto" w:fill="auto"/>
            <w:vAlign w:val="center"/>
          </w:tcPr>
          <w:p w14:paraId="1CE9B9B4" w14:textId="03734A7E" w:rsidR="002526E6" w:rsidRPr="00F50271" w:rsidRDefault="002526E6" w:rsidP="00F77C01">
            <w:pPr>
              <w:spacing w:after="0" w:line="240" w:lineRule="auto"/>
              <w:rPr>
                <w:rFonts w:ascii="Arial Narrow" w:eastAsia="Times New Roman" w:hAnsi="Arial Narrow" w:cs="Arial"/>
                <w:lang w:eastAsia="sk-SK"/>
              </w:rPr>
            </w:pPr>
          </w:p>
        </w:tc>
        <w:tc>
          <w:tcPr>
            <w:tcW w:w="331" w:type="pct"/>
            <w:shd w:val="clear" w:color="auto" w:fill="auto"/>
            <w:vAlign w:val="center"/>
          </w:tcPr>
          <w:p w14:paraId="4D85E90F" w14:textId="77777777" w:rsidR="002526E6" w:rsidRPr="00F50271" w:rsidRDefault="002526E6" w:rsidP="00F77C01">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nie</w:t>
            </w:r>
          </w:p>
        </w:tc>
        <w:tc>
          <w:tcPr>
            <w:tcW w:w="1278" w:type="pct"/>
            <w:shd w:val="clear" w:color="auto" w:fill="auto"/>
            <w:vAlign w:val="center"/>
          </w:tcPr>
          <w:p w14:paraId="254AC6E8" w14:textId="2D059FF4" w:rsidR="002526E6" w:rsidRPr="00F50271" w:rsidRDefault="002526E6" w:rsidP="00F53CF8">
            <w:pPr>
              <w:spacing w:after="0" w:line="240" w:lineRule="auto"/>
              <w:jc w:val="both"/>
              <w:textAlignment w:val="baseline"/>
              <w:rPr>
                <w:rFonts w:ascii="Arial Narrow" w:eastAsia="Times New Roman" w:hAnsi="Arial Narrow" w:cs="Arial"/>
                <w:lang w:eastAsia="sk-SK"/>
              </w:rPr>
            </w:pPr>
            <w:r w:rsidRPr="00723C2E">
              <w:rPr>
                <w:rFonts w:ascii="Arial Narrow" w:hAnsi="Arial Narrow"/>
                <w:b/>
                <w:bCs/>
              </w:rPr>
              <w:t xml:space="preserve">Menej ako 70% </w:t>
            </w:r>
            <w:r w:rsidRPr="00723C2E">
              <w:rPr>
                <w:rFonts w:ascii="Arial Narrow" w:hAnsi="Arial Narrow"/>
              </w:rPr>
              <w:t xml:space="preserve">finančnej hodnoty žiadateľom definovaných celkových oprávnených výdavkov projektu je </w:t>
            </w:r>
            <w:r w:rsidRPr="00723C2E">
              <w:rPr>
                <w:rFonts w:ascii="Arial Narrow" w:hAnsi="Arial Narrow"/>
                <w:b/>
                <w:bCs/>
              </w:rPr>
              <w:t xml:space="preserve">oprávnených </w:t>
            </w:r>
            <w:r w:rsidRPr="00723C2E">
              <w:rPr>
                <w:rFonts w:ascii="Arial Narrow" w:hAnsi="Arial Narrow"/>
                <w:bCs/>
              </w:rPr>
              <w:t>vzhľadom k stanoveným cieľom a očakávaným výstupom proje</w:t>
            </w:r>
            <w:r>
              <w:rPr>
                <w:rFonts w:ascii="Arial Narrow" w:hAnsi="Arial Narrow"/>
                <w:bCs/>
              </w:rPr>
              <w:t>k</w:t>
            </w:r>
            <w:r w:rsidRPr="00723C2E">
              <w:rPr>
                <w:rFonts w:ascii="Arial Narrow" w:hAnsi="Arial Narrow"/>
                <w:bCs/>
              </w:rPr>
              <w:t>tu.</w:t>
            </w:r>
          </w:p>
        </w:tc>
      </w:tr>
    </w:tbl>
    <w:p w14:paraId="74C82405" w14:textId="562D8DEF" w:rsidR="00A64B3D" w:rsidRDefault="00A64B3D" w:rsidP="00802B73">
      <w:pPr>
        <w:jc w:val="both"/>
        <w:rPr>
          <w:rFonts w:ascii="Arial Narrow" w:eastAsia="Helvetica" w:hAnsi="Arial Narrow" w:cs="Arial"/>
          <w:color w:val="000000" w:themeColor="text1"/>
        </w:rPr>
      </w:pPr>
    </w:p>
    <w:p w14:paraId="66CF9756" w14:textId="1801EE29" w:rsidR="00F53CF8" w:rsidRDefault="00F53CF8" w:rsidP="00F53CF8">
      <w:pPr>
        <w:spacing w:before="120" w:after="120" w:line="276" w:lineRule="auto"/>
        <w:jc w:val="both"/>
        <w:rPr>
          <w:rFonts w:ascii="Arial Narrow" w:hAnsi="Arial Narrow"/>
          <w:b/>
          <w:color w:val="000000"/>
          <w:lang w:eastAsia="cs-CZ"/>
        </w:rPr>
      </w:pPr>
      <w:r>
        <w:rPr>
          <w:rFonts w:ascii="Arial Narrow" w:hAnsi="Arial Narrow"/>
          <w:color w:val="000000"/>
          <w:lang w:eastAsia="cs-CZ"/>
        </w:rPr>
        <w:t>Hodnotiteľ posudzuje, či žiadané výdavky projektu spĺňajú všetky podmienky oprávnenosti definované vo výzve, resp. v riadiacej dokumentácii</w:t>
      </w:r>
      <w:r w:rsidRPr="00F53CF8">
        <w:rPr>
          <w:rFonts w:ascii="Arial Narrow" w:hAnsi="Arial Narrow"/>
          <w:color w:val="000000"/>
          <w:lang w:eastAsia="cs-CZ"/>
        </w:rPr>
        <w:t xml:space="preserve"> </w:t>
      </w:r>
      <w:r>
        <w:rPr>
          <w:rFonts w:ascii="Arial Narrow" w:hAnsi="Arial Narrow"/>
          <w:color w:val="000000"/>
          <w:lang w:eastAsia="cs-CZ"/>
        </w:rPr>
        <w:t>upravujúcej oblasť oprávnenosti výdavkov</w:t>
      </w:r>
      <w:r w:rsidRPr="00F53CF8">
        <w:rPr>
          <w:rFonts w:ascii="Arial Narrow" w:hAnsi="Arial Narrow"/>
          <w:b/>
          <w:color w:val="000000"/>
          <w:lang w:eastAsia="cs-CZ"/>
        </w:rPr>
        <w:t xml:space="preserve"> </w:t>
      </w:r>
      <w:r>
        <w:rPr>
          <w:rFonts w:ascii="Arial Narrow" w:hAnsi="Arial Narrow"/>
          <w:b/>
          <w:color w:val="000000"/>
          <w:lang w:eastAsia="cs-CZ"/>
        </w:rPr>
        <w:t>(vecná oprávnenosť a účelnosť výdavkov, hospodárnosť a efektívnosť výdavkov, územná oprávneno</w:t>
      </w:r>
      <w:bookmarkStart w:id="2" w:name="_GoBack"/>
      <w:bookmarkEnd w:id="2"/>
      <w:r>
        <w:rPr>
          <w:rFonts w:ascii="Arial Narrow" w:hAnsi="Arial Narrow"/>
          <w:b/>
          <w:color w:val="000000"/>
          <w:lang w:eastAsia="cs-CZ"/>
        </w:rPr>
        <w:t>sť výdavkov, časová oprávnenosť výdavkov a pod.)</w:t>
      </w:r>
      <w:r>
        <w:rPr>
          <w:rFonts w:ascii="Arial Narrow" w:hAnsi="Arial Narrow"/>
          <w:color w:val="000000"/>
          <w:lang w:eastAsia="cs-CZ"/>
        </w:rPr>
        <w:t>, v pravidlách oprávnenosti pre skupiny výdavkov, pravidlá dokladovania a účtovného spracovania dokladov pre skupiny výdavkov (</w:t>
      </w:r>
      <w:r w:rsidR="00EE694F">
        <w:rPr>
          <w:rFonts w:ascii="Arial Narrow" w:hAnsi="Arial Narrow"/>
          <w:color w:val="000000"/>
          <w:lang w:eastAsia="cs-CZ"/>
        </w:rPr>
        <w:t xml:space="preserve">benchmarky, </w:t>
      </w:r>
      <w:r>
        <w:rPr>
          <w:rFonts w:ascii="Arial Narrow" w:hAnsi="Arial Narrow"/>
          <w:color w:val="000000"/>
          <w:lang w:eastAsia="cs-CZ"/>
        </w:rPr>
        <w:t>limity) a pod.</w:t>
      </w:r>
    </w:p>
    <w:p w14:paraId="44EDAC89" w14:textId="6BEFF3A0" w:rsidR="00F53CF8" w:rsidRDefault="00F53CF8" w:rsidP="00F53CF8">
      <w:pPr>
        <w:tabs>
          <w:tab w:val="left" w:pos="284"/>
        </w:tabs>
        <w:spacing w:before="120" w:after="120" w:line="276" w:lineRule="auto"/>
        <w:jc w:val="both"/>
        <w:rPr>
          <w:rFonts w:ascii="Arial Narrow" w:eastAsia="Times New Roman" w:hAnsi="Arial Narrow"/>
          <w:color w:val="000000"/>
        </w:rPr>
      </w:pPr>
      <w:r>
        <w:rPr>
          <w:rFonts w:ascii="Arial Narrow" w:eastAsia="Times New Roman" w:hAnsi="Arial Narrow"/>
          <w:color w:val="000000"/>
        </w:rPr>
        <w:t>V riadiacej dokumentácii</w:t>
      </w:r>
      <w:r w:rsidR="00EE694F">
        <w:rPr>
          <w:rFonts w:ascii="Arial Narrow" w:eastAsia="Times New Roman" w:hAnsi="Arial Narrow"/>
          <w:color w:val="000000"/>
        </w:rPr>
        <w:t>/vo výzve</w:t>
      </w:r>
      <w:r>
        <w:rPr>
          <w:rFonts w:ascii="Arial Narrow" w:eastAsia="Times New Roman" w:hAnsi="Arial Narrow"/>
          <w:color w:val="000000"/>
        </w:rPr>
        <w:t xml:space="preserve"> sú prehľadným spôsobom zadefinované pravidlá oprávnenosti výdavkov tak, aby boli vytvorené podmienky pre transparentné, jednoznačné a efektívne posudzovanie oprávnenosti výdavkov projektov v procese ich schvaľovania.</w:t>
      </w:r>
    </w:p>
    <w:p w14:paraId="6D00EBFE" w14:textId="77777777" w:rsidR="00F53CF8" w:rsidRDefault="00F53CF8" w:rsidP="00F53CF8">
      <w:pPr>
        <w:tabs>
          <w:tab w:val="left" w:pos="851"/>
        </w:tabs>
        <w:spacing w:line="276" w:lineRule="auto"/>
        <w:jc w:val="both"/>
        <w:rPr>
          <w:rFonts w:ascii="Arial Narrow" w:eastAsia="Times New Roman" w:hAnsi="Arial Narrow"/>
          <w:szCs w:val="20"/>
        </w:rPr>
      </w:pPr>
      <w:r>
        <w:rPr>
          <w:rFonts w:ascii="Arial Narrow" w:eastAsia="Times New Roman" w:hAnsi="Arial Narrow"/>
          <w:szCs w:val="20"/>
        </w:rPr>
        <w:t xml:space="preserve">Vecne neoprávnené a neúčelné výdavky sú výdavky, ktoré: </w:t>
      </w:r>
    </w:p>
    <w:p w14:paraId="576A6283" w14:textId="77777777" w:rsidR="00F53CF8" w:rsidRDefault="00F53CF8" w:rsidP="00F53CF8">
      <w:pPr>
        <w:numPr>
          <w:ilvl w:val="0"/>
          <w:numId w:val="42"/>
        </w:numPr>
        <w:tabs>
          <w:tab w:val="left" w:pos="851"/>
        </w:tabs>
        <w:spacing w:after="0" w:line="276" w:lineRule="auto"/>
        <w:ind w:left="567" w:hanging="357"/>
        <w:jc w:val="both"/>
        <w:rPr>
          <w:rFonts w:ascii="Arial Narrow" w:eastAsia="Times New Roman" w:hAnsi="Arial Narrow"/>
          <w:szCs w:val="20"/>
        </w:rPr>
      </w:pPr>
      <w:r>
        <w:rPr>
          <w:rFonts w:ascii="Arial Narrow" w:eastAsia="Times New Roman" w:hAnsi="Arial Narrow"/>
          <w:szCs w:val="20"/>
        </w:rPr>
        <w:t xml:space="preserve">nespĺňajú hospodárnosť a efektívnosť výdavkov, a/alebo </w:t>
      </w:r>
    </w:p>
    <w:p w14:paraId="27522384" w14:textId="77777777" w:rsidR="00F53CF8" w:rsidRDefault="00F53CF8" w:rsidP="00F53CF8">
      <w:pPr>
        <w:numPr>
          <w:ilvl w:val="0"/>
          <w:numId w:val="43"/>
        </w:numPr>
        <w:tabs>
          <w:tab w:val="left" w:pos="851"/>
        </w:tabs>
        <w:spacing w:after="0" w:line="276" w:lineRule="auto"/>
        <w:ind w:left="567"/>
        <w:jc w:val="both"/>
        <w:rPr>
          <w:rFonts w:ascii="Arial Narrow" w:eastAsia="Times New Roman" w:hAnsi="Arial Narrow"/>
          <w:szCs w:val="20"/>
        </w:rPr>
      </w:pPr>
      <w:r>
        <w:rPr>
          <w:rFonts w:ascii="Arial Narrow" w:eastAsia="Times New Roman" w:hAnsi="Arial Narrow"/>
          <w:szCs w:val="20"/>
        </w:rPr>
        <w:t>nie sú oprávnené z časového a územného aspektu, a/alebo</w:t>
      </w:r>
    </w:p>
    <w:p w14:paraId="15295653" w14:textId="77777777" w:rsidR="00F53CF8" w:rsidRDefault="00F53CF8" w:rsidP="00F53CF8">
      <w:pPr>
        <w:numPr>
          <w:ilvl w:val="0"/>
          <w:numId w:val="43"/>
        </w:numPr>
        <w:tabs>
          <w:tab w:val="left" w:pos="851"/>
        </w:tabs>
        <w:spacing w:after="0" w:line="276" w:lineRule="auto"/>
        <w:ind w:left="567"/>
        <w:jc w:val="both"/>
        <w:rPr>
          <w:rFonts w:ascii="Arial Narrow" w:eastAsia="Times New Roman" w:hAnsi="Arial Narrow"/>
          <w:szCs w:val="20"/>
        </w:rPr>
      </w:pPr>
      <w:r>
        <w:rPr>
          <w:rFonts w:ascii="Arial Narrow" w:eastAsia="Times New Roman" w:hAnsi="Arial Narrow"/>
          <w:szCs w:val="20"/>
        </w:rPr>
        <w:t xml:space="preserve">nie sú pre realizáciu projektu nevyhnutné, a/alebo </w:t>
      </w:r>
    </w:p>
    <w:p w14:paraId="6DE159AF" w14:textId="78E47A4F" w:rsidR="00F53CF8" w:rsidRDefault="00F53CF8" w:rsidP="00F53CF8">
      <w:pPr>
        <w:numPr>
          <w:ilvl w:val="0"/>
          <w:numId w:val="43"/>
        </w:numPr>
        <w:tabs>
          <w:tab w:val="left" w:pos="851"/>
        </w:tabs>
        <w:spacing w:after="0" w:line="276" w:lineRule="auto"/>
        <w:ind w:left="567"/>
        <w:jc w:val="both"/>
        <w:rPr>
          <w:rFonts w:ascii="Arial Narrow" w:eastAsia="Times New Roman" w:hAnsi="Arial Narrow"/>
          <w:szCs w:val="20"/>
        </w:rPr>
      </w:pPr>
      <w:r>
        <w:rPr>
          <w:rFonts w:ascii="Arial Narrow" w:eastAsia="Times New Roman" w:hAnsi="Arial Narrow"/>
          <w:szCs w:val="20"/>
        </w:rPr>
        <w:t>nie sú vecne oprávnené podľa Výzvy, resp. inej riadiacej dokumentácie.</w:t>
      </w:r>
    </w:p>
    <w:p w14:paraId="793A7CDE" w14:textId="652E48E0"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Pri hodnotení oprávnenosti výdavkov hodnotiteľ vychádza z výzvy vrátane príloh a prihliada na informácie v rozpočte projektu,</w:t>
      </w:r>
      <w:r w:rsidR="00EE694F">
        <w:rPr>
          <w:rFonts w:ascii="Arial Narrow" w:eastAsia="Times New Roman" w:hAnsi="Arial Narrow"/>
          <w:szCs w:val="20"/>
        </w:rPr>
        <w:t xml:space="preserve"> ŽoNFP,</w:t>
      </w:r>
      <w:r>
        <w:rPr>
          <w:rFonts w:ascii="Arial Narrow" w:eastAsia="Times New Roman" w:hAnsi="Arial Narrow"/>
          <w:szCs w:val="20"/>
        </w:rPr>
        <w:t xml:space="preserve"> v textovej časti finančnej analýzy (ak relevantné). Ak identifikuje neoprávnené výdavky, vypočíta ich pomer k </w:t>
      </w:r>
      <w:r w:rsidRPr="0066344F">
        <w:rPr>
          <w:rFonts w:ascii="Arial Narrow" w:eastAsia="Times New Roman" w:hAnsi="Arial Narrow"/>
          <w:b/>
          <w:szCs w:val="20"/>
        </w:rPr>
        <w:t xml:space="preserve">celkovým </w:t>
      </w:r>
      <w:r w:rsidR="00654A78" w:rsidRPr="0066344F">
        <w:rPr>
          <w:rFonts w:ascii="Arial Narrow" w:eastAsia="Times New Roman" w:hAnsi="Arial Narrow"/>
          <w:b/>
          <w:szCs w:val="20"/>
        </w:rPr>
        <w:t xml:space="preserve">oprávneným </w:t>
      </w:r>
      <w:r w:rsidRPr="0066344F">
        <w:rPr>
          <w:rFonts w:ascii="Arial Narrow" w:eastAsia="Times New Roman" w:hAnsi="Arial Narrow"/>
          <w:b/>
          <w:szCs w:val="20"/>
        </w:rPr>
        <w:t xml:space="preserve">výdavkom </w:t>
      </w:r>
      <w:r w:rsidRPr="00EE694F">
        <w:rPr>
          <w:rFonts w:ascii="Arial Narrow" w:eastAsia="Times New Roman" w:hAnsi="Arial Narrow"/>
          <w:b/>
          <w:szCs w:val="20"/>
        </w:rPr>
        <w:t>projektu v %.</w:t>
      </w:r>
      <w:r>
        <w:rPr>
          <w:rFonts w:ascii="Arial Narrow" w:eastAsia="Times New Roman" w:hAnsi="Arial Narrow"/>
          <w:szCs w:val="20"/>
        </w:rPr>
        <w:t xml:space="preserve"> </w:t>
      </w:r>
    </w:p>
    <w:p w14:paraId="53D538DF" w14:textId="77777777" w:rsidR="00F53CF8" w:rsidRDefault="00F53CF8" w:rsidP="00F53CF8">
      <w:pPr>
        <w:tabs>
          <w:tab w:val="left" w:pos="0"/>
        </w:tabs>
        <w:spacing w:before="120" w:after="120" w:line="276" w:lineRule="auto"/>
        <w:jc w:val="both"/>
        <w:rPr>
          <w:rFonts w:ascii="Arial Narrow" w:eastAsia="Times New Roman" w:hAnsi="Arial Narrow"/>
        </w:rPr>
      </w:pPr>
      <w:r>
        <w:rPr>
          <w:rFonts w:ascii="Arial Narrow" w:eastAsia="Times New Roman" w:hAnsi="Arial Narrow"/>
        </w:rPr>
        <w:t xml:space="preserve">V prípade identifikácie nedostatkov rozpočtu projektu spočívajúcich vo formálnych nedostatkoch (napr. nesprávna klasifikácia výdavkov z hľadiska účtovného zaradenia, resp. nesprávneho priradenia k aktivitám projektu a pod.), ktoré nemajú vplyv na posúdenie oprávnenosti výdavkov, sa tieto nedostatky nezahŕňajú do neoprávnených výdavkov.  </w:t>
      </w:r>
    </w:p>
    <w:p w14:paraId="35F3B654" w14:textId="77777777"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w:t>
      </w:r>
      <w:r>
        <w:rPr>
          <w:rFonts w:ascii="Arial Narrow" w:eastAsia="Times New Roman" w:hAnsi="Arial Narrow"/>
          <w:b/>
          <w:szCs w:val="20"/>
        </w:rPr>
        <w:t xml:space="preserve">v rozsahu 70 % a viac </w:t>
      </w:r>
      <w:r>
        <w:rPr>
          <w:rFonts w:ascii="Arial Narrow" w:eastAsia="Times New Roman" w:hAnsi="Arial Narrow"/>
          <w:szCs w:val="20"/>
        </w:rPr>
        <w:t>z celkových oprávnených výdavkov</w:t>
      </w:r>
      <w:r>
        <w:rPr>
          <w:rFonts w:ascii="Arial Narrow" w:eastAsia="Times New Roman" w:hAnsi="Arial Narrow"/>
          <w:b/>
          <w:szCs w:val="20"/>
        </w:rPr>
        <w:t>,</w:t>
      </w:r>
      <w:r>
        <w:rPr>
          <w:rFonts w:ascii="Arial Narrow" w:eastAsia="Times New Roman" w:hAnsi="Arial Narrow"/>
          <w:szCs w:val="20"/>
        </w:rPr>
        <w:t xml:space="preserve"> vzhľadom k stanoveným cieľom a očakávaným výstupom projektu, označí </w:t>
      </w:r>
      <w:r>
        <w:rPr>
          <w:rFonts w:ascii="Arial Narrow" w:eastAsia="Times New Roman" w:hAnsi="Arial Narrow"/>
          <w:b/>
          <w:szCs w:val="20"/>
        </w:rPr>
        <w:t>„áno“</w:t>
      </w:r>
      <w:r>
        <w:rPr>
          <w:rFonts w:ascii="Arial Narrow" w:eastAsia="Times New Roman" w:hAnsi="Arial Narrow"/>
          <w:szCs w:val="20"/>
        </w:rPr>
        <w:t xml:space="preserve">. </w:t>
      </w:r>
    </w:p>
    <w:p w14:paraId="61A67CE5" w14:textId="655BA9E7"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vzhľadom k stanoveným cieľom a očakávaným výstupom projektu </w:t>
      </w:r>
      <w:r>
        <w:rPr>
          <w:rFonts w:ascii="Arial Narrow" w:eastAsia="Times New Roman" w:hAnsi="Arial Narrow"/>
          <w:b/>
          <w:szCs w:val="20"/>
        </w:rPr>
        <w:t>v rozsahu menej ako 70 %</w:t>
      </w:r>
      <w:r>
        <w:rPr>
          <w:rFonts w:ascii="Arial Narrow" w:eastAsia="Times New Roman" w:hAnsi="Arial Narrow"/>
          <w:szCs w:val="20"/>
        </w:rPr>
        <w:t xml:space="preserve"> z celkových oprávnených výdavkov, označí „</w:t>
      </w:r>
      <w:r>
        <w:rPr>
          <w:rFonts w:ascii="Arial Narrow" w:eastAsia="Times New Roman" w:hAnsi="Arial Narrow"/>
          <w:b/>
          <w:szCs w:val="20"/>
        </w:rPr>
        <w:t>nie</w:t>
      </w:r>
      <w:r>
        <w:rPr>
          <w:rFonts w:ascii="Arial Narrow" w:eastAsia="Times New Roman" w:hAnsi="Arial Narrow"/>
          <w:szCs w:val="20"/>
        </w:rPr>
        <w:t xml:space="preserve">“. </w:t>
      </w:r>
    </w:p>
    <w:p w14:paraId="77C3DE6D" w14:textId="77777777" w:rsidR="00F50388" w:rsidRDefault="00F50388" w:rsidP="00F50388">
      <w:pPr>
        <w:spacing w:after="12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p w14:paraId="1CEC31A3" w14:textId="32AA6253" w:rsidR="00F53CF8" w:rsidRDefault="00F53CF8" w:rsidP="00BC321E">
      <w:pPr>
        <w:tabs>
          <w:tab w:val="left" w:pos="0"/>
        </w:tabs>
        <w:spacing w:before="120" w:after="120" w:line="276" w:lineRule="auto"/>
        <w:jc w:val="both"/>
        <w:rPr>
          <w:rFonts w:ascii="Arial Narrow" w:eastAsia="Helvetica" w:hAnsi="Arial Narrow" w:cs="Arial"/>
          <w:color w:val="000000" w:themeColor="text1"/>
        </w:rPr>
      </w:pPr>
      <w:r>
        <w:rPr>
          <w:rFonts w:ascii="Arial Narrow" w:eastAsia="Times New Roman" w:hAnsi="Arial Narrow"/>
        </w:rPr>
        <w:lastRenderedPageBreak/>
        <w:t>Poznámka</w:t>
      </w:r>
      <w:r>
        <w:rPr>
          <w:rFonts w:ascii="Arial Narrow" w:eastAsia="Times New Roman" w:hAnsi="Arial Narrow"/>
          <w:b/>
        </w:rPr>
        <w:t>:</w:t>
      </w:r>
      <w:r>
        <w:rPr>
          <w:rFonts w:ascii="Arial Narrow" w:eastAsia="Times New Roman" w:hAnsi="Arial Narrow"/>
        </w:rPr>
        <w:t xml:space="preserve"> </w:t>
      </w:r>
      <w:r>
        <w:rPr>
          <w:rFonts w:ascii="Arial Narrow" w:eastAsia="Times New Roman" w:hAnsi="Arial Narrow"/>
          <w:szCs w:val="20"/>
        </w:rPr>
        <w:t xml:space="preserve">V prípade identifikácie neoprávnených výdavkov projektu hodnotiteľ v procese odborného hodnotenia výšku priamych výdavkov projektu (hlavných aktivít) adekvátne zníži, a zároveň poníži aj nepriame výdavky (podporných aktivít), tak, aby ich </w:t>
      </w:r>
      <w:r w:rsidRPr="00EE694F">
        <w:rPr>
          <w:rFonts w:ascii="Arial Narrow" w:eastAsia="Times New Roman" w:hAnsi="Arial Narrow"/>
          <w:b/>
          <w:szCs w:val="20"/>
        </w:rPr>
        <w:t>výška neprekročila 7 % z celkových priamych výdavkov</w:t>
      </w:r>
      <w:r>
        <w:rPr>
          <w:rFonts w:ascii="Arial Narrow" w:eastAsia="Times New Roman" w:hAnsi="Arial Narrow"/>
          <w:szCs w:val="20"/>
        </w:rPr>
        <w:t xml:space="preserve"> v zmysle riadiacej dokumentácie/výzvy. </w:t>
      </w:r>
    </w:p>
    <w:p w14:paraId="5F0AAC03" w14:textId="77777777" w:rsidR="00F53CF8" w:rsidRDefault="00F53CF8" w:rsidP="00802B73">
      <w:pPr>
        <w:jc w:val="both"/>
        <w:rPr>
          <w:rFonts w:ascii="Arial Narrow" w:eastAsia="Helvetica" w:hAnsi="Arial Narrow" w:cs="Arial"/>
          <w:color w:val="000000" w:themeColor="text1"/>
        </w:rPr>
      </w:pPr>
    </w:p>
    <w:p w14:paraId="2DAEF2F2" w14:textId="77777777" w:rsidR="00F53CF8" w:rsidRDefault="00F53CF8" w:rsidP="00802B73">
      <w:pPr>
        <w:jc w:val="both"/>
        <w:rPr>
          <w:rFonts w:ascii="Arial Narrow" w:eastAsia="Helvetica" w:hAnsi="Arial Narrow" w:cs="Arial"/>
          <w:color w:val="000000" w:themeColor="text1"/>
        </w:rPr>
      </w:pPr>
    </w:p>
    <w:sectPr w:rsidR="00F53CF8" w:rsidSect="00BC321E">
      <w:footerReference w:type="default" r:id="rId9"/>
      <w:headerReference w:type="first" r:id="rId10"/>
      <w:footerReference w:type="first" r:id="rId11"/>
      <w:pgSz w:w="16838" w:h="11906" w:orient="landscape"/>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81CF" w14:textId="77777777" w:rsidR="005F54AD" w:rsidRDefault="005F54AD" w:rsidP="006447D5">
      <w:pPr>
        <w:spacing w:after="0" w:line="240" w:lineRule="auto"/>
      </w:pPr>
      <w:r>
        <w:separator/>
      </w:r>
    </w:p>
  </w:endnote>
  <w:endnote w:type="continuationSeparator" w:id="0">
    <w:p w14:paraId="1F740A39" w14:textId="77777777" w:rsidR="005F54AD" w:rsidRDefault="005F54AD"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489AD985" w:rsidR="00900A28" w:rsidRDefault="00900A28">
        <w:pPr>
          <w:pStyle w:val="Pta"/>
          <w:jc w:val="right"/>
        </w:pPr>
        <w:r>
          <w:fldChar w:fldCharType="begin"/>
        </w:r>
        <w:r>
          <w:instrText xml:space="preserve"> PAGE   \* MERGEFORMAT </w:instrText>
        </w:r>
        <w:r>
          <w:fldChar w:fldCharType="separate"/>
        </w:r>
        <w:r w:rsidR="00616F33">
          <w:rPr>
            <w:noProof/>
          </w:rPr>
          <w:t>2</w:t>
        </w:r>
        <w:r>
          <w:rPr>
            <w:noProof/>
          </w:rPr>
          <w:fldChar w:fldCharType="end"/>
        </w:r>
      </w:p>
    </w:sdtContent>
  </w:sdt>
  <w:p w14:paraId="6FA893C8" w14:textId="77777777" w:rsidR="00900A28" w:rsidRDefault="00900A2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1A65E67C" w:rsidR="00900A28" w:rsidRDefault="00900A28">
        <w:pPr>
          <w:pStyle w:val="Pta"/>
          <w:jc w:val="right"/>
        </w:pPr>
        <w:r>
          <w:fldChar w:fldCharType="begin"/>
        </w:r>
        <w:r>
          <w:instrText>PAGE   \* MERGEFORMAT</w:instrText>
        </w:r>
        <w:r>
          <w:fldChar w:fldCharType="separate"/>
        </w:r>
        <w:r w:rsidR="00616F33">
          <w:rPr>
            <w:noProof/>
          </w:rPr>
          <w:t>1</w:t>
        </w:r>
        <w:r>
          <w:fldChar w:fldCharType="end"/>
        </w:r>
      </w:p>
    </w:sdtContent>
  </w:sdt>
  <w:p w14:paraId="67647B08" w14:textId="77777777" w:rsidR="00900A28" w:rsidRDefault="00900A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6656" w14:textId="77777777" w:rsidR="005F54AD" w:rsidRDefault="005F54AD" w:rsidP="006447D5">
      <w:pPr>
        <w:spacing w:after="0" w:line="240" w:lineRule="auto"/>
      </w:pPr>
      <w:r>
        <w:separator/>
      </w:r>
    </w:p>
  </w:footnote>
  <w:footnote w:type="continuationSeparator" w:id="0">
    <w:p w14:paraId="4AE504FD" w14:textId="77777777" w:rsidR="005F54AD" w:rsidRDefault="005F54AD" w:rsidP="006447D5">
      <w:pPr>
        <w:spacing w:after="0" w:line="240" w:lineRule="auto"/>
      </w:pPr>
      <w:r>
        <w:continuationSeparator/>
      </w:r>
    </w:p>
  </w:footnote>
  <w:footnote w:id="1">
    <w:p w14:paraId="0A604434" w14:textId="21E4DF94" w:rsidR="00F50388" w:rsidRDefault="00F50388">
      <w:pPr>
        <w:pStyle w:val="Textpoznmkypodiarou"/>
      </w:pPr>
      <w:r>
        <w:rPr>
          <w:rStyle w:val="Odkaznapoznmkupodiarou"/>
        </w:rPr>
        <w:footnoteRef/>
      </w:r>
      <w:r>
        <w:t xml:space="preserve"> </w:t>
      </w:r>
      <w:hyperlink r:id="rId1" w:history="1">
        <w:r w:rsidRPr="00A03640">
          <w:rPr>
            <w:rStyle w:val="Hypertextovprepojenie"/>
            <w:rFonts w:ascii="Arial Narrow" w:hAnsi="Arial Narrow"/>
          </w:rPr>
          <w:t>https://www.eurofondy.gov.sk/index.html</w:t>
        </w:r>
      </w:hyperlink>
      <w:r>
        <w:rPr>
          <w:rFonts w:ascii="Arial Narrow" w:hAnsi="Arial Narrow"/>
        </w:rPr>
        <w:t xml:space="preserve"> </w:t>
      </w:r>
    </w:p>
  </w:footnote>
  <w:footnote w:id="2">
    <w:p w14:paraId="22933411" w14:textId="24E6DD48" w:rsidR="00BC321E" w:rsidRDefault="00BC321E" w:rsidP="00BC321E">
      <w:pPr>
        <w:pStyle w:val="Textpoznmkypodiarou"/>
        <w:jc w:val="both"/>
      </w:pPr>
      <w:r>
        <w:rPr>
          <w:rStyle w:val="Odkaznapoznmkupodiarou"/>
        </w:rPr>
        <w:footnoteRef/>
      </w:r>
      <w:r>
        <w:t xml:space="preserve"> </w:t>
      </w:r>
      <w:r w:rsidRPr="00BC321E">
        <w:rPr>
          <w:rFonts w:ascii="Arial Narrow" w:hAnsi="Arial Narrow"/>
        </w:rPr>
        <w:t xml:space="preserve">Vecné kritéria </w:t>
      </w:r>
      <w:r w:rsidR="00DA6B0F">
        <w:rPr>
          <w:rFonts w:ascii="Arial Narrow" w:hAnsi="Arial Narrow"/>
        </w:rPr>
        <w:t xml:space="preserve">môžu byť </w:t>
      </w:r>
      <w:r w:rsidR="00CC2E3C" w:rsidRPr="00CC2E3C">
        <w:rPr>
          <w:rFonts w:ascii="Arial Narrow" w:hAnsi="Arial Narrow"/>
        </w:rPr>
        <w:t>vylučujúce kritériá, bodované kritériá a výberové kritériá</w:t>
      </w:r>
      <w:r w:rsidRPr="00BC321E">
        <w:rPr>
          <w:rFonts w:ascii="Arial Narrow" w:hAnsi="Arial Narrow"/>
        </w:rPr>
        <w:t xml:space="preserve"> vypracované</w:t>
      </w:r>
      <w:r w:rsidR="00CC2E3C">
        <w:rPr>
          <w:rFonts w:ascii="Arial Narrow" w:hAnsi="Arial Narrow"/>
        </w:rPr>
        <w:t xml:space="preserve"> </w:t>
      </w:r>
      <w:r w:rsidRPr="00BC321E">
        <w:rPr>
          <w:rFonts w:ascii="Arial Narrow" w:hAnsi="Arial Narrow"/>
        </w:rPr>
        <w:t>v zmysle dokument</w:t>
      </w:r>
      <w:r w:rsidR="00CC2E3C">
        <w:rPr>
          <w:rFonts w:ascii="Arial Narrow" w:hAnsi="Arial Narrow"/>
        </w:rPr>
        <w:t>u</w:t>
      </w:r>
      <w:r w:rsidRPr="00BC321E">
        <w:rPr>
          <w:rFonts w:ascii="Arial Narrow" w:hAnsi="Arial Narrow"/>
        </w:rPr>
        <w:t xml:space="preserve"> </w:t>
      </w:r>
      <w:r w:rsidRPr="00BC321E">
        <w:rPr>
          <w:rFonts w:ascii="Arial Narrow" w:hAnsi="Arial Narrow"/>
          <w:b/>
        </w:rPr>
        <w:t>„Všeobecná metodika a kritérií použitých pre výber projektov</w:t>
      </w:r>
      <w:r>
        <w:rPr>
          <w:rFonts w:ascii="Arial Narrow" w:hAnsi="Arial Narrow"/>
        </w:rPr>
        <w:t>“</w:t>
      </w:r>
      <w:r w:rsidR="00EE694F">
        <w:rPr>
          <w:rFonts w:ascii="Arial Narrow" w:hAnsi="Arial Narrow"/>
        </w:rPr>
        <w:t>.</w:t>
      </w:r>
      <w:r w:rsidR="00CC2E3C">
        <w:rPr>
          <w:rFonts w:ascii="Arial Narrow" w:hAnsi="Arial Narrow"/>
        </w:rPr>
        <w:t xml:space="preserve"> </w:t>
      </w:r>
    </w:p>
  </w:footnote>
  <w:footnote w:id="3">
    <w:p w14:paraId="51004352" w14:textId="35C5CE5A" w:rsidR="00CB4106" w:rsidRDefault="00CB4106" w:rsidP="00CB4106">
      <w:pPr>
        <w:pStyle w:val="Textpoznmkypodiarou"/>
      </w:pPr>
      <w:r>
        <w:rPr>
          <w:rStyle w:val="Odkaznapoznmkupodiarou"/>
        </w:rPr>
        <w:footnoteRef/>
      </w:r>
      <w:r>
        <w:t xml:space="preserve"> </w:t>
      </w:r>
      <w:r w:rsidRPr="005B6A16">
        <w:rPr>
          <w:rFonts w:ascii="Arial Narrow" w:hAnsi="Arial Narrow"/>
        </w:rPr>
        <w:t xml:space="preserve">Ministerstvo investícií, regionálneho rozvoja a informatizácie Slovenskej republiky na základe </w:t>
      </w:r>
      <w:r>
        <w:rPr>
          <w:rFonts w:ascii="Arial Narrow" w:hAnsi="Arial Narrow"/>
        </w:rPr>
        <w:t>U</w:t>
      </w:r>
      <w:r w:rsidRPr="005B6A16">
        <w:rPr>
          <w:rFonts w:ascii="Arial Narrow" w:hAnsi="Arial Narrow"/>
        </w:rPr>
        <w:t>zn</w:t>
      </w:r>
      <w:r>
        <w:rPr>
          <w:rFonts w:ascii="Arial Narrow" w:hAnsi="Arial Narrow"/>
        </w:rPr>
        <w:t>e</w:t>
      </w:r>
      <w:r w:rsidRPr="005B6A16">
        <w:rPr>
          <w:rFonts w:ascii="Arial Narrow" w:hAnsi="Arial Narrow"/>
        </w:rPr>
        <w:t>senia vlá</w:t>
      </w:r>
      <w:r>
        <w:rPr>
          <w:rFonts w:ascii="Arial Narrow" w:hAnsi="Arial Narrow"/>
        </w:rPr>
        <w:t>d</w:t>
      </w:r>
      <w:r w:rsidRPr="005B6A16">
        <w:rPr>
          <w:rFonts w:ascii="Arial Narrow" w:hAnsi="Arial Narrow"/>
        </w:rPr>
        <w:t>y</w:t>
      </w:r>
      <w:r>
        <w:rPr>
          <w:rFonts w:ascii="Arial Narrow" w:hAnsi="Arial Narrow"/>
        </w:rPr>
        <w:t xml:space="preserve"> č. 329/2020 Z. z.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D25C" w14:textId="01B6E533" w:rsidR="00900A28" w:rsidRDefault="00900A28" w:rsidP="00D81429">
    <w:pPr>
      <w:pStyle w:val="Hlavika"/>
    </w:pPr>
    <w:r>
      <w:rPr>
        <w:b/>
        <w:noProof/>
        <w:color w:val="000000" w:themeColor="text1"/>
        <w:sz w:val="20"/>
        <w:szCs w:val="20"/>
        <w:lang w:eastAsia="sk-SK"/>
      </w:rPr>
      <w:drawing>
        <wp:anchor distT="0" distB="0" distL="114300" distR="114300" simplePos="0" relativeHeight="251659264" behindDoc="0" locked="0" layoutInCell="1" allowOverlap="1" wp14:anchorId="3DD8D64F" wp14:editId="5DB3000B">
          <wp:simplePos x="0" y="0"/>
          <wp:positionH relativeFrom="margin">
            <wp:posOffset>4304279</wp:posOffset>
          </wp:positionH>
          <wp:positionV relativeFrom="margin">
            <wp:posOffset>-659958</wp:posOffset>
          </wp:positionV>
          <wp:extent cx="1192695" cy="989772"/>
          <wp:effectExtent l="0" t="0" r="7620" b="1270"/>
          <wp:wrapSquare wrapText="bothSides"/>
          <wp:docPr id="13" name="Obrázok 1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3DD7B2F9" wp14:editId="3618E89B">
          <wp:extent cx="1877695" cy="499745"/>
          <wp:effectExtent l="0" t="0" r="8255"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rsidRPr="008D5FF3">
      <w:rPr>
        <w:noProof/>
        <w:lang w:eastAsia="sk-SK"/>
      </w:rPr>
      <w:drawing>
        <wp:anchor distT="0" distB="0" distL="114300" distR="114300" simplePos="0" relativeHeight="251657216" behindDoc="1" locked="0" layoutInCell="1" allowOverlap="1" wp14:anchorId="074FB06F" wp14:editId="34388A7C">
          <wp:simplePos x="0" y="0"/>
          <wp:positionH relativeFrom="column">
            <wp:posOffset>7720330</wp:posOffset>
          </wp:positionH>
          <wp:positionV relativeFrom="paragraph">
            <wp:posOffset>52705</wp:posOffset>
          </wp:positionV>
          <wp:extent cx="1638935" cy="459740"/>
          <wp:effectExtent l="0" t="0" r="0" b="0"/>
          <wp:wrapTight wrapText="bothSides">
            <wp:wrapPolygon edited="0">
              <wp:start x="0" y="0"/>
              <wp:lineTo x="0" y="20586"/>
              <wp:lineTo x="21341" y="20586"/>
              <wp:lineTo x="21341" y="0"/>
              <wp:lineTo x="0" y="0"/>
            </wp:wrapPolygon>
          </wp:wrapTight>
          <wp:docPr id="15" name="Obrázok 15"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727BE949" w14:textId="66706A9D" w:rsidR="00900A28" w:rsidRDefault="00900A28" w:rsidP="002477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9E04BC"/>
    <w:multiLevelType w:val="hybridMultilevel"/>
    <w:tmpl w:val="F772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EA4DD6"/>
    <w:multiLevelType w:val="hybridMultilevel"/>
    <w:tmpl w:val="5914E7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7D5565"/>
    <w:multiLevelType w:val="hybridMultilevel"/>
    <w:tmpl w:val="B492C0C2"/>
    <w:lvl w:ilvl="0" w:tplc="B246D382">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0" w15:restartNumberingAfterBreak="0">
    <w:nsid w:val="2D891CFA"/>
    <w:multiLevelType w:val="hybridMultilevel"/>
    <w:tmpl w:val="4DE824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0542911"/>
    <w:multiLevelType w:val="hybridMultilevel"/>
    <w:tmpl w:val="A51E1AE0"/>
    <w:lvl w:ilvl="0" w:tplc="7A56AC1E">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6"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05623B"/>
    <w:multiLevelType w:val="hybridMultilevel"/>
    <w:tmpl w:val="76BED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11A66"/>
    <w:multiLevelType w:val="hybridMultilevel"/>
    <w:tmpl w:val="A80E8CD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1"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B750E5F"/>
    <w:multiLevelType w:val="hybridMultilevel"/>
    <w:tmpl w:val="37FABA92"/>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72550"/>
    <w:multiLevelType w:val="hybridMultilevel"/>
    <w:tmpl w:val="5CA6A7E6"/>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C62740"/>
    <w:multiLevelType w:val="hybridMultilevel"/>
    <w:tmpl w:val="0E3EDF7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DE0B3A"/>
    <w:multiLevelType w:val="hybridMultilevel"/>
    <w:tmpl w:val="CB145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05EC6"/>
    <w:multiLevelType w:val="hybridMultilevel"/>
    <w:tmpl w:val="39C6DEA2"/>
    <w:lvl w:ilvl="0" w:tplc="884AFD1A">
      <w:numFmt w:val="bullet"/>
      <w:lvlText w:val="-"/>
      <w:lvlJc w:val="left"/>
      <w:pPr>
        <w:ind w:left="720" w:hanging="360"/>
      </w:pPr>
      <w:rPr>
        <w:rFonts w:ascii="Calibri" w:eastAsiaTheme="minorHAns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482D5E"/>
    <w:multiLevelType w:val="hybridMultilevel"/>
    <w:tmpl w:val="4976C6C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5DB5308"/>
    <w:multiLevelType w:val="hybridMultilevel"/>
    <w:tmpl w:val="10DC442C"/>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6"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8"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42"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EB81D96"/>
    <w:multiLevelType w:val="hybridMultilevel"/>
    <w:tmpl w:val="94E45BCC"/>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num w:numId="1">
    <w:abstractNumId w:val="21"/>
  </w:num>
  <w:num w:numId="2">
    <w:abstractNumId w:val="4"/>
  </w:num>
  <w:num w:numId="3">
    <w:abstractNumId w:val="0"/>
  </w:num>
  <w:num w:numId="4">
    <w:abstractNumId w:val="39"/>
  </w:num>
  <w:num w:numId="5">
    <w:abstractNumId w:val="40"/>
  </w:num>
  <w:num w:numId="6">
    <w:abstractNumId w:val="8"/>
  </w:num>
  <w:num w:numId="7">
    <w:abstractNumId w:val="37"/>
  </w:num>
  <w:num w:numId="8">
    <w:abstractNumId w:val="13"/>
  </w:num>
  <w:num w:numId="9">
    <w:abstractNumId w:val="14"/>
  </w:num>
  <w:num w:numId="10">
    <w:abstractNumId w:val="5"/>
  </w:num>
  <w:num w:numId="11">
    <w:abstractNumId w:val="23"/>
  </w:num>
  <w:num w:numId="12">
    <w:abstractNumId w:val="19"/>
  </w:num>
  <w:num w:numId="13">
    <w:abstractNumId w:val="36"/>
  </w:num>
  <w:num w:numId="14">
    <w:abstractNumId w:val="27"/>
  </w:num>
  <w:num w:numId="15">
    <w:abstractNumId w:val="16"/>
  </w:num>
  <w:num w:numId="16">
    <w:abstractNumId w:val="12"/>
  </w:num>
  <w:num w:numId="17">
    <w:abstractNumId w:val="25"/>
  </w:num>
  <w:num w:numId="18">
    <w:abstractNumId w:val="38"/>
  </w:num>
  <w:num w:numId="19">
    <w:abstractNumId w:val="34"/>
  </w:num>
  <w:num w:numId="20">
    <w:abstractNumId w:val="3"/>
  </w:num>
  <w:num w:numId="21">
    <w:abstractNumId w:val="2"/>
  </w:num>
  <w:num w:numId="22">
    <w:abstractNumId w:val="42"/>
  </w:num>
  <w:num w:numId="23">
    <w:abstractNumId w:val="7"/>
  </w:num>
  <w:num w:numId="24">
    <w:abstractNumId w:val="42"/>
  </w:num>
  <w:num w:numId="25">
    <w:abstractNumId w:val="2"/>
  </w:num>
  <w:num w:numId="26">
    <w:abstractNumId w:val="7"/>
  </w:num>
  <w:num w:numId="27">
    <w:abstractNumId w:val="6"/>
  </w:num>
  <w:num w:numId="28">
    <w:abstractNumId w:val="35"/>
  </w:num>
  <w:num w:numId="29">
    <w:abstractNumId w:val="32"/>
  </w:num>
  <w:num w:numId="30">
    <w:abstractNumId w:val="41"/>
  </w:num>
  <w:num w:numId="31">
    <w:abstractNumId w:val="28"/>
  </w:num>
  <w:num w:numId="32">
    <w:abstractNumId w:val="22"/>
  </w:num>
  <w:num w:numId="33">
    <w:abstractNumId w:val="33"/>
  </w:num>
  <w:num w:numId="34">
    <w:abstractNumId w:val="29"/>
  </w:num>
  <w:num w:numId="35">
    <w:abstractNumId w:val="26"/>
  </w:num>
  <w:num w:numId="36">
    <w:abstractNumId w:val="11"/>
  </w:num>
  <w:num w:numId="37">
    <w:abstractNumId w:val="31"/>
  </w:num>
  <w:num w:numId="38">
    <w:abstractNumId w:val="30"/>
  </w:num>
  <w:num w:numId="39">
    <w:abstractNumId w:val="24"/>
  </w:num>
  <w:num w:numId="40">
    <w:abstractNumId w:val="1"/>
  </w:num>
  <w:num w:numId="41">
    <w:abstractNumId w:val="17"/>
  </w:num>
  <w:num w:numId="42">
    <w:abstractNumId w:val="20"/>
  </w:num>
  <w:num w:numId="43">
    <w:abstractNumId w:val="43"/>
  </w:num>
  <w:num w:numId="44">
    <w:abstractNumId w:val="15"/>
  </w:num>
  <w:num w:numId="45">
    <w:abstractNumId w:val="9"/>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4979"/>
    <w:rsid w:val="0001588A"/>
    <w:rsid w:val="0001660D"/>
    <w:rsid w:val="000166D8"/>
    <w:rsid w:val="000213D4"/>
    <w:rsid w:val="0002200D"/>
    <w:rsid w:val="00023644"/>
    <w:rsid w:val="00023B1F"/>
    <w:rsid w:val="0002506C"/>
    <w:rsid w:val="00027084"/>
    <w:rsid w:val="00032EAB"/>
    <w:rsid w:val="00033031"/>
    <w:rsid w:val="000346F8"/>
    <w:rsid w:val="0003655E"/>
    <w:rsid w:val="00043650"/>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20CC"/>
    <w:rsid w:val="00072E07"/>
    <w:rsid w:val="0007302B"/>
    <w:rsid w:val="00073386"/>
    <w:rsid w:val="00077913"/>
    <w:rsid w:val="0008016F"/>
    <w:rsid w:val="0008224F"/>
    <w:rsid w:val="00086CF2"/>
    <w:rsid w:val="0008777E"/>
    <w:rsid w:val="00091FCA"/>
    <w:rsid w:val="000933BD"/>
    <w:rsid w:val="000944CC"/>
    <w:rsid w:val="00094552"/>
    <w:rsid w:val="000956D6"/>
    <w:rsid w:val="00097647"/>
    <w:rsid w:val="000A1944"/>
    <w:rsid w:val="000A2E58"/>
    <w:rsid w:val="000A5118"/>
    <w:rsid w:val="000A74C2"/>
    <w:rsid w:val="000A7A36"/>
    <w:rsid w:val="000B046D"/>
    <w:rsid w:val="000B1F02"/>
    <w:rsid w:val="000B271E"/>
    <w:rsid w:val="000B32CB"/>
    <w:rsid w:val="000B3549"/>
    <w:rsid w:val="000B38D8"/>
    <w:rsid w:val="000B61D8"/>
    <w:rsid w:val="000B64B3"/>
    <w:rsid w:val="000C0810"/>
    <w:rsid w:val="000C159E"/>
    <w:rsid w:val="000C54F9"/>
    <w:rsid w:val="000C7A67"/>
    <w:rsid w:val="000D28B0"/>
    <w:rsid w:val="000D3F5F"/>
    <w:rsid w:val="000D6B13"/>
    <w:rsid w:val="000E2F43"/>
    <w:rsid w:val="000E47C9"/>
    <w:rsid w:val="000E4973"/>
    <w:rsid w:val="000F067F"/>
    <w:rsid w:val="000F1331"/>
    <w:rsid w:val="00107DC2"/>
    <w:rsid w:val="0011209D"/>
    <w:rsid w:val="00112DDE"/>
    <w:rsid w:val="00112E50"/>
    <w:rsid w:val="00114339"/>
    <w:rsid w:val="00116456"/>
    <w:rsid w:val="00120081"/>
    <w:rsid w:val="001206CD"/>
    <w:rsid w:val="00120768"/>
    <w:rsid w:val="00121ED9"/>
    <w:rsid w:val="00122631"/>
    <w:rsid w:val="00122EF7"/>
    <w:rsid w:val="0012573E"/>
    <w:rsid w:val="001266A0"/>
    <w:rsid w:val="0012785C"/>
    <w:rsid w:val="0013048D"/>
    <w:rsid w:val="0013495A"/>
    <w:rsid w:val="0013534B"/>
    <w:rsid w:val="0013600D"/>
    <w:rsid w:val="00142FD9"/>
    <w:rsid w:val="001445C0"/>
    <w:rsid w:val="001464D5"/>
    <w:rsid w:val="001502C2"/>
    <w:rsid w:val="00150A1A"/>
    <w:rsid w:val="00150B3D"/>
    <w:rsid w:val="0015422F"/>
    <w:rsid w:val="001548DC"/>
    <w:rsid w:val="00160A59"/>
    <w:rsid w:val="00170C4D"/>
    <w:rsid w:val="00170DDE"/>
    <w:rsid w:val="001714EF"/>
    <w:rsid w:val="00173475"/>
    <w:rsid w:val="0017387F"/>
    <w:rsid w:val="001769BC"/>
    <w:rsid w:val="001816FF"/>
    <w:rsid w:val="00182222"/>
    <w:rsid w:val="001834B3"/>
    <w:rsid w:val="00184F74"/>
    <w:rsid w:val="0018641E"/>
    <w:rsid w:val="00186AB8"/>
    <w:rsid w:val="00187084"/>
    <w:rsid w:val="00187338"/>
    <w:rsid w:val="00187E8D"/>
    <w:rsid w:val="001908AE"/>
    <w:rsid w:val="00192A08"/>
    <w:rsid w:val="001A0BEE"/>
    <w:rsid w:val="001A24A8"/>
    <w:rsid w:val="001A2F8D"/>
    <w:rsid w:val="001A36FB"/>
    <w:rsid w:val="001A5E4F"/>
    <w:rsid w:val="001B3DF2"/>
    <w:rsid w:val="001B3ED7"/>
    <w:rsid w:val="001C000E"/>
    <w:rsid w:val="001C1F44"/>
    <w:rsid w:val="001C53AD"/>
    <w:rsid w:val="001C66E1"/>
    <w:rsid w:val="001C7563"/>
    <w:rsid w:val="001D0B8B"/>
    <w:rsid w:val="001D0E10"/>
    <w:rsid w:val="001D15EF"/>
    <w:rsid w:val="001D1854"/>
    <w:rsid w:val="001D1A22"/>
    <w:rsid w:val="001E10C6"/>
    <w:rsid w:val="001E6A35"/>
    <w:rsid w:val="001F0938"/>
    <w:rsid w:val="001F618A"/>
    <w:rsid w:val="002005B6"/>
    <w:rsid w:val="002028E6"/>
    <w:rsid w:val="00202906"/>
    <w:rsid w:val="00206A9C"/>
    <w:rsid w:val="00211DBE"/>
    <w:rsid w:val="00212F85"/>
    <w:rsid w:val="00216DE1"/>
    <w:rsid w:val="00217790"/>
    <w:rsid w:val="00221D29"/>
    <w:rsid w:val="0022447A"/>
    <w:rsid w:val="00226709"/>
    <w:rsid w:val="00235D7A"/>
    <w:rsid w:val="00237713"/>
    <w:rsid w:val="00237B06"/>
    <w:rsid w:val="00237DA6"/>
    <w:rsid w:val="00240572"/>
    <w:rsid w:val="00240B10"/>
    <w:rsid w:val="002419C8"/>
    <w:rsid w:val="00241F1A"/>
    <w:rsid w:val="002456FD"/>
    <w:rsid w:val="002462D4"/>
    <w:rsid w:val="002477AE"/>
    <w:rsid w:val="0025168C"/>
    <w:rsid w:val="002526E6"/>
    <w:rsid w:val="00255483"/>
    <w:rsid w:val="00256580"/>
    <w:rsid w:val="002573C6"/>
    <w:rsid w:val="002573EA"/>
    <w:rsid w:val="00257B9A"/>
    <w:rsid w:val="00260B63"/>
    <w:rsid w:val="00262784"/>
    <w:rsid w:val="00264DCC"/>
    <w:rsid w:val="002664EC"/>
    <w:rsid w:val="0026684D"/>
    <w:rsid w:val="002701AB"/>
    <w:rsid w:val="00273A47"/>
    <w:rsid w:val="00275344"/>
    <w:rsid w:val="00275CCF"/>
    <w:rsid w:val="0027669C"/>
    <w:rsid w:val="00276C10"/>
    <w:rsid w:val="00281453"/>
    <w:rsid w:val="00281C01"/>
    <w:rsid w:val="0028704D"/>
    <w:rsid w:val="00293720"/>
    <w:rsid w:val="002942EF"/>
    <w:rsid w:val="00295AC2"/>
    <w:rsid w:val="00295F74"/>
    <w:rsid w:val="002968EE"/>
    <w:rsid w:val="00296F2B"/>
    <w:rsid w:val="00297E2A"/>
    <w:rsid w:val="002A0F60"/>
    <w:rsid w:val="002A2C37"/>
    <w:rsid w:val="002A4A08"/>
    <w:rsid w:val="002A7ABB"/>
    <w:rsid w:val="002B2A27"/>
    <w:rsid w:val="002B3A18"/>
    <w:rsid w:val="002B4BB6"/>
    <w:rsid w:val="002B5816"/>
    <w:rsid w:val="002B5ACF"/>
    <w:rsid w:val="002B7238"/>
    <w:rsid w:val="002B7D3A"/>
    <w:rsid w:val="002C06FE"/>
    <w:rsid w:val="002C1952"/>
    <w:rsid w:val="002C42E4"/>
    <w:rsid w:val="002C58C1"/>
    <w:rsid w:val="002C6CF7"/>
    <w:rsid w:val="002D0E71"/>
    <w:rsid w:val="002D30EF"/>
    <w:rsid w:val="002D5412"/>
    <w:rsid w:val="002D56BC"/>
    <w:rsid w:val="002D65E5"/>
    <w:rsid w:val="002E14A5"/>
    <w:rsid w:val="002E24F1"/>
    <w:rsid w:val="002E29ED"/>
    <w:rsid w:val="002E4D51"/>
    <w:rsid w:val="002E7672"/>
    <w:rsid w:val="002E7AA3"/>
    <w:rsid w:val="002F07B1"/>
    <w:rsid w:val="002F1329"/>
    <w:rsid w:val="002F40AF"/>
    <w:rsid w:val="002F5C49"/>
    <w:rsid w:val="002F70FE"/>
    <w:rsid w:val="00300350"/>
    <w:rsid w:val="00300639"/>
    <w:rsid w:val="00300E44"/>
    <w:rsid w:val="003014A7"/>
    <w:rsid w:val="00303C57"/>
    <w:rsid w:val="00303C85"/>
    <w:rsid w:val="003056AD"/>
    <w:rsid w:val="00306FEF"/>
    <w:rsid w:val="00307EB6"/>
    <w:rsid w:val="003131D8"/>
    <w:rsid w:val="0031467F"/>
    <w:rsid w:val="0031563E"/>
    <w:rsid w:val="00315651"/>
    <w:rsid w:val="0031690C"/>
    <w:rsid w:val="00320798"/>
    <w:rsid w:val="003217EE"/>
    <w:rsid w:val="00322B2E"/>
    <w:rsid w:val="003247A0"/>
    <w:rsid w:val="00325032"/>
    <w:rsid w:val="003269E1"/>
    <w:rsid w:val="003275BE"/>
    <w:rsid w:val="0033172C"/>
    <w:rsid w:val="003320FE"/>
    <w:rsid w:val="00332619"/>
    <w:rsid w:val="00333D87"/>
    <w:rsid w:val="00336872"/>
    <w:rsid w:val="00342030"/>
    <w:rsid w:val="003429C1"/>
    <w:rsid w:val="00343C4B"/>
    <w:rsid w:val="0034591B"/>
    <w:rsid w:val="00347061"/>
    <w:rsid w:val="00347286"/>
    <w:rsid w:val="003509D1"/>
    <w:rsid w:val="00351DFF"/>
    <w:rsid w:val="00351E7A"/>
    <w:rsid w:val="00361036"/>
    <w:rsid w:val="003627FB"/>
    <w:rsid w:val="003631E5"/>
    <w:rsid w:val="00363243"/>
    <w:rsid w:val="00365365"/>
    <w:rsid w:val="00365AF1"/>
    <w:rsid w:val="00367E50"/>
    <w:rsid w:val="003734EE"/>
    <w:rsid w:val="003735F8"/>
    <w:rsid w:val="003751DB"/>
    <w:rsid w:val="003761E9"/>
    <w:rsid w:val="00376ABA"/>
    <w:rsid w:val="00376C81"/>
    <w:rsid w:val="00380BBC"/>
    <w:rsid w:val="00380C46"/>
    <w:rsid w:val="0038126D"/>
    <w:rsid w:val="00381A09"/>
    <w:rsid w:val="00384CF5"/>
    <w:rsid w:val="00384FFA"/>
    <w:rsid w:val="0038512E"/>
    <w:rsid w:val="00386033"/>
    <w:rsid w:val="00390BEE"/>
    <w:rsid w:val="00391BC9"/>
    <w:rsid w:val="00392C0B"/>
    <w:rsid w:val="00393DD9"/>
    <w:rsid w:val="003940A4"/>
    <w:rsid w:val="00396905"/>
    <w:rsid w:val="00397387"/>
    <w:rsid w:val="003A0131"/>
    <w:rsid w:val="003A0708"/>
    <w:rsid w:val="003A16B3"/>
    <w:rsid w:val="003A2126"/>
    <w:rsid w:val="003A26D2"/>
    <w:rsid w:val="003B2352"/>
    <w:rsid w:val="003B2376"/>
    <w:rsid w:val="003B32AA"/>
    <w:rsid w:val="003B43CE"/>
    <w:rsid w:val="003C0029"/>
    <w:rsid w:val="003C19C2"/>
    <w:rsid w:val="003C1E0A"/>
    <w:rsid w:val="003C3AA4"/>
    <w:rsid w:val="003C4EF8"/>
    <w:rsid w:val="003C52DC"/>
    <w:rsid w:val="003C6D55"/>
    <w:rsid w:val="003C7523"/>
    <w:rsid w:val="003C7A2D"/>
    <w:rsid w:val="003D558C"/>
    <w:rsid w:val="003D5FC2"/>
    <w:rsid w:val="003D6AF8"/>
    <w:rsid w:val="003E019C"/>
    <w:rsid w:val="003E01A4"/>
    <w:rsid w:val="003E1BA7"/>
    <w:rsid w:val="003E4BE5"/>
    <w:rsid w:val="003E555C"/>
    <w:rsid w:val="003E55DE"/>
    <w:rsid w:val="003E706F"/>
    <w:rsid w:val="003F175D"/>
    <w:rsid w:val="003F28D3"/>
    <w:rsid w:val="003F2E32"/>
    <w:rsid w:val="003F6C8E"/>
    <w:rsid w:val="003F749D"/>
    <w:rsid w:val="00401AB4"/>
    <w:rsid w:val="00402926"/>
    <w:rsid w:val="00403811"/>
    <w:rsid w:val="00404055"/>
    <w:rsid w:val="004077F0"/>
    <w:rsid w:val="00410825"/>
    <w:rsid w:val="00411130"/>
    <w:rsid w:val="00412C46"/>
    <w:rsid w:val="00412FA0"/>
    <w:rsid w:val="00413E8F"/>
    <w:rsid w:val="00415A0F"/>
    <w:rsid w:val="004204F1"/>
    <w:rsid w:val="004207A1"/>
    <w:rsid w:val="00420E07"/>
    <w:rsid w:val="00421100"/>
    <w:rsid w:val="004235BC"/>
    <w:rsid w:val="00425B49"/>
    <w:rsid w:val="004277B6"/>
    <w:rsid w:val="004303F6"/>
    <w:rsid w:val="004314A9"/>
    <w:rsid w:val="00437B87"/>
    <w:rsid w:val="00440986"/>
    <w:rsid w:val="00442D84"/>
    <w:rsid w:val="00444C2E"/>
    <w:rsid w:val="00444FCC"/>
    <w:rsid w:val="0044548E"/>
    <w:rsid w:val="00445684"/>
    <w:rsid w:val="00445704"/>
    <w:rsid w:val="004461BD"/>
    <w:rsid w:val="00447D47"/>
    <w:rsid w:val="00450852"/>
    <w:rsid w:val="00453BCE"/>
    <w:rsid w:val="00453E6F"/>
    <w:rsid w:val="00454BA6"/>
    <w:rsid w:val="00455599"/>
    <w:rsid w:val="004566D9"/>
    <w:rsid w:val="00457071"/>
    <w:rsid w:val="00460DA7"/>
    <w:rsid w:val="00461E72"/>
    <w:rsid w:val="00466376"/>
    <w:rsid w:val="00467B03"/>
    <w:rsid w:val="00471ECF"/>
    <w:rsid w:val="004732D6"/>
    <w:rsid w:val="00474047"/>
    <w:rsid w:val="0048069B"/>
    <w:rsid w:val="00480D9F"/>
    <w:rsid w:val="004847D3"/>
    <w:rsid w:val="0049086C"/>
    <w:rsid w:val="00492C48"/>
    <w:rsid w:val="004933CE"/>
    <w:rsid w:val="00493914"/>
    <w:rsid w:val="00495768"/>
    <w:rsid w:val="0049731C"/>
    <w:rsid w:val="004A0759"/>
    <w:rsid w:val="004B085A"/>
    <w:rsid w:val="004B31A8"/>
    <w:rsid w:val="004B5519"/>
    <w:rsid w:val="004B5B76"/>
    <w:rsid w:val="004B756D"/>
    <w:rsid w:val="004C15E4"/>
    <w:rsid w:val="004C222E"/>
    <w:rsid w:val="004C2866"/>
    <w:rsid w:val="004C301F"/>
    <w:rsid w:val="004D222E"/>
    <w:rsid w:val="004D366A"/>
    <w:rsid w:val="004D4DF6"/>
    <w:rsid w:val="004D655B"/>
    <w:rsid w:val="004D783F"/>
    <w:rsid w:val="004E0F21"/>
    <w:rsid w:val="004E155C"/>
    <w:rsid w:val="004E27AC"/>
    <w:rsid w:val="004E4AF7"/>
    <w:rsid w:val="004E4BEF"/>
    <w:rsid w:val="004E6F28"/>
    <w:rsid w:val="004F01E2"/>
    <w:rsid w:val="004F40BE"/>
    <w:rsid w:val="004F43AF"/>
    <w:rsid w:val="004F4B9F"/>
    <w:rsid w:val="004F5BFC"/>
    <w:rsid w:val="004F7D78"/>
    <w:rsid w:val="00503F38"/>
    <w:rsid w:val="00504909"/>
    <w:rsid w:val="00505670"/>
    <w:rsid w:val="0050633F"/>
    <w:rsid w:val="00506683"/>
    <w:rsid w:val="0051226C"/>
    <w:rsid w:val="00513559"/>
    <w:rsid w:val="00514B81"/>
    <w:rsid w:val="00516253"/>
    <w:rsid w:val="0051771A"/>
    <w:rsid w:val="00524308"/>
    <w:rsid w:val="00524762"/>
    <w:rsid w:val="005268B1"/>
    <w:rsid w:val="00527195"/>
    <w:rsid w:val="005273A4"/>
    <w:rsid w:val="00533EDA"/>
    <w:rsid w:val="00534058"/>
    <w:rsid w:val="005347BB"/>
    <w:rsid w:val="00534E85"/>
    <w:rsid w:val="0054149D"/>
    <w:rsid w:val="00542F06"/>
    <w:rsid w:val="0054484D"/>
    <w:rsid w:val="005453CA"/>
    <w:rsid w:val="0054560E"/>
    <w:rsid w:val="00546604"/>
    <w:rsid w:val="00550517"/>
    <w:rsid w:val="00550D12"/>
    <w:rsid w:val="005525F4"/>
    <w:rsid w:val="00555456"/>
    <w:rsid w:val="00560C06"/>
    <w:rsid w:val="00561444"/>
    <w:rsid w:val="00563B91"/>
    <w:rsid w:val="00564DB5"/>
    <w:rsid w:val="0057380A"/>
    <w:rsid w:val="00573A8A"/>
    <w:rsid w:val="0057652E"/>
    <w:rsid w:val="0057752F"/>
    <w:rsid w:val="00581870"/>
    <w:rsid w:val="00581A45"/>
    <w:rsid w:val="00581C5F"/>
    <w:rsid w:val="00582FCE"/>
    <w:rsid w:val="0058779E"/>
    <w:rsid w:val="0059029E"/>
    <w:rsid w:val="00591D65"/>
    <w:rsid w:val="0059209D"/>
    <w:rsid w:val="005937D6"/>
    <w:rsid w:val="00593BC5"/>
    <w:rsid w:val="0059503F"/>
    <w:rsid w:val="0059573D"/>
    <w:rsid w:val="0059586E"/>
    <w:rsid w:val="00595B20"/>
    <w:rsid w:val="00596408"/>
    <w:rsid w:val="0059761F"/>
    <w:rsid w:val="005A2A5C"/>
    <w:rsid w:val="005A6124"/>
    <w:rsid w:val="005A6C30"/>
    <w:rsid w:val="005A6CA9"/>
    <w:rsid w:val="005A793B"/>
    <w:rsid w:val="005B1EA3"/>
    <w:rsid w:val="005B3219"/>
    <w:rsid w:val="005B3578"/>
    <w:rsid w:val="005B48AF"/>
    <w:rsid w:val="005B61FE"/>
    <w:rsid w:val="005B7014"/>
    <w:rsid w:val="005C0D61"/>
    <w:rsid w:val="005C1D17"/>
    <w:rsid w:val="005C3C6B"/>
    <w:rsid w:val="005C46F2"/>
    <w:rsid w:val="005C5318"/>
    <w:rsid w:val="005C7365"/>
    <w:rsid w:val="005D281E"/>
    <w:rsid w:val="005D3A49"/>
    <w:rsid w:val="005D3DB5"/>
    <w:rsid w:val="005D6275"/>
    <w:rsid w:val="005E071B"/>
    <w:rsid w:val="005E19EB"/>
    <w:rsid w:val="005E47A1"/>
    <w:rsid w:val="005E5F54"/>
    <w:rsid w:val="005E73AB"/>
    <w:rsid w:val="005F092D"/>
    <w:rsid w:val="005F0B39"/>
    <w:rsid w:val="005F10A6"/>
    <w:rsid w:val="005F26DB"/>
    <w:rsid w:val="005F2C4C"/>
    <w:rsid w:val="005F54AD"/>
    <w:rsid w:val="005F6228"/>
    <w:rsid w:val="00600B81"/>
    <w:rsid w:val="0060370F"/>
    <w:rsid w:val="006051BA"/>
    <w:rsid w:val="00610062"/>
    <w:rsid w:val="00611A9C"/>
    <w:rsid w:val="0061310C"/>
    <w:rsid w:val="00614351"/>
    <w:rsid w:val="00615FFC"/>
    <w:rsid w:val="00616F33"/>
    <w:rsid w:val="00621733"/>
    <w:rsid w:val="00625817"/>
    <w:rsid w:val="0063370D"/>
    <w:rsid w:val="00633936"/>
    <w:rsid w:val="00633BC1"/>
    <w:rsid w:val="00634BE9"/>
    <w:rsid w:val="00634C65"/>
    <w:rsid w:val="0063565C"/>
    <w:rsid w:val="00637CBC"/>
    <w:rsid w:val="00637D4D"/>
    <w:rsid w:val="00640598"/>
    <w:rsid w:val="00643048"/>
    <w:rsid w:val="0064304C"/>
    <w:rsid w:val="006436E8"/>
    <w:rsid w:val="006447D5"/>
    <w:rsid w:val="00647DA7"/>
    <w:rsid w:val="00651070"/>
    <w:rsid w:val="006538FB"/>
    <w:rsid w:val="00654A78"/>
    <w:rsid w:val="00656A72"/>
    <w:rsid w:val="00657ECD"/>
    <w:rsid w:val="00657F4B"/>
    <w:rsid w:val="00661AF6"/>
    <w:rsid w:val="006623E1"/>
    <w:rsid w:val="0066344F"/>
    <w:rsid w:val="006639C1"/>
    <w:rsid w:val="006666B3"/>
    <w:rsid w:val="006676D8"/>
    <w:rsid w:val="0067180D"/>
    <w:rsid w:val="0067272E"/>
    <w:rsid w:val="006753CF"/>
    <w:rsid w:val="00677B16"/>
    <w:rsid w:val="00681312"/>
    <w:rsid w:val="00683495"/>
    <w:rsid w:val="00683514"/>
    <w:rsid w:val="00683692"/>
    <w:rsid w:val="0068421D"/>
    <w:rsid w:val="006853EC"/>
    <w:rsid w:val="00691593"/>
    <w:rsid w:val="006A0312"/>
    <w:rsid w:val="006A1699"/>
    <w:rsid w:val="006A373F"/>
    <w:rsid w:val="006B000A"/>
    <w:rsid w:val="006B04F3"/>
    <w:rsid w:val="006B396B"/>
    <w:rsid w:val="006B3FDE"/>
    <w:rsid w:val="006B53D9"/>
    <w:rsid w:val="006B58E1"/>
    <w:rsid w:val="006B6303"/>
    <w:rsid w:val="006B6395"/>
    <w:rsid w:val="006C0E70"/>
    <w:rsid w:val="006C2958"/>
    <w:rsid w:val="006C2CCE"/>
    <w:rsid w:val="006C38A1"/>
    <w:rsid w:val="006C5BBE"/>
    <w:rsid w:val="006D2E90"/>
    <w:rsid w:val="006D30E9"/>
    <w:rsid w:val="006D4CDB"/>
    <w:rsid w:val="006E19BA"/>
    <w:rsid w:val="006E2422"/>
    <w:rsid w:val="006E30DE"/>
    <w:rsid w:val="006E3736"/>
    <w:rsid w:val="006E3A63"/>
    <w:rsid w:val="006E526B"/>
    <w:rsid w:val="006E553D"/>
    <w:rsid w:val="006E6036"/>
    <w:rsid w:val="006E6597"/>
    <w:rsid w:val="006E67EF"/>
    <w:rsid w:val="006F0D0A"/>
    <w:rsid w:val="006F242F"/>
    <w:rsid w:val="006F283B"/>
    <w:rsid w:val="006F6E4B"/>
    <w:rsid w:val="006F757D"/>
    <w:rsid w:val="00700882"/>
    <w:rsid w:val="0070122D"/>
    <w:rsid w:val="00702081"/>
    <w:rsid w:val="00702DC2"/>
    <w:rsid w:val="0070347D"/>
    <w:rsid w:val="00703BAB"/>
    <w:rsid w:val="007046F0"/>
    <w:rsid w:val="00707263"/>
    <w:rsid w:val="00715515"/>
    <w:rsid w:val="00715E12"/>
    <w:rsid w:val="00715F66"/>
    <w:rsid w:val="00717A6A"/>
    <w:rsid w:val="00720FFF"/>
    <w:rsid w:val="00724D81"/>
    <w:rsid w:val="00731B58"/>
    <w:rsid w:val="00736B1F"/>
    <w:rsid w:val="00737FE6"/>
    <w:rsid w:val="00740CA8"/>
    <w:rsid w:val="00742BB7"/>
    <w:rsid w:val="007454A3"/>
    <w:rsid w:val="00747198"/>
    <w:rsid w:val="0075035F"/>
    <w:rsid w:val="0075185F"/>
    <w:rsid w:val="00751E28"/>
    <w:rsid w:val="0075214A"/>
    <w:rsid w:val="00755505"/>
    <w:rsid w:val="0076155E"/>
    <w:rsid w:val="00763F34"/>
    <w:rsid w:val="00767508"/>
    <w:rsid w:val="00770176"/>
    <w:rsid w:val="00771679"/>
    <w:rsid w:val="00772735"/>
    <w:rsid w:val="00772FF1"/>
    <w:rsid w:val="007731B9"/>
    <w:rsid w:val="00773281"/>
    <w:rsid w:val="007735BD"/>
    <w:rsid w:val="0077427B"/>
    <w:rsid w:val="00774D1F"/>
    <w:rsid w:val="00775650"/>
    <w:rsid w:val="00776E20"/>
    <w:rsid w:val="0078026B"/>
    <w:rsid w:val="0078128F"/>
    <w:rsid w:val="00781E9F"/>
    <w:rsid w:val="00786AC8"/>
    <w:rsid w:val="007953A8"/>
    <w:rsid w:val="00795C5E"/>
    <w:rsid w:val="00796C4D"/>
    <w:rsid w:val="00796DC9"/>
    <w:rsid w:val="007A009A"/>
    <w:rsid w:val="007A0486"/>
    <w:rsid w:val="007A21D8"/>
    <w:rsid w:val="007A3934"/>
    <w:rsid w:val="007A4156"/>
    <w:rsid w:val="007A6B63"/>
    <w:rsid w:val="007A6E45"/>
    <w:rsid w:val="007B1085"/>
    <w:rsid w:val="007B18ED"/>
    <w:rsid w:val="007B39BB"/>
    <w:rsid w:val="007B6B36"/>
    <w:rsid w:val="007B778B"/>
    <w:rsid w:val="007C1668"/>
    <w:rsid w:val="007C416E"/>
    <w:rsid w:val="007C54B0"/>
    <w:rsid w:val="007C6F8F"/>
    <w:rsid w:val="007D2241"/>
    <w:rsid w:val="007D36FA"/>
    <w:rsid w:val="007D4034"/>
    <w:rsid w:val="007D4C56"/>
    <w:rsid w:val="007D4EEE"/>
    <w:rsid w:val="007D57FE"/>
    <w:rsid w:val="007D5E49"/>
    <w:rsid w:val="007D7DF5"/>
    <w:rsid w:val="007D7EEC"/>
    <w:rsid w:val="007E0D53"/>
    <w:rsid w:val="007E2F96"/>
    <w:rsid w:val="007E35A8"/>
    <w:rsid w:val="007E53D1"/>
    <w:rsid w:val="007E5903"/>
    <w:rsid w:val="007E5F48"/>
    <w:rsid w:val="007E6F49"/>
    <w:rsid w:val="007E72B6"/>
    <w:rsid w:val="007E7DF9"/>
    <w:rsid w:val="007F0B69"/>
    <w:rsid w:val="007F0DEE"/>
    <w:rsid w:val="007F4600"/>
    <w:rsid w:val="007F5293"/>
    <w:rsid w:val="007F6B76"/>
    <w:rsid w:val="00801F34"/>
    <w:rsid w:val="008028EA"/>
    <w:rsid w:val="00802B73"/>
    <w:rsid w:val="00805D7F"/>
    <w:rsid w:val="00807797"/>
    <w:rsid w:val="00813D9C"/>
    <w:rsid w:val="00814959"/>
    <w:rsid w:val="00815F8F"/>
    <w:rsid w:val="00816151"/>
    <w:rsid w:val="0082283C"/>
    <w:rsid w:val="00823447"/>
    <w:rsid w:val="00823E50"/>
    <w:rsid w:val="0082565A"/>
    <w:rsid w:val="008258C4"/>
    <w:rsid w:val="00827943"/>
    <w:rsid w:val="0083083B"/>
    <w:rsid w:val="00834CB0"/>
    <w:rsid w:val="00834FA7"/>
    <w:rsid w:val="008351C2"/>
    <w:rsid w:val="00835606"/>
    <w:rsid w:val="00836214"/>
    <w:rsid w:val="008375BA"/>
    <w:rsid w:val="008410AE"/>
    <w:rsid w:val="008411C7"/>
    <w:rsid w:val="00841262"/>
    <w:rsid w:val="0084248B"/>
    <w:rsid w:val="0084546E"/>
    <w:rsid w:val="00847FAF"/>
    <w:rsid w:val="00850C9C"/>
    <w:rsid w:val="0085134A"/>
    <w:rsid w:val="0085190E"/>
    <w:rsid w:val="0085209A"/>
    <w:rsid w:val="008520E6"/>
    <w:rsid w:val="008531CF"/>
    <w:rsid w:val="00853F1A"/>
    <w:rsid w:val="008544DC"/>
    <w:rsid w:val="00856918"/>
    <w:rsid w:val="00860ED1"/>
    <w:rsid w:val="0086726A"/>
    <w:rsid w:val="008714EF"/>
    <w:rsid w:val="00875100"/>
    <w:rsid w:val="00875541"/>
    <w:rsid w:val="00877DCB"/>
    <w:rsid w:val="00880FF7"/>
    <w:rsid w:val="00881404"/>
    <w:rsid w:val="00881CD2"/>
    <w:rsid w:val="00883A30"/>
    <w:rsid w:val="00884B2A"/>
    <w:rsid w:val="00891FF6"/>
    <w:rsid w:val="00892C76"/>
    <w:rsid w:val="008947CB"/>
    <w:rsid w:val="00894842"/>
    <w:rsid w:val="0089625B"/>
    <w:rsid w:val="00897061"/>
    <w:rsid w:val="008976E0"/>
    <w:rsid w:val="008A4EF0"/>
    <w:rsid w:val="008A57E8"/>
    <w:rsid w:val="008A584C"/>
    <w:rsid w:val="008A61FD"/>
    <w:rsid w:val="008A62F9"/>
    <w:rsid w:val="008A6A1D"/>
    <w:rsid w:val="008A7F04"/>
    <w:rsid w:val="008B1462"/>
    <w:rsid w:val="008B41CE"/>
    <w:rsid w:val="008B4A3B"/>
    <w:rsid w:val="008B7BC0"/>
    <w:rsid w:val="008C045A"/>
    <w:rsid w:val="008C062F"/>
    <w:rsid w:val="008C3491"/>
    <w:rsid w:val="008C6C57"/>
    <w:rsid w:val="008D2056"/>
    <w:rsid w:val="008D2C23"/>
    <w:rsid w:val="008D3B71"/>
    <w:rsid w:val="008D6238"/>
    <w:rsid w:val="008D62B8"/>
    <w:rsid w:val="008D6DCA"/>
    <w:rsid w:val="008D71E2"/>
    <w:rsid w:val="008D7EAF"/>
    <w:rsid w:val="008E0299"/>
    <w:rsid w:val="008E0E6B"/>
    <w:rsid w:val="008E3086"/>
    <w:rsid w:val="008E3F1E"/>
    <w:rsid w:val="008E41EB"/>
    <w:rsid w:val="008E5D06"/>
    <w:rsid w:val="008F1E25"/>
    <w:rsid w:val="008F2B0E"/>
    <w:rsid w:val="008F2CA3"/>
    <w:rsid w:val="008F32AF"/>
    <w:rsid w:val="0090020E"/>
    <w:rsid w:val="009004D6"/>
    <w:rsid w:val="0090089A"/>
    <w:rsid w:val="00900A28"/>
    <w:rsid w:val="00900CE2"/>
    <w:rsid w:val="0090114F"/>
    <w:rsid w:val="0090198D"/>
    <w:rsid w:val="009100F3"/>
    <w:rsid w:val="00910EBA"/>
    <w:rsid w:val="00912BAA"/>
    <w:rsid w:val="00912DE3"/>
    <w:rsid w:val="00917104"/>
    <w:rsid w:val="009173F8"/>
    <w:rsid w:val="0091775B"/>
    <w:rsid w:val="009178C1"/>
    <w:rsid w:val="00917D2D"/>
    <w:rsid w:val="00920C96"/>
    <w:rsid w:val="00923003"/>
    <w:rsid w:val="00924BBE"/>
    <w:rsid w:val="00926BDD"/>
    <w:rsid w:val="00927022"/>
    <w:rsid w:val="009303EE"/>
    <w:rsid w:val="0093053A"/>
    <w:rsid w:val="00930A61"/>
    <w:rsid w:val="00930DED"/>
    <w:rsid w:val="00930E64"/>
    <w:rsid w:val="00934AEE"/>
    <w:rsid w:val="00935F63"/>
    <w:rsid w:val="009409BA"/>
    <w:rsid w:val="009436F8"/>
    <w:rsid w:val="0094486C"/>
    <w:rsid w:val="009472B3"/>
    <w:rsid w:val="009512AE"/>
    <w:rsid w:val="009539D4"/>
    <w:rsid w:val="00953BEB"/>
    <w:rsid w:val="009565D4"/>
    <w:rsid w:val="00960C37"/>
    <w:rsid w:val="009613A5"/>
    <w:rsid w:val="009620CE"/>
    <w:rsid w:val="009627A5"/>
    <w:rsid w:val="00964622"/>
    <w:rsid w:val="0096686B"/>
    <w:rsid w:val="00970447"/>
    <w:rsid w:val="00972132"/>
    <w:rsid w:val="00974DED"/>
    <w:rsid w:val="00980F45"/>
    <w:rsid w:val="00981F8E"/>
    <w:rsid w:val="009838AC"/>
    <w:rsid w:val="00985423"/>
    <w:rsid w:val="00985A87"/>
    <w:rsid w:val="009860E3"/>
    <w:rsid w:val="00987448"/>
    <w:rsid w:val="00992DC2"/>
    <w:rsid w:val="009A0048"/>
    <w:rsid w:val="009A10CB"/>
    <w:rsid w:val="009A2B3C"/>
    <w:rsid w:val="009A31D1"/>
    <w:rsid w:val="009A323E"/>
    <w:rsid w:val="009A41D7"/>
    <w:rsid w:val="009A4784"/>
    <w:rsid w:val="009A5285"/>
    <w:rsid w:val="009A74D4"/>
    <w:rsid w:val="009B3050"/>
    <w:rsid w:val="009B348E"/>
    <w:rsid w:val="009B48AD"/>
    <w:rsid w:val="009B48DE"/>
    <w:rsid w:val="009C0504"/>
    <w:rsid w:val="009C1430"/>
    <w:rsid w:val="009C3587"/>
    <w:rsid w:val="009C4230"/>
    <w:rsid w:val="009C4807"/>
    <w:rsid w:val="009C63AE"/>
    <w:rsid w:val="009C73CD"/>
    <w:rsid w:val="009D0F33"/>
    <w:rsid w:val="009D1264"/>
    <w:rsid w:val="009D3E20"/>
    <w:rsid w:val="009D4209"/>
    <w:rsid w:val="009D6CEF"/>
    <w:rsid w:val="009D712A"/>
    <w:rsid w:val="009D7170"/>
    <w:rsid w:val="009D7832"/>
    <w:rsid w:val="009E3504"/>
    <w:rsid w:val="009E3A35"/>
    <w:rsid w:val="009E454B"/>
    <w:rsid w:val="009E4C89"/>
    <w:rsid w:val="009E75DE"/>
    <w:rsid w:val="009F45CB"/>
    <w:rsid w:val="009F49A6"/>
    <w:rsid w:val="009F4FC6"/>
    <w:rsid w:val="009F522C"/>
    <w:rsid w:val="00A00DDC"/>
    <w:rsid w:val="00A02D8D"/>
    <w:rsid w:val="00A02FAE"/>
    <w:rsid w:val="00A03E0D"/>
    <w:rsid w:val="00A0584B"/>
    <w:rsid w:val="00A05F9B"/>
    <w:rsid w:val="00A06928"/>
    <w:rsid w:val="00A07A2E"/>
    <w:rsid w:val="00A1276E"/>
    <w:rsid w:val="00A14114"/>
    <w:rsid w:val="00A14E7C"/>
    <w:rsid w:val="00A1718E"/>
    <w:rsid w:val="00A17B4E"/>
    <w:rsid w:val="00A24AAB"/>
    <w:rsid w:val="00A255C3"/>
    <w:rsid w:val="00A2679A"/>
    <w:rsid w:val="00A318BB"/>
    <w:rsid w:val="00A320B8"/>
    <w:rsid w:val="00A32B34"/>
    <w:rsid w:val="00A32F68"/>
    <w:rsid w:val="00A33722"/>
    <w:rsid w:val="00A37C28"/>
    <w:rsid w:val="00A40C38"/>
    <w:rsid w:val="00A41C38"/>
    <w:rsid w:val="00A44DAE"/>
    <w:rsid w:val="00A45627"/>
    <w:rsid w:val="00A456CB"/>
    <w:rsid w:val="00A461B3"/>
    <w:rsid w:val="00A46E2E"/>
    <w:rsid w:val="00A51735"/>
    <w:rsid w:val="00A52375"/>
    <w:rsid w:val="00A5497F"/>
    <w:rsid w:val="00A570E9"/>
    <w:rsid w:val="00A6147C"/>
    <w:rsid w:val="00A645EA"/>
    <w:rsid w:val="00A64990"/>
    <w:rsid w:val="00A64B3D"/>
    <w:rsid w:val="00A64D7F"/>
    <w:rsid w:val="00A65B56"/>
    <w:rsid w:val="00A71049"/>
    <w:rsid w:val="00A728EF"/>
    <w:rsid w:val="00A72B82"/>
    <w:rsid w:val="00A7313B"/>
    <w:rsid w:val="00A73C36"/>
    <w:rsid w:val="00A74622"/>
    <w:rsid w:val="00A75668"/>
    <w:rsid w:val="00A76CE5"/>
    <w:rsid w:val="00A80F92"/>
    <w:rsid w:val="00A82E9C"/>
    <w:rsid w:val="00A8339D"/>
    <w:rsid w:val="00A83B3E"/>
    <w:rsid w:val="00A83F0B"/>
    <w:rsid w:val="00A84D30"/>
    <w:rsid w:val="00A8557A"/>
    <w:rsid w:val="00A85AEC"/>
    <w:rsid w:val="00A86CE3"/>
    <w:rsid w:val="00A90CDB"/>
    <w:rsid w:val="00A92D52"/>
    <w:rsid w:val="00A94048"/>
    <w:rsid w:val="00AA2F7D"/>
    <w:rsid w:val="00AA489C"/>
    <w:rsid w:val="00AA7B24"/>
    <w:rsid w:val="00AA7FE2"/>
    <w:rsid w:val="00AB1998"/>
    <w:rsid w:val="00AB1E2F"/>
    <w:rsid w:val="00AB3156"/>
    <w:rsid w:val="00AB37C1"/>
    <w:rsid w:val="00AB5653"/>
    <w:rsid w:val="00AB7C6D"/>
    <w:rsid w:val="00AC01B3"/>
    <w:rsid w:val="00AC1F74"/>
    <w:rsid w:val="00AC6372"/>
    <w:rsid w:val="00AD086A"/>
    <w:rsid w:val="00AD1102"/>
    <w:rsid w:val="00AD1A4F"/>
    <w:rsid w:val="00AD30C0"/>
    <w:rsid w:val="00AD78E7"/>
    <w:rsid w:val="00AE0E4B"/>
    <w:rsid w:val="00AE14A4"/>
    <w:rsid w:val="00AE20AD"/>
    <w:rsid w:val="00AE5525"/>
    <w:rsid w:val="00AE7306"/>
    <w:rsid w:val="00AF163A"/>
    <w:rsid w:val="00AF201F"/>
    <w:rsid w:val="00AF3F35"/>
    <w:rsid w:val="00AF6204"/>
    <w:rsid w:val="00AF629C"/>
    <w:rsid w:val="00AF6C46"/>
    <w:rsid w:val="00B002CF"/>
    <w:rsid w:val="00B016F6"/>
    <w:rsid w:val="00B02AC5"/>
    <w:rsid w:val="00B0366F"/>
    <w:rsid w:val="00B051AE"/>
    <w:rsid w:val="00B069C5"/>
    <w:rsid w:val="00B06AFB"/>
    <w:rsid w:val="00B12F54"/>
    <w:rsid w:val="00B1456D"/>
    <w:rsid w:val="00B153D8"/>
    <w:rsid w:val="00B15E6C"/>
    <w:rsid w:val="00B253C5"/>
    <w:rsid w:val="00B27BF9"/>
    <w:rsid w:val="00B27F30"/>
    <w:rsid w:val="00B30383"/>
    <w:rsid w:val="00B31A8E"/>
    <w:rsid w:val="00B34267"/>
    <w:rsid w:val="00B342A2"/>
    <w:rsid w:val="00B34901"/>
    <w:rsid w:val="00B351B9"/>
    <w:rsid w:val="00B40366"/>
    <w:rsid w:val="00B4067E"/>
    <w:rsid w:val="00B41B95"/>
    <w:rsid w:val="00B42D45"/>
    <w:rsid w:val="00B43EB2"/>
    <w:rsid w:val="00B444EF"/>
    <w:rsid w:val="00B455BE"/>
    <w:rsid w:val="00B47DBF"/>
    <w:rsid w:val="00B509DD"/>
    <w:rsid w:val="00B517BE"/>
    <w:rsid w:val="00B5333E"/>
    <w:rsid w:val="00B54823"/>
    <w:rsid w:val="00B54913"/>
    <w:rsid w:val="00B5566B"/>
    <w:rsid w:val="00B55B1D"/>
    <w:rsid w:val="00B60AC2"/>
    <w:rsid w:val="00B6140B"/>
    <w:rsid w:val="00B61EE8"/>
    <w:rsid w:val="00B63721"/>
    <w:rsid w:val="00B6460B"/>
    <w:rsid w:val="00B646E7"/>
    <w:rsid w:val="00B6680D"/>
    <w:rsid w:val="00B67FE4"/>
    <w:rsid w:val="00B707FE"/>
    <w:rsid w:val="00B76C13"/>
    <w:rsid w:val="00B778C7"/>
    <w:rsid w:val="00B80EC5"/>
    <w:rsid w:val="00B815BD"/>
    <w:rsid w:val="00B81609"/>
    <w:rsid w:val="00B84148"/>
    <w:rsid w:val="00B8483B"/>
    <w:rsid w:val="00B8525A"/>
    <w:rsid w:val="00B863A2"/>
    <w:rsid w:val="00B86876"/>
    <w:rsid w:val="00B906A9"/>
    <w:rsid w:val="00B9191A"/>
    <w:rsid w:val="00B93C9C"/>
    <w:rsid w:val="00B942DE"/>
    <w:rsid w:val="00B94FE9"/>
    <w:rsid w:val="00B9519A"/>
    <w:rsid w:val="00B97A45"/>
    <w:rsid w:val="00B97B61"/>
    <w:rsid w:val="00BA318A"/>
    <w:rsid w:val="00BA3B38"/>
    <w:rsid w:val="00BA57B9"/>
    <w:rsid w:val="00BA6CE1"/>
    <w:rsid w:val="00BA7A2F"/>
    <w:rsid w:val="00BB3FA7"/>
    <w:rsid w:val="00BB44CD"/>
    <w:rsid w:val="00BB7AEE"/>
    <w:rsid w:val="00BC321E"/>
    <w:rsid w:val="00BC3B6B"/>
    <w:rsid w:val="00BC3D0F"/>
    <w:rsid w:val="00BD065A"/>
    <w:rsid w:val="00BD17C4"/>
    <w:rsid w:val="00BD3358"/>
    <w:rsid w:val="00BD3D20"/>
    <w:rsid w:val="00BD5B7F"/>
    <w:rsid w:val="00BD72F7"/>
    <w:rsid w:val="00BE0ABA"/>
    <w:rsid w:val="00BE16B3"/>
    <w:rsid w:val="00BE3E03"/>
    <w:rsid w:val="00BE48D8"/>
    <w:rsid w:val="00BE4C69"/>
    <w:rsid w:val="00BE5565"/>
    <w:rsid w:val="00BE663C"/>
    <w:rsid w:val="00BE6A42"/>
    <w:rsid w:val="00BE6B85"/>
    <w:rsid w:val="00BF028A"/>
    <w:rsid w:val="00BF0A6C"/>
    <w:rsid w:val="00BF20E1"/>
    <w:rsid w:val="00BF3639"/>
    <w:rsid w:val="00C0025E"/>
    <w:rsid w:val="00C00570"/>
    <w:rsid w:val="00C007D8"/>
    <w:rsid w:val="00C02234"/>
    <w:rsid w:val="00C034AE"/>
    <w:rsid w:val="00C06C02"/>
    <w:rsid w:val="00C07730"/>
    <w:rsid w:val="00C078A6"/>
    <w:rsid w:val="00C07D77"/>
    <w:rsid w:val="00C1075C"/>
    <w:rsid w:val="00C10A0C"/>
    <w:rsid w:val="00C22E7B"/>
    <w:rsid w:val="00C2398C"/>
    <w:rsid w:val="00C247DB"/>
    <w:rsid w:val="00C25E90"/>
    <w:rsid w:val="00C2734B"/>
    <w:rsid w:val="00C3135D"/>
    <w:rsid w:val="00C31AB1"/>
    <w:rsid w:val="00C31C7E"/>
    <w:rsid w:val="00C31E4F"/>
    <w:rsid w:val="00C32E0A"/>
    <w:rsid w:val="00C33A08"/>
    <w:rsid w:val="00C349E7"/>
    <w:rsid w:val="00C40D87"/>
    <w:rsid w:val="00C4148E"/>
    <w:rsid w:val="00C44E4C"/>
    <w:rsid w:val="00C475EF"/>
    <w:rsid w:val="00C52945"/>
    <w:rsid w:val="00C54052"/>
    <w:rsid w:val="00C5503C"/>
    <w:rsid w:val="00C57F12"/>
    <w:rsid w:val="00C62F6F"/>
    <w:rsid w:val="00C6785F"/>
    <w:rsid w:val="00C67A24"/>
    <w:rsid w:val="00C7089B"/>
    <w:rsid w:val="00C70E5C"/>
    <w:rsid w:val="00C70EC8"/>
    <w:rsid w:val="00C72CF8"/>
    <w:rsid w:val="00C74E0E"/>
    <w:rsid w:val="00C765F0"/>
    <w:rsid w:val="00C76B16"/>
    <w:rsid w:val="00C7787D"/>
    <w:rsid w:val="00C80F70"/>
    <w:rsid w:val="00C83F7F"/>
    <w:rsid w:val="00C84DF8"/>
    <w:rsid w:val="00C86936"/>
    <w:rsid w:val="00C9162D"/>
    <w:rsid w:val="00C91C48"/>
    <w:rsid w:val="00C943F0"/>
    <w:rsid w:val="00C94B78"/>
    <w:rsid w:val="00C95BC8"/>
    <w:rsid w:val="00C96753"/>
    <w:rsid w:val="00C97A43"/>
    <w:rsid w:val="00CA1B69"/>
    <w:rsid w:val="00CA1F2F"/>
    <w:rsid w:val="00CA38A2"/>
    <w:rsid w:val="00CA5E84"/>
    <w:rsid w:val="00CA5F8B"/>
    <w:rsid w:val="00CA66CD"/>
    <w:rsid w:val="00CA69D7"/>
    <w:rsid w:val="00CB38E8"/>
    <w:rsid w:val="00CB4106"/>
    <w:rsid w:val="00CB4CDC"/>
    <w:rsid w:val="00CB6893"/>
    <w:rsid w:val="00CC1D14"/>
    <w:rsid w:val="00CC24BF"/>
    <w:rsid w:val="00CC2E3C"/>
    <w:rsid w:val="00CC2F1B"/>
    <w:rsid w:val="00CC377F"/>
    <w:rsid w:val="00CC4336"/>
    <w:rsid w:val="00CC547B"/>
    <w:rsid w:val="00CC5C63"/>
    <w:rsid w:val="00CD37AB"/>
    <w:rsid w:val="00CD400A"/>
    <w:rsid w:val="00CD43AB"/>
    <w:rsid w:val="00CD4B52"/>
    <w:rsid w:val="00CD5BA2"/>
    <w:rsid w:val="00CD5D6A"/>
    <w:rsid w:val="00CD5DA4"/>
    <w:rsid w:val="00CE3ACD"/>
    <w:rsid w:val="00CE4BE6"/>
    <w:rsid w:val="00CE4F5B"/>
    <w:rsid w:val="00CE65FF"/>
    <w:rsid w:val="00CF12B4"/>
    <w:rsid w:val="00CF1494"/>
    <w:rsid w:val="00CF2402"/>
    <w:rsid w:val="00CF3386"/>
    <w:rsid w:val="00CF4836"/>
    <w:rsid w:val="00D04966"/>
    <w:rsid w:val="00D05B26"/>
    <w:rsid w:val="00D06F22"/>
    <w:rsid w:val="00D07504"/>
    <w:rsid w:val="00D07E0F"/>
    <w:rsid w:val="00D13A71"/>
    <w:rsid w:val="00D16687"/>
    <w:rsid w:val="00D1737B"/>
    <w:rsid w:val="00D2210A"/>
    <w:rsid w:val="00D25670"/>
    <w:rsid w:val="00D25E26"/>
    <w:rsid w:val="00D2667C"/>
    <w:rsid w:val="00D278D6"/>
    <w:rsid w:val="00D32DC1"/>
    <w:rsid w:val="00D351EB"/>
    <w:rsid w:val="00D40746"/>
    <w:rsid w:val="00D43AED"/>
    <w:rsid w:val="00D44193"/>
    <w:rsid w:val="00D4636E"/>
    <w:rsid w:val="00D46ABA"/>
    <w:rsid w:val="00D47DC4"/>
    <w:rsid w:val="00D51595"/>
    <w:rsid w:val="00D53A67"/>
    <w:rsid w:val="00D5421B"/>
    <w:rsid w:val="00D54F1D"/>
    <w:rsid w:val="00D604C6"/>
    <w:rsid w:val="00D646F8"/>
    <w:rsid w:val="00D64AC5"/>
    <w:rsid w:val="00D6537F"/>
    <w:rsid w:val="00D6710A"/>
    <w:rsid w:val="00D67CD2"/>
    <w:rsid w:val="00D72856"/>
    <w:rsid w:val="00D74EB2"/>
    <w:rsid w:val="00D75CB7"/>
    <w:rsid w:val="00D81429"/>
    <w:rsid w:val="00D824E5"/>
    <w:rsid w:val="00D842CA"/>
    <w:rsid w:val="00D8637B"/>
    <w:rsid w:val="00D8753A"/>
    <w:rsid w:val="00D9034E"/>
    <w:rsid w:val="00D929B7"/>
    <w:rsid w:val="00D936B5"/>
    <w:rsid w:val="00D9434C"/>
    <w:rsid w:val="00D9568B"/>
    <w:rsid w:val="00D95960"/>
    <w:rsid w:val="00D96B8F"/>
    <w:rsid w:val="00DA1A1C"/>
    <w:rsid w:val="00DA4123"/>
    <w:rsid w:val="00DA64A0"/>
    <w:rsid w:val="00DA6B0F"/>
    <w:rsid w:val="00DA73D0"/>
    <w:rsid w:val="00DA7D25"/>
    <w:rsid w:val="00DB1549"/>
    <w:rsid w:val="00DB24DE"/>
    <w:rsid w:val="00DB298C"/>
    <w:rsid w:val="00DB29D9"/>
    <w:rsid w:val="00DB363E"/>
    <w:rsid w:val="00DB3E61"/>
    <w:rsid w:val="00DB4BA4"/>
    <w:rsid w:val="00DB643C"/>
    <w:rsid w:val="00DB7DAF"/>
    <w:rsid w:val="00DC153C"/>
    <w:rsid w:val="00DC55EA"/>
    <w:rsid w:val="00DD7D77"/>
    <w:rsid w:val="00DE59DF"/>
    <w:rsid w:val="00DE7993"/>
    <w:rsid w:val="00DF046D"/>
    <w:rsid w:val="00DF1CA4"/>
    <w:rsid w:val="00DF32CA"/>
    <w:rsid w:val="00DF5BD9"/>
    <w:rsid w:val="00DF686E"/>
    <w:rsid w:val="00DF6D25"/>
    <w:rsid w:val="00E0247D"/>
    <w:rsid w:val="00E05F86"/>
    <w:rsid w:val="00E0681E"/>
    <w:rsid w:val="00E07EAA"/>
    <w:rsid w:val="00E106EA"/>
    <w:rsid w:val="00E12F9F"/>
    <w:rsid w:val="00E1516C"/>
    <w:rsid w:val="00E22755"/>
    <w:rsid w:val="00E24E29"/>
    <w:rsid w:val="00E258B9"/>
    <w:rsid w:val="00E271BF"/>
    <w:rsid w:val="00E272B6"/>
    <w:rsid w:val="00E3096A"/>
    <w:rsid w:val="00E333D3"/>
    <w:rsid w:val="00E34824"/>
    <w:rsid w:val="00E34ED0"/>
    <w:rsid w:val="00E37058"/>
    <w:rsid w:val="00E41416"/>
    <w:rsid w:val="00E41D1B"/>
    <w:rsid w:val="00E425C3"/>
    <w:rsid w:val="00E44C86"/>
    <w:rsid w:val="00E47D7E"/>
    <w:rsid w:val="00E507E1"/>
    <w:rsid w:val="00E51ACD"/>
    <w:rsid w:val="00E54940"/>
    <w:rsid w:val="00E55894"/>
    <w:rsid w:val="00E568E2"/>
    <w:rsid w:val="00E603F3"/>
    <w:rsid w:val="00E61D7C"/>
    <w:rsid w:val="00E67B49"/>
    <w:rsid w:val="00E70208"/>
    <w:rsid w:val="00E720AF"/>
    <w:rsid w:val="00E73884"/>
    <w:rsid w:val="00E76338"/>
    <w:rsid w:val="00E768A4"/>
    <w:rsid w:val="00E820BB"/>
    <w:rsid w:val="00E8269C"/>
    <w:rsid w:val="00E82EE0"/>
    <w:rsid w:val="00E85BE3"/>
    <w:rsid w:val="00E85F48"/>
    <w:rsid w:val="00E86565"/>
    <w:rsid w:val="00E87121"/>
    <w:rsid w:val="00E87576"/>
    <w:rsid w:val="00E90EF7"/>
    <w:rsid w:val="00E9230D"/>
    <w:rsid w:val="00E9348C"/>
    <w:rsid w:val="00E93F79"/>
    <w:rsid w:val="00E9415C"/>
    <w:rsid w:val="00E953A9"/>
    <w:rsid w:val="00E954FE"/>
    <w:rsid w:val="00E95D72"/>
    <w:rsid w:val="00E96199"/>
    <w:rsid w:val="00E96885"/>
    <w:rsid w:val="00E9798E"/>
    <w:rsid w:val="00EA25BC"/>
    <w:rsid w:val="00EA2CDD"/>
    <w:rsid w:val="00EA3010"/>
    <w:rsid w:val="00EA3D10"/>
    <w:rsid w:val="00EA46D6"/>
    <w:rsid w:val="00EA53D7"/>
    <w:rsid w:val="00EA6727"/>
    <w:rsid w:val="00EB1144"/>
    <w:rsid w:val="00EB12F3"/>
    <w:rsid w:val="00EB3D6B"/>
    <w:rsid w:val="00EB3DCA"/>
    <w:rsid w:val="00EB6D7B"/>
    <w:rsid w:val="00EC4FFC"/>
    <w:rsid w:val="00EC717E"/>
    <w:rsid w:val="00EC7545"/>
    <w:rsid w:val="00EC75FC"/>
    <w:rsid w:val="00ED137A"/>
    <w:rsid w:val="00ED180B"/>
    <w:rsid w:val="00ED2578"/>
    <w:rsid w:val="00ED52E6"/>
    <w:rsid w:val="00ED5A3E"/>
    <w:rsid w:val="00EE3788"/>
    <w:rsid w:val="00EE3871"/>
    <w:rsid w:val="00EE3EB0"/>
    <w:rsid w:val="00EE4073"/>
    <w:rsid w:val="00EE694F"/>
    <w:rsid w:val="00EF0D8E"/>
    <w:rsid w:val="00EF138B"/>
    <w:rsid w:val="00EF152F"/>
    <w:rsid w:val="00EF1D6C"/>
    <w:rsid w:val="00EF55B8"/>
    <w:rsid w:val="00EF7D2D"/>
    <w:rsid w:val="00F01ED2"/>
    <w:rsid w:val="00F02E70"/>
    <w:rsid w:val="00F03D55"/>
    <w:rsid w:val="00F04E86"/>
    <w:rsid w:val="00F04E95"/>
    <w:rsid w:val="00F063D7"/>
    <w:rsid w:val="00F0678E"/>
    <w:rsid w:val="00F11871"/>
    <w:rsid w:val="00F1243B"/>
    <w:rsid w:val="00F13727"/>
    <w:rsid w:val="00F14EC2"/>
    <w:rsid w:val="00F152B3"/>
    <w:rsid w:val="00F1646B"/>
    <w:rsid w:val="00F165B9"/>
    <w:rsid w:val="00F204FC"/>
    <w:rsid w:val="00F219CB"/>
    <w:rsid w:val="00F225C5"/>
    <w:rsid w:val="00F23A87"/>
    <w:rsid w:val="00F2797C"/>
    <w:rsid w:val="00F31EB5"/>
    <w:rsid w:val="00F33E82"/>
    <w:rsid w:val="00F34B2E"/>
    <w:rsid w:val="00F3513F"/>
    <w:rsid w:val="00F354B5"/>
    <w:rsid w:val="00F369CC"/>
    <w:rsid w:val="00F3711D"/>
    <w:rsid w:val="00F37A96"/>
    <w:rsid w:val="00F4088A"/>
    <w:rsid w:val="00F4187A"/>
    <w:rsid w:val="00F4378A"/>
    <w:rsid w:val="00F44AD3"/>
    <w:rsid w:val="00F45DCB"/>
    <w:rsid w:val="00F46770"/>
    <w:rsid w:val="00F500F3"/>
    <w:rsid w:val="00F50271"/>
    <w:rsid w:val="00F50388"/>
    <w:rsid w:val="00F50A99"/>
    <w:rsid w:val="00F5190F"/>
    <w:rsid w:val="00F51BB5"/>
    <w:rsid w:val="00F52522"/>
    <w:rsid w:val="00F52B19"/>
    <w:rsid w:val="00F537B9"/>
    <w:rsid w:val="00F53CF8"/>
    <w:rsid w:val="00F545F9"/>
    <w:rsid w:val="00F70E23"/>
    <w:rsid w:val="00F724B3"/>
    <w:rsid w:val="00F727D5"/>
    <w:rsid w:val="00F735ED"/>
    <w:rsid w:val="00F76769"/>
    <w:rsid w:val="00F769AA"/>
    <w:rsid w:val="00F8403B"/>
    <w:rsid w:val="00F87840"/>
    <w:rsid w:val="00F91735"/>
    <w:rsid w:val="00F91D17"/>
    <w:rsid w:val="00F928F9"/>
    <w:rsid w:val="00F935A9"/>
    <w:rsid w:val="00F93B3F"/>
    <w:rsid w:val="00F93FD7"/>
    <w:rsid w:val="00F96569"/>
    <w:rsid w:val="00F966F2"/>
    <w:rsid w:val="00FA016A"/>
    <w:rsid w:val="00FA0D53"/>
    <w:rsid w:val="00FA2944"/>
    <w:rsid w:val="00FA3444"/>
    <w:rsid w:val="00FA3929"/>
    <w:rsid w:val="00FA39E2"/>
    <w:rsid w:val="00FA416E"/>
    <w:rsid w:val="00FA447C"/>
    <w:rsid w:val="00FA771E"/>
    <w:rsid w:val="00FA7CFF"/>
    <w:rsid w:val="00FB1F26"/>
    <w:rsid w:val="00FB204B"/>
    <w:rsid w:val="00FB2443"/>
    <w:rsid w:val="00FB3AAC"/>
    <w:rsid w:val="00FB42D9"/>
    <w:rsid w:val="00FB5AD5"/>
    <w:rsid w:val="00FB7887"/>
    <w:rsid w:val="00FC13C1"/>
    <w:rsid w:val="00FC2210"/>
    <w:rsid w:val="00FC26BA"/>
    <w:rsid w:val="00FC4619"/>
    <w:rsid w:val="00FC4B51"/>
    <w:rsid w:val="00FC581E"/>
    <w:rsid w:val="00FC5C5B"/>
    <w:rsid w:val="00FC625D"/>
    <w:rsid w:val="00FC6EA7"/>
    <w:rsid w:val="00FD0984"/>
    <w:rsid w:val="00FD15A8"/>
    <w:rsid w:val="00FD43CC"/>
    <w:rsid w:val="00FD601A"/>
    <w:rsid w:val="00FD6B82"/>
    <w:rsid w:val="00FD73BF"/>
    <w:rsid w:val="00FE0B3F"/>
    <w:rsid w:val="00FE0EF2"/>
    <w:rsid w:val="00FE4747"/>
    <w:rsid w:val="00FE7D7F"/>
    <w:rsid w:val="00FF2B80"/>
    <w:rsid w:val="00FF4542"/>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2856"/>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L1">
    <w:name w:val="L1"/>
    <w:basedOn w:val="Nadpis1"/>
    <w:qFormat/>
    <w:rsid w:val="00CB4106"/>
    <w:pPr>
      <w:keepLines w:val="0"/>
      <w:pageBreakBefore/>
      <w:spacing w:before="0" w:line="360" w:lineRule="exact"/>
    </w:pPr>
    <w:rPr>
      <w:rFonts w:ascii="Arial Narrow" w:eastAsia="Times New Roman" w:hAnsi="Arial Narrow" w:cs="Times New Roman"/>
      <w:b/>
      <w:bCs/>
      <w:caps/>
      <w:color w:val="44546A" w:themeColor="text2"/>
      <w:spacing w:val="15"/>
      <w:sz w:val="28"/>
      <w:szCs w:val="28"/>
      <w:lang w:bidi="en-US"/>
    </w:rPr>
  </w:style>
  <w:style w:type="paragraph" w:customStyle="1" w:styleId="Tabtext">
    <w:name w:val="Tab_text"/>
    <w:basedOn w:val="Normlny"/>
    <w:link w:val="TabtextChar"/>
    <w:qFormat/>
    <w:rsid w:val="00A64B3D"/>
    <w:pPr>
      <w:spacing w:after="0" w:line="240" w:lineRule="auto"/>
    </w:pPr>
    <w:rPr>
      <w:rFonts w:ascii="Calibri" w:eastAsia="Times New Roman" w:hAnsi="Calibri" w:cs="Times New Roman"/>
      <w:sz w:val="18"/>
      <w:szCs w:val="20"/>
      <w:lang w:eastAsia="sk-SK"/>
    </w:rPr>
  </w:style>
  <w:style w:type="character" w:customStyle="1" w:styleId="TabtextChar">
    <w:name w:val="Tab_text Char"/>
    <w:basedOn w:val="Predvolenpsmoodseku"/>
    <w:link w:val="Tabtext"/>
    <w:rsid w:val="00A64B3D"/>
    <w:rPr>
      <w:rFonts w:ascii="Calibri" w:eastAsia="Times New Roman" w:hAnsi="Calibri" w:cs="Times New Roman"/>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183323861">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20820411">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77204787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sekcie/informatizacia/narodna-koncepcia-informatizacie-verejnej-spravy-nik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fondy.gov.sk/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9BA7-8869-444A-8DE7-18C5FF2F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15754</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2023-03-23T07:33:00Z</dcterms:created>
  <dcterms:modified xsi:type="dcterms:W3CDTF">2023-03-23T07:33:00Z</dcterms:modified>
</cp:coreProperties>
</file>