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2F0FB" w14:textId="77777777" w:rsidR="00D970ED" w:rsidRPr="006B376E" w:rsidRDefault="00D970ED" w:rsidP="00D970ED">
      <w:pPr>
        <w:pStyle w:val="Nadpis1"/>
        <w:spacing w:line="240" w:lineRule="auto"/>
        <w:jc w:val="center"/>
        <w:rPr>
          <w:rFonts w:asciiTheme="minorHAnsi" w:hAnsiTheme="minorHAnsi" w:cstheme="minorHAnsi"/>
          <w:b w:val="0"/>
          <w:sz w:val="22"/>
          <w:szCs w:val="22"/>
        </w:rPr>
      </w:pPr>
      <w:r w:rsidRPr="006B376E">
        <w:rPr>
          <w:rFonts w:asciiTheme="minorHAnsi" w:hAnsiTheme="minorHAnsi" w:cstheme="minorHAnsi"/>
          <w:sz w:val="28"/>
          <w:szCs w:val="28"/>
        </w:rPr>
        <w:t xml:space="preserve">Bod </w:t>
      </w:r>
      <w:r w:rsidR="00742D8A" w:rsidRPr="006B376E">
        <w:rPr>
          <w:rFonts w:asciiTheme="minorHAnsi" w:hAnsiTheme="minorHAnsi" w:cstheme="minorHAnsi"/>
          <w:sz w:val="28"/>
          <w:szCs w:val="28"/>
        </w:rPr>
        <w:t>3</w:t>
      </w:r>
      <w:r w:rsidRPr="006B376E">
        <w:rPr>
          <w:rFonts w:asciiTheme="minorHAnsi" w:hAnsiTheme="minorHAnsi" w:cstheme="minorHAnsi"/>
          <w:sz w:val="28"/>
          <w:szCs w:val="28"/>
        </w:rPr>
        <w:t xml:space="preserve"> programu </w:t>
      </w:r>
      <w:r w:rsidR="00742D8A" w:rsidRPr="006B376E">
        <w:rPr>
          <w:rFonts w:asciiTheme="minorHAnsi" w:hAnsiTheme="minorHAnsi" w:cstheme="minorHAnsi"/>
          <w:sz w:val="28"/>
          <w:szCs w:val="28"/>
        </w:rPr>
        <w:t xml:space="preserve">spoločného </w:t>
      </w:r>
      <w:r w:rsidRPr="006B376E">
        <w:rPr>
          <w:rFonts w:asciiTheme="minorHAnsi" w:hAnsiTheme="minorHAnsi" w:cstheme="minorHAnsi"/>
          <w:sz w:val="28"/>
          <w:szCs w:val="28"/>
        </w:rPr>
        <w:t>zasadnutia</w:t>
      </w:r>
      <w:r w:rsidR="00742D8A" w:rsidRPr="006B376E">
        <w:rPr>
          <w:rFonts w:asciiTheme="minorHAnsi" w:hAnsiTheme="minorHAnsi" w:cstheme="minorHAnsi"/>
          <w:sz w:val="28"/>
          <w:szCs w:val="28"/>
        </w:rPr>
        <w:t xml:space="preserve"> PS 2 a</w:t>
      </w:r>
      <w:r w:rsidRPr="006B376E">
        <w:rPr>
          <w:rFonts w:asciiTheme="minorHAnsi" w:hAnsiTheme="minorHAnsi" w:cstheme="minorHAnsi"/>
          <w:sz w:val="28"/>
          <w:szCs w:val="28"/>
        </w:rPr>
        <w:t xml:space="preserve"> PS 4</w:t>
      </w:r>
      <w:r w:rsidRPr="006B376E">
        <w:rPr>
          <w:rFonts w:asciiTheme="minorHAnsi" w:hAnsiTheme="minorHAnsi" w:cstheme="minorHAnsi"/>
          <w:sz w:val="28"/>
          <w:szCs w:val="28"/>
        </w:rPr>
        <w:br/>
      </w:r>
      <w:r w:rsidR="006B376E">
        <w:rPr>
          <w:rFonts w:asciiTheme="minorHAnsi" w:hAnsiTheme="minorHAnsi" w:cstheme="minorHAnsi"/>
          <w:b w:val="0"/>
          <w:sz w:val="22"/>
          <w:szCs w:val="22"/>
        </w:rPr>
        <w:t>16</w:t>
      </w:r>
      <w:r w:rsidRPr="006B376E">
        <w:rPr>
          <w:rFonts w:asciiTheme="minorHAnsi" w:hAnsiTheme="minorHAnsi" w:cstheme="minorHAnsi"/>
          <w:b w:val="0"/>
          <w:sz w:val="22"/>
          <w:szCs w:val="22"/>
        </w:rPr>
        <w:t xml:space="preserve">. </w:t>
      </w:r>
      <w:r w:rsidR="006B376E">
        <w:rPr>
          <w:rFonts w:asciiTheme="minorHAnsi" w:hAnsiTheme="minorHAnsi" w:cstheme="minorHAnsi"/>
          <w:b w:val="0"/>
          <w:sz w:val="22"/>
          <w:szCs w:val="22"/>
        </w:rPr>
        <w:t>marec</w:t>
      </w:r>
      <w:r w:rsidRPr="006B376E">
        <w:rPr>
          <w:rFonts w:asciiTheme="minorHAnsi" w:hAnsiTheme="minorHAnsi" w:cstheme="minorHAnsi"/>
          <w:b w:val="0"/>
          <w:sz w:val="22"/>
          <w:szCs w:val="22"/>
        </w:rPr>
        <w:t xml:space="preserve"> 2022</w:t>
      </w:r>
    </w:p>
    <w:p w14:paraId="5DE3CECF" w14:textId="0114EC8F" w:rsidR="00D970ED" w:rsidRPr="006B376E" w:rsidRDefault="00D970ED" w:rsidP="00D970ED">
      <w:pPr>
        <w:spacing w:line="240" w:lineRule="auto"/>
        <w:jc w:val="center"/>
        <w:rPr>
          <w:rFonts w:cstheme="minorHAnsi"/>
        </w:rPr>
      </w:pPr>
      <w:bookmarkStart w:id="0" w:name="_GoBack"/>
      <w:bookmarkEnd w:id="0"/>
      <w:r w:rsidRPr="0093374E">
        <w:rPr>
          <w:rFonts w:cstheme="minorHAnsi"/>
        </w:rPr>
        <w:t>(</w:t>
      </w:r>
      <w:r w:rsidR="00423B72" w:rsidRPr="0093374E">
        <w:rPr>
          <w:rFonts w:cstheme="minorHAnsi"/>
        </w:rPr>
        <w:t xml:space="preserve">PS 2 – T 17, </w:t>
      </w:r>
      <w:r w:rsidRPr="0093374E">
        <w:rPr>
          <w:rFonts w:cstheme="minorHAnsi"/>
        </w:rPr>
        <w:t>PS 4 – T5</w:t>
      </w:r>
      <w:r w:rsidR="00423B72" w:rsidRPr="0093374E">
        <w:rPr>
          <w:rFonts w:cstheme="minorHAnsi"/>
        </w:rPr>
        <w:t>6</w:t>
      </w:r>
      <w:r w:rsidRPr="0093374E">
        <w:rPr>
          <w:rFonts w:cstheme="minorHAnsi"/>
        </w:rPr>
        <w:t>)</w:t>
      </w:r>
    </w:p>
    <w:p w14:paraId="0781BE55" w14:textId="77777777" w:rsidR="006B376E" w:rsidRPr="006B376E" w:rsidRDefault="006B376E" w:rsidP="006B376E">
      <w:pPr>
        <w:jc w:val="center"/>
        <w:rPr>
          <w:rFonts w:cstheme="minorHAnsi"/>
          <w:b/>
          <w:sz w:val="28"/>
          <w:szCs w:val="28"/>
        </w:rPr>
      </w:pPr>
      <w:r w:rsidRPr="006B376E">
        <w:rPr>
          <w:rFonts w:cstheme="minorHAnsi"/>
          <w:b/>
          <w:sz w:val="28"/>
          <w:szCs w:val="28"/>
        </w:rPr>
        <w:t>Návrh nového spôsobu autorizácie podľa zákona o e-Governmente, tzv. fikcie autorizácie</w:t>
      </w:r>
    </w:p>
    <w:p w14:paraId="176F8245" w14:textId="77777777" w:rsidR="006B376E" w:rsidRPr="006B376E" w:rsidRDefault="006B376E" w:rsidP="006B376E">
      <w:pPr>
        <w:pStyle w:val="Normlnywebov"/>
        <w:rPr>
          <w:rFonts w:ascii="Calibri" w:hAnsi="Calibri" w:cs="Calibri"/>
          <w:b/>
          <w:color w:val="000000"/>
        </w:rPr>
      </w:pPr>
    </w:p>
    <w:p w14:paraId="2BE55E2B" w14:textId="77777777" w:rsidR="006B376E" w:rsidRDefault="006B376E" w:rsidP="006B376E">
      <w:pPr>
        <w:pStyle w:val="Normlnywebov"/>
        <w:rPr>
          <w:rFonts w:ascii="Calibri" w:hAnsi="Calibri" w:cs="Calibri"/>
          <w:b/>
          <w:color w:val="000000"/>
          <w:u w:val="single"/>
        </w:rPr>
      </w:pPr>
      <w:r w:rsidRPr="006B376E">
        <w:rPr>
          <w:rFonts w:ascii="Calibri" w:hAnsi="Calibri" w:cs="Calibri"/>
          <w:b/>
          <w:color w:val="000000"/>
          <w:u w:val="single"/>
        </w:rPr>
        <w:t>Návrh MIRRI SR:</w:t>
      </w:r>
    </w:p>
    <w:p w14:paraId="3D19D42B" w14:textId="30AACF67" w:rsidR="00B83EFC" w:rsidRDefault="006B376E" w:rsidP="00B83EFC">
      <w:pPr>
        <w:pStyle w:val="Normlnywebov"/>
        <w:spacing w:before="120" w:after="120"/>
        <w:jc w:val="both"/>
        <w:rPr>
          <w:rFonts w:ascii="Calibri" w:hAnsi="Calibri" w:cs="Calibri"/>
          <w:color w:val="000000"/>
        </w:rPr>
      </w:pPr>
      <w:r w:rsidRPr="006B376E">
        <w:rPr>
          <w:rFonts w:ascii="Calibri" w:hAnsi="Calibri" w:cs="Calibri"/>
          <w:color w:val="000000"/>
        </w:rPr>
        <w:t xml:space="preserve">Po vzore českého riešenia navrhuje MIRRI SR zaviesť </w:t>
      </w:r>
      <w:r w:rsidR="003609FC">
        <w:rPr>
          <w:rFonts w:ascii="Calibri" w:hAnsi="Calibri" w:cs="Calibri"/>
          <w:color w:val="000000"/>
        </w:rPr>
        <w:t xml:space="preserve">v § 23 </w:t>
      </w:r>
      <w:r w:rsidR="0093374E" w:rsidRPr="0093374E">
        <w:rPr>
          <w:rFonts w:ascii="Calibri" w:hAnsi="Calibri" w:cs="Calibri"/>
          <w:color w:val="000000"/>
        </w:rPr>
        <w:t>zákona č. 305/2013 Z. z. o elektronickej podobe výkonu pôsobnosti orgánov verejnej moci a o zmene a doplnení niektorých zákonov (zákon o e-Governmente) v znení neskorších predpisov (ďalej len „zákon o e-Governmente“)</w:t>
      </w:r>
      <w:r w:rsidR="0093374E">
        <w:rPr>
          <w:rFonts w:ascii="Calibri" w:hAnsi="Calibri" w:cs="Calibri"/>
          <w:color w:val="000000"/>
        </w:rPr>
        <w:t xml:space="preserve"> </w:t>
      </w:r>
      <w:r w:rsidRPr="006B376E">
        <w:rPr>
          <w:rFonts w:ascii="Calibri" w:hAnsi="Calibri" w:cs="Calibri"/>
          <w:b/>
          <w:bCs/>
          <w:color w:val="000000"/>
        </w:rPr>
        <w:t>spôsob autorizácie elektronických podaní</w:t>
      </w:r>
      <w:r w:rsidRPr="006B376E">
        <w:rPr>
          <w:rFonts w:ascii="Calibri" w:hAnsi="Calibri" w:cs="Calibri"/>
          <w:color w:val="000000"/>
        </w:rPr>
        <w:t xml:space="preserve"> </w:t>
      </w:r>
      <w:r w:rsidR="000936D3">
        <w:rPr>
          <w:rFonts w:ascii="Calibri" w:hAnsi="Calibri" w:cs="Calibri"/>
          <w:color w:val="000000"/>
        </w:rPr>
        <w:t xml:space="preserve"> </w:t>
      </w:r>
      <w:r w:rsidRPr="006B376E">
        <w:rPr>
          <w:rFonts w:ascii="Calibri" w:hAnsi="Calibri" w:cs="Calibri"/>
          <w:color w:val="000000"/>
        </w:rPr>
        <w:t xml:space="preserve">pre osobu inú než orgán verejnej moci </w:t>
      </w:r>
      <w:r w:rsidR="00B83EFC">
        <w:rPr>
          <w:rFonts w:ascii="Calibri" w:hAnsi="Calibri" w:cs="Calibri"/>
          <w:color w:val="000000"/>
        </w:rPr>
        <w:t>v</w:t>
      </w:r>
      <w:r w:rsidRPr="006B376E">
        <w:rPr>
          <w:rFonts w:ascii="Calibri" w:hAnsi="Calibri" w:cs="Calibri"/>
          <w:color w:val="000000"/>
        </w:rPr>
        <w:t> prípad</w:t>
      </w:r>
      <w:r w:rsidR="00B83EFC">
        <w:rPr>
          <w:rFonts w:ascii="Calibri" w:hAnsi="Calibri" w:cs="Calibri"/>
          <w:color w:val="000000"/>
        </w:rPr>
        <w:t>och</w:t>
      </w:r>
      <w:r w:rsidRPr="006B376E">
        <w:rPr>
          <w:rFonts w:ascii="Calibri" w:hAnsi="Calibri" w:cs="Calibri"/>
          <w:color w:val="000000"/>
        </w:rPr>
        <w:t>, kedy sa vyžaduje autorizácia, ktorá nahrádza v elektronickom svete vlastnoručný podpis</w:t>
      </w:r>
      <w:r w:rsidR="00B83EFC">
        <w:rPr>
          <w:rFonts w:ascii="Calibri" w:hAnsi="Calibri" w:cs="Calibri"/>
          <w:color w:val="000000"/>
        </w:rPr>
        <w:t>:</w:t>
      </w:r>
    </w:p>
    <w:p w14:paraId="3D38739E" w14:textId="4ED7AF7F" w:rsidR="006B376E" w:rsidRPr="006B376E" w:rsidRDefault="006B376E" w:rsidP="0093374E">
      <w:pPr>
        <w:pStyle w:val="Normlnywebov"/>
        <w:numPr>
          <w:ilvl w:val="0"/>
          <w:numId w:val="9"/>
        </w:numPr>
        <w:spacing w:before="120" w:after="120"/>
        <w:jc w:val="both"/>
        <w:rPr>
          <w:rFonts w:ascii="Calibri" w:hAnsi="Calibri" w:cs="Calibri"/>
          <w:color w:val="000000"/>
        </w:rPr>
      </w:pPr>
      <w:r w:rsidRPr="006B376E">
        <w:rPr>
          <w:rFonts w:ascii="Calibri" w:hAnsi="Calibri" w:cs="Calibri"/>
          <w:color w:val="000000"/>
        </w:rPr>
        <w:t xml:space="preserve">uznanie </w:t>
      </w:r>
      <w:r w:rsidR="00B83EFC">
        <w:rPr>
          <w:rFonts w:ascii="Calibri" w:hAnsi="Calibri" w:cs="Calibri"/>
          <w:color w:val="000000"/>
        </w:rPr>
        <w:t xml:space="preserve">odoslania elektronického podania </w:t>
      </w:r>
      <w:r w:rsidR="001237D3">
        <w:rPr>
          <w:rFonts w:ascii="Calibri" w:hAnsi="Calibri" w:cs="Calibri"/>
          <w:color w:val="000000"/>
        </w:rPr>
        <w:t xml:space="preserve">do elektronickej schránky orgánu verejnej moci </w:t>
      </w:r>
      <w:r w:rsidR="00B83EFC">
        <w:rPr>
          <w:rFonts w:ascii="Calibri" w:hAnsi="Calibri" w:cs="Calibri"/>
          <w:color w:val="000000"/>
        </w:rPr>
        <w:t>prostredníctvom</w:t>
      </w:r>
      <w:r w:rsidRPr="006B376E">
        <w:rPr>
          <w:rFonts w:ascii="Calibri" w:hAnsi="Calibri" w:cs="Calibri"/>
          <w:color w:val="000000"/>
        </w:rPr>
        <w:t xml:space="preserve"> </w:t>
      </w:r>
      <w:r>
        <w:rPr>
          <w:rFonts w:ascii="Calibri" w:hAnsi="Calibri" w:cs="Calibri"/>
          <w:color w:val="000000"/>
        </w:rPr>
        <w:t>Ústredného portálu verejnej správy (ďalej len „</w:t>
      </w:r>
      <w:r w:rsidRPr="006B376E">
        <w:rPr>
          <w:rFonts w:ascii="Calibri" w:hAnsi="Calibri" w:cs="Calibri"/>
          <w:color w:val="000000"/>
        </w:rPr>
        <w:t>ÚPVS</w:t>
      </w:r>
      <w:r>
        <w:rPr>
          <w:rFonts w:ascii="Calibri" w:hAnsi="Calibri" w:cs="Calibri"/>
          <w:color w:val="000000"/>
        </w:rPr>
        <w:t>“)</w:t>
      </w:r>
      <w:r w:rsidRPr="006B376E">
        <w:rPr>
          <w:rFonts w:ascii="Calibri" w:hAnsi="Calibri" w:cs="Calibri"/>
          <w:color w:val="000000"/>
        </w:rPr>
        <w:t xml:space="preserve"> </w:t>
      </w:r>
      <w:r w:rsidR="00B83EFC">
        <w:rPr>
          <w:rFonts w:ascii="Calibri" w:hAnsi="Calibri" w:cs="Calibri"/>
          <w:color w:val="000000"/>
        </w:rPr>
        <w:t>alebo prostredníctvom špecializovaného portálu</w:t>
      </w:r>
      <w:r w:rsidRPr="006B376E">
        <w:rPr>
          <w:rFonts w:ascii="Calibri" w:hAnsi="Calibri" w:cs="Calibri"/>
          <w:color w:val="000000"/>
        </w:rPr>
        <w:t>, ako náhrady za autorizáciu vo vlastnom zmysle slova tak</w:t>
      </w:r>
      <w:r>
        <w:rPr>
          <w:rFonts w:ascii="Calibri" w:hAnsi="Calibri" w:cs="Calibri"/>
          <w:color w:val="000000"/>
        </w:rPr>
        <w:t>,</w:t>
      </w:r>
      <w:r w:rsidRPr="006B376E">
        <w:rPr>
          <w:rFonts w:ascii="Calibri" w:hAnsi="Calibri" w:cs="Calibri"/>
          <w:color w:val="000000"/>
        </w:rPr>
        <w:t xml:space="preserve"> ako ju poznáme dnes, s použitím autorizačného „nástroja/prostriedku“. </w:t>
      </w:r>
    </w:p>
    <w:p w14:paraId="39B84FA9" w14:textId="37AEDBEA" w:rsidR="006B376E" w:rsidRPr="006B376E" w:rsidRDefault="006B376E" w:rsidP="006B376E">
      <w:pPr>
        <w:pStyle w:val="Normlnywebov"/>
        <w:spacing w:before="120" w:after="120"/>
        <w:jc w:val="both"/>
        <w:rPr>
          <w:rFonts w:ascii="Calibri" w:hAnsi="Calibri" w:cs="Calibri"/>
          <w:color w:val="000000"/>
        </w:rPr>
      </w:pPr>
      <w:r w:rsidRPr="006B376E">
        <w:rPr>
          <w:rFonts w:ascii="Calibri" w:hAnsi="Calibri" w:cs="Calibri"/>
          <w:color w:val="000000"/>
        </w:rPr>
        <w:t xml:space="preserve">Na účely elektronickej úradnej komunikácie a odoslania podania by sa v zmysle zákona o e-Governmente považovalo </w:t>
      </w:r>
      <w:r w:rsidRPr="006B376E">
        <w:rPr>
          <w:rFonts w:ascii="Calibri" w:hAnsi="Calibri" w:cs="Calibri"/>
          <w:color w:val="000000"/>
          <w:u w:val="single"/>
        </w:rPr>
        <w:t xml:space="preserve">za dostatočne preukázané, že osoba, ktorá </w:t>
      </w:r>
      <w:r w:rsidR="003D2B03">
        <w:rPr>
          <w:rFonts w:ascii="Calibri" w:hAnsi="Calibri" w:cs="Calibri"/>
          <w:color w:val="000000"/>
          <w:u w:val="single"/>
        </w:rPr>
        <w:t>podanie odoslala</w:t>
      </w:r>
      <w:r w:rsidRPr="006B376E">
        <w:rPr>
          <w:rFonts w:ascii="Calibri" w:hAnsi="Calibri" w:cs="Calibri"/>
          <w:color w:val="000000"/>
          <w:u w:val="single"/>
        </w:rPr>
        <w:t>, prejavila vôľu odoslať elektronické podanie a súhlasí s obsahom tohto podania</w:t>
      </w:r>
      <w:r w:rsidRPr="006B376E">
        <w:rPr>
          <w:rFonts w:ascii="Calibri" w:hAnsi="Calibri" w:cs="Calibri"/>
          <w:color w:val="000000"/>
        </w:rPr>
        <w:t xml:space="preserve">. </w:t>
      </w:r>
    </w:p>
    <w:p w14:paraId="016E96EB" w14:textId="33073458" w:rsidR="000C3630" w:rsidRDefault="000C3630" w:rsidP="006B376E">
      <w:pPr>
        <w:pStyle w:val="Normlnywebov"/>
        <w:spacing w:before="120" w:after="120"/>
        <w:jc w:val="both"/>
        <w:rPr>
          <w:rFonts w:ascii="Calibri" w:hAnsi="Calibri" w:cs="Calibri"/>
          <w:color w:val="000000"/>
        </w:rPr>
      </w:pPr>
      <w:r>
        <w:rPr>
          <w:rFonts w:ascii="Calibri" w:hAnsi="Calibri" w:cs="Calibri"/>
          <w:color w:val="000000"/>
        </w:rPr>
        <w:t>Navrhovaný spôsob by predstavoval zjednodušenú alternatívu k autorizácii klikom podľa § 23 ods. 1 písm. a) bod 2 zákona o e-Governmente.</w:t>
      </w:r>
      <w:r w:rsidR="007A43EE">
        <w:rPr>
          <w:rFonts w:ascii="Calibri" w:hAnsi="Calibri" w:cs="Calibri"/>
          <w:color w:val="000000"/>
        </w:rPr>
        <w:t xml:space="preserve"> Autorizáci</w:t>
      </w:r>
      <w:r w:rsidR="00272595">
        <w:rPr>
          <w:rFonts w:ascii="Calibri" w:hAnsi="Calibri" w:cs="Calibri"/>
          <w:color w:val="000000"/>
        </w:rPr>
        <w:t>u</w:t>
      </w:r>
      <w:r w:rsidR="007A43EE">
        <w:rPr>
          <w:rFonts w:ascii="Calibri" w:hAnsi="Calibri" w:cs="Calibri"/>
          <w:color w:val="000000"/>
        </w:rPr>
        <w:t xml:space="preserve"> klikom sa zatiaľ navrhuje </w:t>
      </w:r>
      <w:r w:rsidR="00A90938">
        <w:rPr>
          <w:rFonts w:ascii="Calibri" w:hAnsi="Calibri" w:cs="Calibri"/>
          <w:color w:val="000000"/>
        </w:rPr>
        <w:t xml:space="preserve">v zákone </w:t>
      </w:r>
      <w:r w:rsidR="007A43EE">
        <w:rPr>
          <w:rFonts w:ascii="Calibri" w:hAnsi="Calibri" w:cs="Calibri"/>
          <w:color w:val="000000"/>
        </w:rPr>
        <w:t xml:space="preserve">ponechať vzhľadom na </w:t>
      </w:r>
      <w:r w:rsidR="00272595">
        <w:rPr>
          <w:rFonts w:ascii="Calibri" w:hAnsi="Calibri" w:cs="Calibri"/>
          <w:color w:val="000000"/>
        </w:rPr>
        <w:t>zvažovanú možnosť využitia na iné účely</w:t>
      </w:r>
      <w:r w:rsidR="00A90938">
        <w:rPr>
          <w:rFonts w:ascii="Calibri" w:hAnsi="Calibri" w:cs="Calibri"/>
          <w:color w:val="000000"/>
        </w:rPr>
        <w:t>, podľa výsledného posúdenia môže byť autorizácia klikom nahradená</w:t>
      </w:r>
      <w:r w:rsidR="007A43EE">
        <w:rPr>
          <w:rFonts w:ascii="Calibri" w:hAnsi="Calibri" w:cs="Calibri"/>
          <w:color w:val="000000"/>
        </w:rPr>
        <w:t>.</w:t>
      </w:r>
    </w:p>
    <w:p w14:paraId="6ED4E95F" w14:textId="44B8D274" w:rsidR="006B376E" w:rsidRPr="006B376E" w:rsidRDefault="006B376E" w:rsidP="006B376E">
      <w:pPr>
        <w:pStyle w:val="Normlnywebov"/>
        <w:spacing w:before="120" w:after="120"/>
        <w:jc w:val="both"/>
        <w:rPr>
          <w:rFonts w:ascii="Calibri" w:hAnsi="Calibri" w:cs="Calibri"/>
          <w:color w:val="000000"/>
        </w:rPr>
      </w:pPr>
      <w:r w:rsidRPr="006B376E">
        <w:rPr>
          <w:rFonts w:ascii="Calibri" w:hAnsi="Calibri" w:cs="Calibri"/>
          <w:color w:val="000000"/>
        </w:rPr>
        <w:t>De facto ide o obdobné riešenie, aké sa dnes využíva v rámci ÚPVS na základe § 13 ods. 6 zákona o e-Governmente pri vybraných žiadostiach (napr. pri žiadosti o udelení oprávnenia na prístup a disponovanie s elektronickou schránkou, alebo napr. pri žiadosti o deaktiváciu elektronickej schránky)</w:t>
      </w:r>
      <w:r w:rsidR="0034274C">
        <w:rPr>
          <w:rFonts w:ascii="Calibri" w:hAnsi="Calibri" w:cs="Calibri"/>
          <w:color w:val="000000"/>
        </w:rPr>
        <w:t>, kedy sa vyžaduje opakovaná autentifikácia osoby pred odoslaním podania</w:t>
      </w:r>
      <w:r w:rsidRPr="006B376E">
        <w:rPr>
          <w:rFonts w:ascii="Calibri" w:hAnsi="Calibri" w:cs="Calibri"/>
          <w:color w:val="000000"/>
        </w:rPr>
        <w:t xml:space="preserve">. </w:t>
      </w:r>
    </w:p>
    <w:p w14:paraId="7909DFB0" w14:textId="77777777" w:rsidR="006B376E" w:rsidRPr="006B376E" w:rsidRDefault="006B376E" w:rsidP="006B376E">
      <w:pPr>
        <w:pStyle w:val="Normlnywebov"/>
        <w:jc w:val="both"/>
        <w:rPr>
          <w:rFonts w:ascii="Calibri" w:hAnsi="Calibri" w:cs="Calibri"/>
          <w:color w:val="000000"/>
        </w:rPr>
      </w:pPr>
      <w:r w:rsidRPr="006B376E">
        <w:rPr>
          <w:rFonts w:ascii="Calibri" w:hAnsi="Calibri" w:cs="Calibri"/>
          <w:color w:val="000000"/>
        </w:rPr>
        <w:t> </w:t>
      </w:r>
    </w:p>
    <w:p w14:paraId="30810692" w14:textId="77777777" w:rsidR="006B376E" w:rsidRDefault="006B376E" w:rsidP="006B376E">
      <w:pPr>
        <w:pStyle w:val="Normlnywebov"/>
        <w:rPr>
          <w:rFonts w:ascii="Calibri" w:hAnsi="Calibri" w:cs="Calibri"/>
          <w:color w:val="000000"/>
          <w:sz w:val="22"/>
          <w:szCs w:val="22"/>
        </w:rPr>
      </w:pPr>
      <w:r>
        <w:rPr>
          <w:rFonts w:ascii="Calibri" w:hAnsi="Calibri" w:cs="Calibri"/>
          <w:color w:val="000000"/>
          <w:sz w:val="22"/>
          <w:szCs w:val="22"/>
        </w:rPr>
        <w:t> </w:t>
      </w:r>
    </w:p>
    <w:p w14:paraId="60E5E907" w14:textId="77777777" w:rsidR="006B376E" w:rsidRPr="006B376E" w:rsidRDefault="006B376E" w:rsidP="006B376E">
      <w:pPr>
        <w:pStyle w:val="Normlnywebov"/>
        <w:rPr>
          <w:rFonts w:ascii="Calibri" w:hAnsi="Calibri" w:cs="Calibri"/>
          <w:color w:val="000000"/>
          <w:u w:val="single"/>
        </w:rPr>
      </w:pPr>
      <w:r w:rsidRPr="006B376E">
        <w:rPr>
          <w:rFonts w:ascii="Calibri" w:hAnsi="Calibri" w:cs="Calibri"/>
          <w:b/>
          <w:bCs/>
          <w:color w:val="000000"/>
          <w:u w:val="single"/>
        </w:rPr>
        <w:t>Podmienky pre tento spôsob autorizácie:</w:t>
      </w:r>
    </w:p>
    <w:p w14:paraId="6F299126" w14:textId="29AB039E" w:rsidR="006B376E" w:rsidRPr="006B376E" w:rsidRDefault="006B376E" w:rsidP="006B376E">
      <w:pPr>
        <w:pStyle w:val="Normlnywebov"/>
        <w:numPr>
          <w:ilvl w:val="0"/>
          <w:numId w:val="6"/>
        </w:numPr>
        <w:ind w:left="567" w:hanging="425"/>
        <w:jc w:val="both"/>
        <w:rPr>
          <w:rFonts w:ascii="Calibri" w:hAnsi="Calibri" w:cs="Calibri"/>
          <w:color w:val="000000"/>
        </w:rPr>
      </w:pPr>
      <w:r w:rsidRPr="006B376E">
        <w:rPr>
          <w:rFonts w:ascii="Calibri" w:hAnsi="Calibri" w:cs="Calibri"/>
          <w:color w:val="000000"/>
        </w:rPr>
        <w:t>ide výlučne o autorizáciu v prostredí ÚPVS alebo špecializovaného portálu</w:t>
      </w:r>
      <w:r w:rsidR="001315A6">
        <w:rPr>
          <w:rFonts w:ascii="Calibri" w:hAnsi="Calibri" w:cs="Calibri"/>
          <w:color w:val="000000"/>
        </w:rPr>
        <w:t xml:space="preserve"> (t.</w:t>
      </w:r>
      <w:r w:rsidR="0093374E">
        <w:rPr>
          <w:rFonts w:ascii="Calibri" w:hAnsi="Calibri" w:cs="Calibri"/>
          <w:color w:val="000000"/>
        </w:rPr>
        <w:t xml:space="preserve"> </w:t>
      </w:r>
      <w:r w:rsidR="001315A6">
        <w:rPr>
          <w:rFonts w:ascii="Calibri" w:hAnsi="Calibri" w:cs="Calibri"/>
          <w:color w:val="000000"/>
        </w:rPr>
        <w:t>j. odosielateľom správy je systém ÚPVS alebo špecializovaného portálu)</w:t>
      </w:r>
      <w:r w:rsidRPr="006B376E">
        <w:rPr>
          <w:rFonts w:ascii="Calibri" w:hAnsi="Calibri" w:cs="Calibri"/>
          <w:color w:val="000000"/>
        </w:rPr>
        <w:t xml:space="preserve">, </w:t>
      </w:r>
    </w:p>
    <w:p w14:paraId="28B25651" w14:textId="77777777" w:rsidR="006B376E" w:rsidRPr="006B376E" w:rsidRDefault="006B376E" w:rsidP="006B376E">
      <w:pPr>
        <w:pStyle w:val="Normlnywebov"/>
        <w:numPr>
          <w:ilvl w:val="0"/>
          <w:numId w:val="6"/>
        </w:numPr>
        <w:ind w:left="567" w:hanging="425"/>
        <w:jc w:val="both"/>
        <w:rPr>
          <w:rFonts w:ascii="Calibri" w:hAnsi="Calibri" w:cs="Calibri"/>
          <w:color w:val="000000"/>
        </w:rPr>
      </w:pPr>
      <w:r w:rsidRPr="006B376E">
        <w:rPr>
          <w:rFonts w:ascii="Calibri" w:hAnsi="Calibri" w:cs="Calibri"/>
          <w:color w:val="000000"/>
        </w:rPr>
        <w:t>osoba je v elektronickej schránke autentifikovaná najmenej na úrovni „pokročilá“ podľa nariadenia Európskeho parlamentu a Rady (EÚ) č. 910/2014</w:t>
      </w:r>
      <w:r w:rsidRPr="006B376E">
        <w:t xml:space="preserve"> </w:t>
      </w:r>
      <w:r w:rsidRPr="006B376E">
        <w:rPr>
          <w:rFonts w:ascii="Calibri" w:hAnsi="Calibri" w:cs="Calibri"/>
          <w:color w:val="000000"/>
        </w:rPr>
        <w:t>o elektronickej identifikácii a dôveryhodných službách pre elektronické transakcie na vnútornom</w:t>
      </w:r>
      <w:r>
        <w:rPr>
          <w:rFonts w:ascii="Calibri" w:hAnsi="Calibri" w:cs="Calibri"/>
          <w:color w:val="000000"/>
        </w:rPr>
        <w:t xml:space="preserve"> </w:t>
      </w:r>
      <w:r w:rsidRPr="006B376E">
        <w:rPr>
          <w:rFonts w:ascii="Calibri" w:hAnsi="Calibri" w:cs="Calibri"/>
          <w:color w:val="000000"/>
        </w:rPr>
        <w:t>trhu a o zrušení smernice 1999/93/ES (</w:t>
      </w:r>
      <w:r>
        <w:rPr>
          <w:rFonts w:ascii="Calibri" w:hAnsi="Calibri" w:cs="Calibri"/>
          <w:color w:val="000000"/>
        </w:rPr>
        <w:t>ďalej len „</w:t>
      </w:r>
      <w:r w:rsidRPr="006B376E">
        <w:rPr>
          <w:rFonts w:ascii="Calibri" w:hAnsi="Calibri" w:cs="Calibri"/>
          <w:color w:val="000000"/>
        </w:rPr>
        <w:t xml:space="preserve">nariadenie </w:t>
      </w:r>
      <w:r w:rsidR="005B151D">
        <w:rPr>
          <w:rFonts w:ascii="Calibri" w:hAnsi="Calibri" w:cs="Calibri"/>
          <w:color w:val="000000"/>
        </w:rPr>
        <w:t>(EÚ) č. 910/2014“</w:t>
      </w:r>
      <w:r w:rsidRPr="006B376E">
        <w:rPr>
          <w:rFonts w:ascii="Calibri" w:hAnsi="Calibri" w:cs="Calibri"/>
          <w:color w:val="000000"/>
        </w:rPr>
        <w:t xml:space="preserve">), </w:t>
      </w:r>
    </w:p>
    <w:p w14:paraId="5CA63079" w14:textId="77777777" w:rsidR="006B376E" w:rsidRPr="006B376E" w:rsidRDefault="006B376E" w:rsidP="006B376E">
      <w:pPr>
        <w:pStyle w:val="Normlnywebov"/>
        <w:numPr>
          <w:ilvl w:val="0"/>
          <w:numId w:val="6"/>
        </w:numPr>
        <w:ind w:left="567" w:hanging="425"/>
        <w:jc w:val="both"/>
        <w:rPr>
          <w:rFonts w:ascii="Calibri" w:hAnsi="Calibri" w:cs="Calibri"/>
          <w:color w:val="000000"/>
        </w:rPr>
      </w:pPr>
      <w:r w:rsidRPr="006B376E">
        <w:rPr>
          <w:rFonts w:ascii="Calibri" w:hAnsi="Calibri" w:cs="Calibri"/>
          <w:color w:val="000000"/>
        </w:rPr>
        <w:t>podanie neo</w:t>
      </w:r>
      <w:r>
        <w:rPr>
          <w:rFonts w:ascii="Calibri" w:hAnsi="Calibri" w:cs="Calibri"/>
          <w:color w:val="000000"/>
        </w:rPr>
        <w:t>bsahuje inú autorizáciu (napr. kvalifikovaný elektronický podpis</w:t>
      </w:r>
      <w:r w:rsidRPr="006B376E">
        <w:rPr>
          <w:rFonts w:ascii="Calibri" w:hAnsi="Calibri" w:cs="Calibri"/>
          <w:color w:val="000000"/>
        </w:rPr>
        <w:t>)</w:t>
      </w:r>
      <w:r>
        <w:rPr>
          <w:rFonts w:ascii="Calibri" w:hAnsi="Calibri" w:cs="Calibri"/>
          <w:color w:val="000000"/>
        </w:rPr>
        <w:t>,</w:t>
      </w:r>
    </w:p>
    <w:p w14:paraId="523AB902" w14:textId="4B0731C4" w:rsidR="006B376E" w:rsidRPr="00FD2965" w:rsidRDefault="006B376E" w:rsidP="001315A6">
      <w:pPr>
        <w:pStyle w:val="Normlnywebov"/>
        <w:numPr>
          <w:ilvl w:val="0"/>
          <w:numId w:val="6"/>
        </w:numPr>
        <w:ind w:left="567" w:hanging="425"/>
        <w:jc w:val="both"/>
        <w:rPr>
          <w:rFonts w:ascii="Calibri" w:hAnsi="Calibri" w:cs="Calibri"/>
          <w:color w:val="000000"/>
        </w:rPr>
      </w:pPr>
      <w:r w:rsidRPr="006B376E">
        <w:rPr>
          <w:rFonts w:ascii="Calibri" w:hAnsi="Calibri" w:cs="Calibri"/>
          <w:color w:val="000000"/>
        </w:rPr>
        <w:t>fikciu autorizácie nebude možné použiť, ak jej použitie osobitný predpis zakazuje</w:t>
      </w:r>
      <w:r w:rsidRPr="001315A6">
        <w:rPr>
          <w:rFonts w:ascii="Calibri" w:hAnsi="Calibri" w:cs="Calibri"/>
          <w:color w:val="000000"/>
        </w:rPr>
        <w:t>.</w:t>
      </w:r>
    </w:p>
    <w:p w14:paraId="3CDD3150" w14:textId="2A7EB60A" w:rsidR="002F5475" w:rsidRDefault="002F5475" w:rsidP="006B376E">
      <w:pPr>
        <w:pStyle w:val="Normlnywebov"/>
        <w:spacing w:before="120" w:after="120"/>
        <w:jc w:val="both"/>
        <w:rPr>
          <w:rFonts w:ascii="Calibri" w:hAnsi="Calibri" w:cs="Calibri"/>
          <w:color w:val="000000"/>
        </w:rPr>
      </w:pPr>
      <w:r>
        <w:rPr>
          <w:rFonts w:ascii="Calibri" w:hAnsi="Calibri" w:cs="Calibri"/>
          <w:color w:val="000000"/>
        </w:rPr>
        <w:lastRenderedPageBreak/>
        <w:t>Rozšírená alternatíva o autorizáciu viacerými osobami:</w:t>
      </w:r>
    </w:p>
    <w:p w14:paraId="075734D6" w14:textId="00FD21A4" w:rsidR="002F5475" w:rsidRPr="002F5475" w:rsidRDefault="002F5475" w:rsidP="0093374E">
      <w:pPr>
        <w:pStyle w:val="Normlnywebov"/>
        <w:numPr>
          <w:ilvl w:val="0"/>
          <w:numId w:val="6"/>
        </w:numPr>
        <w:ind w:left="567" w:hanging="425"/>
        <w:jc w:val="both"/>
        <w:rPr>
          <w:rFonts w:ascii="Calibri" w:hAnsi="Calibri" w:cs="Calibri"/>
          <w:color w:val="000000"/>
        </w:rPr>
      </w:pPr>
      <w:r w:rsidRPr="006B376E">
        <w:rPr>
          <w:rFonts w:ascii="Calibri" w:hAnsi="Calibri" w:cs="Calibri"/>
          <w:color w:val="000000"/>
        </w:rPr>
        <w:t>ak ide o autorizáciu viacerými osobami, podanie musí byť „po celý čas do odoslania“ na danom portáli</w:t>
      </w:r>
      <w:r>
        <w:rPr>
          <w:rFonts w:ascii="Calibri" w:hAnsi="Calibri" w:cs="Calibri"/>
          <w:color w:val="000000"/>
        </w:rPr>
        <w:t>, t.</w:t>
      </w:r>
      <w:r w:rsidR="0093374E">
        <w:rPr>
          <w:rFonts w:ascii="Calibri" w:hAnsi="Calibri" w:cs="Calibri"/>
          <w:color w:val="000000"/>
        </w:rPr>
        <w:t xml:space="preserve"> </w:t>
      </w:r>
      <w:r>
        <w:rPr>
          <w:rFonts w:ascii="Calibri" w:hAnsi="Calibri" w:cs="Calibri"/>
          <w:color w:val="000000"/>
        </w:rPr>
        <w:t>j. musí prísť k úspešnej autentifikácii všetkých osôb.</w:t>
      </w:r>
    </w:p>
    <w:p w14:paraId="31D866CE" w14:textId="0CB9B1C4" w:rsidR="006B376E" w:rsidRPr="005B151D" w:rsidRDefault="006B376E" w:rsidP="006B376E">
      <w:pPr>
        <w:pStyle w:val="Normlnywebov"/>
        <w:spacing w:before="120" w:after="120"/>
        <w:jc w:val="both"/>
        <w:rPr>
          <w:rFonts w:ascii="Calibri" w:hAnsi="Calibri" w:cs="Calibri"/>
          <w:color w:val="000000"/>
        </w:rPr>
      </w:pPr>
      <w:r w:rsidRPr="005B151D">
        <w:rPr>
          <w:rFonts w:ascii="Calibri" w:hAnsi="Calibri" w:cs="Calibri"/>
          <w:color w:val="000000"/>
        </w:rPr>
        <w:t>Súbežne budú ponechané aj dnes ustanovené možnosti autorizácie.</w:t>
      </w:r>
    </w:p>
    <w:p w14:paraId="55ECC7F3" w14:textId="77777777" w:rsidR="006B376E" w:rsidRPr="005B151D" w:rsidRDefault="006B376E" w:rsidP="006B376E">
      <w:pPr>
        <w:pStyle w:val="Normlnywebov"/>
        <w:jc w:val="both"/>
        <w:rPr>
          <w:rFonts w:ascii="Calibri" w:hAnsi="Calibri" w:cs="Calibri"/>
          <w:color w:val="000000"/>
        </w:rPr>
      </w:pPr>
      <w:r w:rsidRPr="005B151D">
        <w:rPr>
          <w:rFonts w:ascii="Calibri" w:hAnsi="Calibri" w:cs="Calibri"/>
          <w:color w:val="000000"/>
        </w:rPr>
        <w:t xml:space="preserve">Zároveň je potrebné zdôrazniť, že niektoré osobitné predpisy dnes explicitne stanovujú, že elektronické podania musia byť autorizované výlučne kvalifikovaným (zaručeným) elektronickým podpisom, a odporúčame v tejto súvislosti zvážiť legislatívnu zmenu. Príkladom sú napr. zákon č. 461/2003 Z. z. o sociálnom poistení, zákon č. 563/2009 Z. z. o správe daní (daňový poriadok) a o zmene a doplnení niektorých zákonov. </w:t>
      </w:r>
    </w:p>
    <w:p w14:paraId="0229FF74" w14:textId="77777777" w:rsidR="007A43EE" w:rsidRDefault="007A43EE" w:rsidP="006B376E">
      <w:pPr>
        <w:pStyle w:val="Normlnywebov"/>
        <w:rPr>
          <w:rFonts w:ascii="Calibri" w:hAnsi="Calibri" w:cs="Calibri"/>
          <w:color w:val="000000"/>
        </w:rPr>
      </w:pPr>
    </w:p>
    <w:p w14:paraId="0A2A4BDA" w14:textId="2FD890E9" w:rsidR="006B376E" w:rsidRPr="005B151D" w:rsidRDefault="006B376E" w:rsidP="006B376E">
      <w:pPr>
        <w:pStyle w:val="Normlnywebov"/>
        <w:rPr>
          <w:rFonts w:ascii="Calibri" w:hAnsi="Calibri" w:cs="Calibri"/>
          <w:b/>
          <w:color w:val="000000"/>
        </w:rPr>
      </w:pPr>
      <w:r w:rsidRPr="005B151D">
        <w:rPr>
          <w:rFonts w:ascii="Calibri" w:hAnsi="Calibri" w:cs="Calibri"/>
          <w:b/>
          <w:color w:val="000000"/>
          <w:u w:val="single"/>
        </w:rPr>
        <w:t>Pracovný návrh znenia návrhu nového spôsobu autorizácie:</w:t>
      </w:r>
    </w:p>
    <w:p w14:paraId="13AC9894" w14:textId="77777777" w:rsidR="006B376E" w:rsidRPr="005B151D" w:rsidRDefault="006B376E" w:rsidP="0093374E">
      <w:pPr>
        <w:pStyle w:val="Normlnywebov"/>
        <w:spacing w:before="120" w:after="120"/>
        <w:jc w:val="both"/>
        <w:rPr>
          <w:rFonts w:ascii="Calibri" w:hAnsi="Calibri" w:cs="Calibri"/>
          <w:color w:val="000000"/>
        </w:rPr>
      </w:pPr>
      <w:r w:rsidRPr="005B151D">
        <w:rPr>
          <w:rFonts w:ascii="Calibri" w:hAnsi="Calibri" w:cs="Calibri"/>
          <w:color w:val="000000"/>
        </w:rPr>
        <w:t>V § 23 ods. 1 písm. a) zákona o e-Governmente sa na konci dopĺňa nový štvrtý bod, ktorý znie:</w:t>
      </w:r>
    </w:p>
    <w:p w14:paraId="5F6629F3" w14:textId="77777777" w:rsidR="006B376E" w:rsidRPr="005B151D" w:rsidRDefault="006B376E" w:rsidP="006B376E">
      <w:pPr>
        <w:pStyle w:val="Normlnywebov"/>
        <w:jc w:val="both"/>
        <w:rPr>
          <w:rFonts w:ascii="Calibri" w:hAnsi="Calibri" w:cs="Calibri"/>
        </w:rPr>
      </w:pPr>
      <w:r w:rsidRPr="005B151D">
        <w:rPr>
          <w:rFonts w:ascii="Calibri" w:hAnsi="Calibri" w:cs="Calibri"/>
          <w:i/>
          <w:iCs/>
        </w:rPr>
        <w:t>„4. Elektronické podanie odoslané prostredníctvom ústredného portálu alebo špecializovaného portálu sa považuje za autorizované osobou, ktorá bola úspešne autentifikovaná na účely odoslania elektronického podania, ak takéto podanie neobsahuje autorizáciu podľa odseku 1, na autentifikáciu bol použitý autentifikátor, alebo spôsob autentifikácie zodpovedajúci najmenej úrovni pokročilá podľa osobitného predpisu</w:t>
      </w:r>
      <w:r w:rsidRPr="005B151D">
        <w:rPr>
          <w:rFonts w:ascii="Calibri" w:hAnsi="Calibri" w:cs="Calibri"/>
          <w:i/>
          <w:iCs/>
          <w:vertAlign w:val="superscript"/>
        </w:rPr>
        <w:t>20a</w:t>
      </w:r>
      <w:r w:rsidRPr="005B151D">
        <w:rPr>
          <w:rFonts w:ascii="Calibri" w:hAnsi="Calibri" w:cs="Calibri"/>
          <w:i/>
          <w:iCs/>
        </w:rPr>
        <w:t>) a ak ide o autorizáciu viacerými osobami je zabezpečené, že každá z týchto osôb prejaví vôľu odoslať elektronické podanie. Ustanovenia prvej vety sa nepoužijú, ak osobitný predpis ustanovuje inak, alebo ak osobitný predpis pre daný právny úkon vyžaduje úradné osvedčenie podpisu.“.</w:t>
      </w:r>
    </w:p>
    <w:p w14:paraId="3839622C" w14:textId="6EED75C3" w:rsidR="006B376E" w:rsidRPr="005B151D" w:rsidRDefault="006B376E" w:rsidP="0093374E">
      <w:pPr>
        <w:spacing w:before="120" w:after="120"/>
        <w:jc w:val="both"/>
        <w:rPr>
          <w:rFonts w:cstheme="minorHAnsi"/>
          <w:sz w:val="24"/>
          <w:szCs w:val="24"/>
        </w:rPr>
      </w:pPr>
      <w:r w:rsidRPr="005B151D">
        <w:rPr>
          <w:rFonts w:cstheme="minorHAnsi"/>
          <w:sz w:val="24"/>
          <w:szCs w:val="24"/>
        </w:rPr>
        <w:t>Odkaz pod čiarou k odkazu 20a) znie:</w:t>
      </w:r>
    </w:p>
    <w:p w14:paraId="0C780708" w14:textId="33FA99D7" w:rsidR="006B376E" w:rsidRDefault="006B376E" w:rsidP="0093374E">
      <w:pPr>
        <w:spacing w:after="0"/>
        <w:jc w:val="both"/>
        <w:rPr>
          <w:rFonts w:cstheme="minorHAnsi"/>
          <w:sz w:val="24"/>
          <w:szCs w:val="24"/>
        </w:rPr>
      </w:pPr>
      <w:r w:rsidRPr="005B151D">
        <w:rPr>
          <w:rFonts w:cstheme="minorHAnsi"/>
          <w:sz w:val="24"/>
          <w:szCs w:val="24"/>
        </w:rPr>
        <w:t>„Čl. 8 ods. 2 nariadenia (EÚ) č. 910/2014</w:t>
      </w:r>
      <w:r w:rsidR="005B151D" w:rsidRPr="005B151D">
        <w:rPr>
          <w:rFonts w:cstheme="minorHAnsi"/>
          <w:sz w:val="24"/>
          <w:szCs w:val="24"/>
        </w:rPr>
        <w:t>.</w:t>
      </w:r>
      <w:r w:rsidRPr="005B151D">
        <w:rPr>
          <w:rFonts w:cstheme="minorHAnsi"/>
          <w:sz w:val="24"/>
          <w:szCs w:val="24"/>
        </w:rPr>
        <w:t>“.</w:t>
      </w:r>
    </w:p>
    <w:p w14:paraId="1FA6EA17" w14:textId="77777777" w:rsidR="0093374E" w:rsidRDefault="0093374E" w:rsidP="007A43EE">
      <w:pPr>
        <w:pStyle w:val="Normlnywebov"/>
        <w:jc w:val="both"/>
        <w:rPr>
          <w:rFonts w:asciiTheme="minorHAnsi" w:hAnsiTheme="minorHAnsi" w:cstheme="minorHAnsi"/>
        </w:rPr>
      </w:pPr>
    </w:p>
    <w:p w14:paraId="75F7E0CE" w14:textId="363B6538" w:rsidR="007A43EE" w:rsidRPr="0093374E" w:rsidRDefault="003609FC" w:rsidP="007A43EE">
      <w:pPr>
        <w:pStyle w:val="Normlnywebov"/>
        <w:jc w:val="both"/>
        <w:rPr>
          <w:rFonts w:asciiTheme="minorHAnsi" w:hAnsiTheme="minorHAnsi" w:cstheme="minorHAnsi"/>
          <w:b/>
          <w:bCs/>
          <w:color w:val="000000"/>
        </w:rPr>
      </w:pPr>
      <w:r w:rsidRPr="0093374E">
        <w:rPr>
          <w:rFonts w:asciiTheme="minorHAnsi" w:hAnsiTheme="minorHAnsi" w:cstheme="minorHAnsi"/>
        </w:rPr>
        <w:t>Súvisiace ustanovenia v zákone:</w:t>
      </w:r>
    </w:p>
    <w:p w14:paraId="0BBAC5A2" w14:textId="3F91B47B" w:rsidR="007A43EE" w:rsidRDefault="007A43EE" w:rsidP="007A43EE">
      <w:pPr>
        <w:pStyle w:val="Normlnywebov"/>
        <w:jc w:val="both"/>
        <w:rPr>
          <w:rFonts w:ascii="Calibri" w:hAnsi="Calibri" w:cs="Calibri"/>
          <w:b/>
          <w:bCs/>
          <w:color w:val="000000"/>
        </w:rPr>
      </w:pPr>
      <w:r w:rsidRPr="006B376E">
        <w:rPr>
          <w:rFonts w:ascii="Calibri" w:hAnsi="Calibri" w:cs="Calibri"/>
          <w:b/>
          <w:bCs/>
          <w:color w:val="000000"/>
        </w:rPr>
        <w:t xml:space="preserve">§ 13 ods. 6 </w:t>
      </w:r>
      <w:r>
        <w:rPr>
          <w:rFonts w:ascii="Calibri" w:hAnsi="Calibri" w:cs="Calibri"/>
          <w:b/>
          <w:bCs/>
          <w:color w:val="000000"/>
        </w:rPr>
        <w:t>zákona o e-Governmente</w:t>
      </w:r>
      <w:r>
        <w:rPr>
          <w:rFonts w:ascii="Calibri" w:hAnsi="Calibri" w:cs="Calibri"/>
          <w:b/>
          <w:bCs/>
          <w:color w:val="000000"/>
        </w:rPr>
        <w:t xml:space="preserve"> (účinné znenie)</w:t>
      </w:r>
    </w:p>
    <w:p w14:paraId="173CA1F5" w14:textId="77777777" w:rsidR="007A43EE" w:rsidRPr="006B376E" w:rsidRDefault="007A43EE" w:rsidP="007A43EE">
      <w:pPr>
        <w:pStyle w:val="Normlnywebov"/>
        <w:spacing w:before="120" w:after="120"/>
        <w:jc w:val="both"/>
        <w:rPr>
          <w:rFonts w:ascii="Calibri" w:hAnsi="Calibri" w:cs="Calibri"/>
          <w:color w:val="000000"/>
        </w:rPr>
      </w:pPr>
      <w:r>
        <w:rPr>
          <w:rFonts w:ascii="Calibri" w:hAnsi="Calibri" w:cs="Calibri"/>
          <w:i/>
          <w:iCs/>
          <w:color w:val="000000"/>
        </w:rPr>
        <w:t>„</w:t>
      </w:r>
      <w:r w:rsidRPr="006B376E">
        <w:rPr>
          <w:rFonts w:ascii="Calibri" w:hAnsi="Calibri" w:cs="Calibri"/>
          <w:i/>
          <w:iCs/>
          <w:color w:val="000000"/>
        </w:rPr>
        <w:t>Správca modulu elektronických schránok môže na účely autorizácie žiadosti o zriadenie, aktiváciu, zmenu a zrušenie oprávnení na prístup a disponovanie s elektronickou schránkou, deaktiváciu, opätovnú aktiváciu a zvýšenie úložnej kapacity elektronickej schránky vytvoriť autorizačný prostriedok, ktorý je prístupný prostredníctvom funkcie spojenej s príslušnou žiadosťou.</w:t>
      </w:r>
      <w:r>
        <w:rPr>
          <w:rFonts w:ascii="Calibri" w:hAnsi="Calibri" w:cs="Calibri"/>
          <w:i/>
          <w:iCs/>
          <w:color w:val="000000"/>
        </w:rPr>
        <w:t>“.</w:t>
      </w:r>
    </w:p>
    <w:p w14:paraId="5996D4F3" w14:textId="77777777" w:rsidR="007A43EE" w:rsidRDefault="007A43EE">
      <w:pPr>
        <w:spacing w:after="2" w:line="240" w:lineRule="auto"/>
        <w:jc w:val="both"/>
        <w:rPr>
          <w:rFonts w:cstheme="minorHAnsi"/>
          <w:sz w:val="24"/>
          <w:szCs w:val="24"/>
        </w:rPr>
      </w:pPr>
    </w:p>
    <w:p w14:paraId="1451BF9B" w14:textId="402E2FBF" w:rsidR="00971A05" w:rsidRPr="0093374E" w:rsidRDefault="00971A05" w:rsidP="0093374E">
      <w:pPr>
        <w:spacing w:after="2" w:line="240" w:lineRule="auto"/>
        <w:jc w:val="both"/>
        <w:rPr>
          <w:rFonts w:cstheme="minorHAnsi"/>
          <w:sz w:val="24"/>
          <w:szCs w:val="24"/>
        </w:rPr>
      </w:pPr>
      <w:r w:rsidRPr="0093374E">
        <w:rPr>
          <w:rFonts w:cstheme="minorHAnsi"/>
          <w:sz w:val="24"/>
          <w:szCs w:val="24"/>
        </w:rPr>
        <w:t xml:space="preserve">Návrh na úpravu § 23 ods. 1 písm. a) </w:t>
      </w:r>
      <w:r w:rsidR="0093374E">
        <w:rPr>
          <w:rFonts w:cstheme="minorHAnsi"/>
          <w:sz w:val="24"/>
          <w:szCs w:val="24"/>
        </w:rPr>
        <w:t xml:space="preserve">druhého bodu </w:t>
      </w:r>
      <w:r w:rsidRPr="0093374E">
        <w:rPr>
          <w:rFonts w:cstheme="minorHAnsi"/>
          <w:sz w:val="24"/>
          <w:szCs w:val="24"/>
        </w:rPr>
        <w:t>v</w:t>
      </w:r>
      <w:r w:rsidR="007A43EE">
        <w:rPr>
          <w:rFonts w:cstheme="minorHAnsi"/>
          <w:sz w:val="24"/>
          <w:szCs w:val="24"/>
        </w:rPr>
        <w:t xml:space="preserve"> novele </w:t>
      </w:r>
      <w:r w:rsidRPr="0093374E">
        <w:rPr>
          <w:rFonts w:cstheme="minorHAnsi"/>
          <w:sz w:val="24"/>
          <w:szCs w:val="24"/>
        </w:rPr>
        <w:t>zákon</w:t>
      </w:r>
      <w:r w:rsidR="007A43EE">
        <w:rPr>
          <w:rFonts w:cstheme="minorHAnsi"/>
          <w:sz w:val="24"/>
          <w:szCs w:val="24"/>
        </w:rPr>
        <w:t>a</w:t>
      </w:r>
      <w:r w:rsidRPr="0093374E">
        <w:rPr>
          <w:rFonts w:cstheme="minorHAnsi"/>
          <w:sz w:val="24"/>
          <w:szCs w:val="24"/>
        </w:rPr>
        <w:t xml:space="preserve"> o e-Governmente</w:t>
      </w:r>
      <w:r w:rsidR="007A43EE">
        <w:rPr>
          <w:rFonts w:cstheme="minorHAnsi"/>
          <w:sz w:val="24"/>
          <w:szCs w:val="24"/>
        </w:rPr>
        <w:t xml:space="preserve"> (zjednodušenie požiadaviek na autorizáciu klikom)</w:t>
      </w:r>
      <w:r w:rsidRPr="0093374E">
        <w:rPr>
          <w:rFonts w:cstheme="minorHAnsi"/>
          <w:sz w:val="24"/>
          <w:szCs w:val="24"/>
        </w:rPr>
        <w:t>:</w:t>
      </w:r>
    </w:p>
    <w:p w14:paraId="14EF03AB" w14:textId="77777777" w:rsidR="0093374E" w:rsidRDefault="0093374E" w:rsidP="0093374E">
      <w:pPr>
        <w:spacing w:after="2" w:line="240" w:lineRule="auto"/>
        <w:jc w:val="both"/>
        <w:rPr>
          <w:rFonts w:cstheme="minorHAnsi"/>
          <w:sz w:val="24"/>
          <w:szCs w:val="24"/>
        </w:rPr>
      </w:pPr>
    </w:p>
    <w:p w14:paraId="78E44107" w14:textId="5ED10D10" w:rsidR="00F06A26" w:rsidRPr="0093374E" w:rsidRDefault="00F06A26" w:rsidP="0093374E">
      <w:pPr>
        <w:spacing w:after="2" w:line="240" w:lineRule="auto"/>
        <w:jc w:val="both"/>
        <w:rPr>
          <w:rFonts w:cstheme="minorHAnsi"/>
          <w:b/>
          <w:sz w:val="24"/>
          <w:szCs w:val="24"/>
        </w:rPr>
      </w:pPr>
      <w:r w:rsidRPr="0093374E">
        <w:rPr>
          <w:rFonts w:cstheme="minorHAnsi"/>
          <w:b/>
          <w:sz w:val="24"/>
          <w:szCs w:val="24"/>
        </w:rPr>
        <w:t>V § 23 ods. 1 písm. a) druhý bod znie:</w:t>
      </w:r>
    </w:p>
    <w:p w14:paraId="679FB535" w14:textId="77777777" w:rsidR="00F06A26" w:rsidRPr="0093374E" w:rsidRDefault="00F06A26" w:rsidP="0093374E">
      <w:pPr>
        <w:pStyle w:val="Odsekzoznamu"/>
        <w:spacing w:after="2" w:line="240" w:lineRule="auto"/>
        <w:ind w:left="0"/>
        <w:contextualSpacing w:val="0"/>
        <w:jc w:val="both"/>
        <w:rPr>
          <w:rFonts w:cstheme="minorHAnsi"/>
          <w:i/>
          <w:sz w:val="24"/>
          <w:szCs w:val="24"/>
        </w:rPr>
      </w:pPr>
      <w:r w:rsidRPr="0093374E">
        <w:rPr>
          <w:rFonts w:cstheme="minorHAnsi"/>
          <w:i/>
          <w:sz w:val="24"/>
          <w:szCs w:val="24"/>
        </w:rPr>
        <w:t>„2. použitím na to určenej funkcie ústredného portálu, alebo špecializovaného portálu, ktorá je podmienená úspešnou autentifikáciou, zodpovedajúcou najmenej úrovni zabezpečenia „pokročilá“ podľa osobitného predpisu,</w:t>
      </w:r>
      <w:r w:rsidRPr="0093374E">
        <w:rPr>
          <w:rFonts w:cstheme="minorHAnsi"/>
          <w:i/>
          <w:sz w:val="24"/>
          <w:szCs w:val="24"/>
          <w:vertAlign w:val="superscript"/>
        </w:rPr>
        <w:t>20a</w:t>
      </w:r>
      <w:r w:rsidRPr="0093374E">
        <w:rPr>
          <w:rFonts w:cstheme="minorHAnsi"/>
          <w:i/>
          <w:sz w:val="24"/>
          <w:szCs w:val="24"/>
        </w:rPr>
        <w:t>) alebo“.</w:t>
      </w:r>
    </w:p>
    <w:p w14:paraId="1E6DEDDF" w14:textId="494BAC99" w:rsidR="00B83EFC" w:rsidRPr="005B151D" w:rsidRDefault="00B83EFC" w:rsidP="00B83EFC">
      <w:pPr>
        <w:jc w:val="both"/>
        <w:rPr>
          <w:rFonts w:cstheme="minorHAnsi"/>
          <w:sz w:val="24"/>
          <w:szCs w:val="24"/>
        </w:rPr>
      </w:pPr>
    </w:p>
    <w:sectPr w:rsidR="00B83EFC" w:rsidRPr="005B151D" w:rsidSect="00874FB7">
      <w:footerReference w:type="default" r:id="rId7"/>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53F2" w16cex:dateUtc="2022-03-07T08:50:00Z"/>
  <w16cex:commentExtensible w16cex:durableId="25D07024" w16cex:dateUtc="2022-03-07T10:51:00Z"/>
  <w16cex:commentExtensible w16cex:durableId="25D05478" w16cex:dateUtc="2022-03-07T08:52:00Z"/>
  <w16cex:commentExtensible w16cex:durableId="25D07C56" w16cex:dateUtc="2022-03-07T11:43:00Z"/>
  <w16cex:commentExtensible w16cex:durableId="25D05527" w16cex:dateUtc="2022-03-07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E255F" w16cid:durableId="25D053F2"/>
  <w16cid:commentId w16cid:paraId="26FC334A" w16cid:durableId="25D06F2E"/>
  <w16cid:commentId w16cid:paraId="027801EF" w16cid:durableId="25D06F2F"/>
  <w16cid:commentId w16cid:paraId="4E816214" w16cid:durableId="25D07024"/>
  <w16cid:commentId w16cid:paraId="79605F93" w16cid:durableId="25D05478"/>
  <w16cid:commentId w16cid:paraId="7FD14C88" w16cid:durableId="25D06F31"/>
  <w16cid:commentId w16cid:paraId="43E6A24B" w16cid:durableId="25D07C56"/>
  <w16cid:commentId w16cid:paraId="6310B12B" w16cid:durableId="25D05527"/>
  <w16cid:commentId w16cid:paraId="6EB2A76A" w16cid:durableId="25D06F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A65C4" w14:textId="77777777" w:rsidR="00154225" w:rsidRDefault="00154225" w:rsidP="00874FB7">
      <w:pPr>
        <w:spacing w:after="0" w:line="240" w:lineRule="auto"/>
      </w:pPr>
      <w:r>
        <w:separator/>
      </w:r>
    </w:p>
  </w:endnote>
  <w:endnote w:type="continuationSeparator" w:id="0">
    <w:p w14:paraId="2F2DBE03" w14:textId="77777777" w:rsidR="00154225" w:rsidRDefault="00154225" w:rsidP="0087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596546"/>
      <w:docPartObj>
        <w:docPartGallery w:val="Page Numbers (Bottom of Page)"/>
        <w:docPartUnique/>
      </w:docPartObj>
    </w:sdtPr>
    <w:sdtEndPr/>
    <w:sdtContent>
      <w:p w14:paraId="6EA67CBA" w14:textId="6CAAAEA9" w:rsidR="00874FB7" w:rsidRDefault="00874FB7">
        <w:pPr>
          <w:pStyle w:val="Pta"/>
          <w:jc w:val="center"/>
        </w:pPr>
        <w:r>
          <w:fldChar w:fldCharType="begin"/>
        </w:r>
        <w:r>
          <w:instrText>PAGE   \* MERGEFORMAT</w:instrText>
        </w:r>
        <w:r>
          <w:fldChar w:fldCharType="separate"/>
        </w:r>
        <w:r w:rsidR="0093374E">
          <w:rPr>
            <w:noProof/>
          </w:rPr>
          <w:t>2</w:t>
        </w:r>
        <w:r>
          <w:fldChar w:fldCharType="end"/>
        </w:r>
      </w:p>
    </w:sdtContent>
  </w:sdt>
  <w:p w14:paraId="040BD659" w14:textId="77777777" w:rsidR="00874FB7" w:rsidRDefault="00874F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92C08" w14:textId="77777777" w:rsidR="00154225" w:rsidRDefault="00154225" w:rsidP="00874FB7">
      <w:pPr>
        <w:spacing w:after="0" w:line="240" w:lineRule="auto"/>
      </w:pPr>
      <w:r>
        <w:separator/>
      </w:r>
    </w:p>
  </w:footnote>
  <w:footnote w:type="continuationSeparator" w:id="0">
    <w:p w14:paraId="624E1392" w14:textId="77777777" w:rsidR="00154225" w:rsidRDefault="00154225" w:rsidP="00874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6051A"/>
    <w:multiLevelType w:val="hybridMultilevel"/>
    <w:tmpl w:val="D1100A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25BF555F"/>
    <w:multiLevelType w:val="hybridMultilevel"/>
    <w:tmpl w:val="B86479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C10ECA"/>
    <w:multiLevelType w:val="hybridMultilevel"/>
    <w:tmpl w:val="37040FBC"/>
    <w:lvl w:ilvl="0" w:tplc="2FDA4812">
      <w:start w:val="3"/>
      <w:numFmt w:val="bullet"/>
      <w:lvlText w:val=""/>
      <w:lvlJc w:val="left"/>
      <w:pPr>
        <w:ind w:left="780" w:hanging="42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37468D6"/>
    <w:multiLevelType w:val="hybridMultilevel"/>
    <w:tmpl w:val="0F50B936"/>
    <w:lvl w:ilvl="0" w:tplc="98C2E21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0CE3EDA"/>
    <w:multiLevelType w:val="hybridMultilevel"/>
    <w:tmpl w:val="07E8C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892251D"/>
    <w:multiLevelType w:val="hybridMultilevel"/>
    <w:tmpl w:val="76B696EE"/>
    <w:lvl w:ilvl="0" w:tplc="F7448CAE">
      <w:numFmt w:val="bullet"/>
      <w:lvlText w:val="•"/>
      <w:lvlJc w:val="left"/>
      <w:pPr>
        <w:ind w:left="1065" w:hanging="705"/>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A5707F8"/>
    <w:multiLevelType w:val="hybridMultilevel"/>
    <w:tmpl w:val="722207BC"/>
    <w:lvl w:ilvl="0" w:tplc="B3660288">
      <w:numFmt w:val="bullet"/>
      <w:lvlText w:val="•"/>
      <w:lvlJc w:val="left"/>
      <w:pPr>
        <w:ind w:left="1065" w:hanging="705"/>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CBB3FE8"/>
    <w:multiLevelType w:val="hybridMultilevel"/>
    <w:tmpl w:val="B0C045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6A04E48"/>
    <w:multiLevelType w:val="hybridMultilevel"/>
    <w:tmpl w:val="9572C002"/>
    <w:lvl w:ilvl="0" w:tplc="A17233B8">
      <w:start w:val="1"/>
      <w:numFmt w:val="decimal"/>
      <w:lvlText w:val="%1."/>
      <w:lvlJc w:val="left"/>
      <w:pPr>
        <w:ind w:left="720" w:hanging="360"/>
      </w:pPr>
      <w:rPr>
        <w:rFonts w:ascii="Times New Roman" w:hAnsi="Times New Roman" w:cs="Times New Roman" w:hint="default"/>
        <w:b/>
        <w:bCs/>
      </w:rPr>
    </w:lvl>
    <w:lvl w:ilvl="1" w:tplc="2396AB2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5"/>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ED"/>
    <w:rsid w:val="000936D3"/>
    <w:rsid w:val="000C3630"/>
    <w:rsid w:val="001237D3"/>
    <w:rsid w:val="001315A6"/>
    <w:rsid w:val="00136B7F"/>
    <w:rsid w:val="00154225"/>
    <w:rsid w:val="001B63CB"/>
    <w:rsid w:val="00237CDC"/>
    <w:rsid w:val="00272595"/>
    <w:rsid w:val="002F5475"/>
    <w:rsid w:val="0034274C"/>
    <w:rsid w:val="003609FC"/>
    <w:rsid w:val="003D2B03"/>
    <w:rsid w:val="00415DEC"/>
    <w:rsid w:val="00423B72"/>
    <w:rsid w:val="004324D3"/>
    <w:rsid w:val="00445466"/>
    <w:rsid w:val="005B151D"/>
    <w:rsid w:val="00663848"/>
    <w:rsid w:val="006B376E"/>
    <w:rsid w:val="00742D8A"/>
    <w:rsid w:val="007A43EE"/>
    <w:rsid w:val="00874FB7"/>
    <w:rsid w:val="008A6009"/>
    <w:rsid w:val="009036F3"/>
    <w:rsid w:val="00903C9D"/>
    <w:rsid w:val="0093374E"/>
    <w:rsid w:val="00971A05"/>
    <w:rsid w:val="009E4DDF"/>
    <w:rsid w:val="00A03837"/>
    <w:rsid w:val="00A14B1E"/>
    <w:rsid w:val="00A90938"/>
    <w:rsid w:val="00AA009D"/>
    <w:rsid w:val="00B02BE9"/>
    <w:rsid w:val="00B83EFC"/>
    <w:rsid w:val="00C10114"/>
    <w:rsid w:val="00D3787B"/>
    <w:rsid w:val="00D94D8F"/>
    <w:rsid w:val="00D970ED"/>
    <w:rsid w:val="00DA1C06"/>
    <w:rsid w:val="00EF2CB5"/>
    <w:rsid w:val="00F06A26"/>
    <w:rsid w:val="00FA317B"/>
    <w:rsid w:val="00FD29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82A04"/>
  <w15:chartTrackingRefBased/>
  <w15:docId w15:val="{A4E6118A-339A-4F2D-802D-F4A778CE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rsid w:val="00D970ED"/>
    <w:pPr>
      <w:keepNext/>
      <w:keepLines/>
      <w:spacing w:before="400" w:after="120" w:line="276" w:lineRule="auto"/>
      <w:outlineLvl w:val="0"/>
    </w:pPr>
    <w:rPr>
      <w:rFonts w:ascii="Arial" w:eastAsia="Arial" w:hAnsi="Arial" w:cs="Arial"/>
      <w:b/>
      <w:sz w:val="24"/>
      <w:szCs w:val="40"/>
      <w:lang w:val="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970ED"/>
    <w:rPr>
      <w:rFonts w:ascii="Arial" w:eastAsia="Arial" w:hAnsi="Arial" w:cs="Arial"/>
      <w:b/>
      <w:sz w:val="24"/>
      <w:szCs w:val="40"/>
      <w:lang w:val="sk" w:eastAsia="sk-SK"/>
    </w:rPr>
  </w:style>
  <w:style w:type="paragraph" w:styleId="Odsekzoznamu">
    <w:name w:val="List Paragraph"/>
    <w:basedOn w:val="Normlny"/>
    <w:uiPriority w:val="34"/>
    <w:qFormat/>
    <w:rsid w:val="00D970ED"/>
    <w:pPr>
      <w:spacing w:line="256" w:lineRule="auto"/>
      <w:ind w:left="720"/>
      <w:contextualSpacing/>
    </w:pPr>
  </w:style>
  <w:style w:type="paragraph" w:styleId="Hlavika">
    <w:name w:val="header"/>
    <w:basedOn w:val="Normlny"/>
    <w:link w:val="HlavikaChar"/>
    <w:uiPriority w:val="99"/>
    <w:unhideWhenUsed/>
    <w:rsid w:val="00874F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FB7"/>
  </w:style>
  <w:style w:type="paragraph" w:styleId="Pta">
    <w:name w:val="footer"/>
    <w:basedOn w:val="Normlny"/>
    <w:link w:val="PtaChar"/>
    <w:uiPriority w:val="99"/>
    <w:unhideWhenUsed/>
    <w:rsid w:val="00874FB7"/>
    <w:pPr>
      <w:tabs>
        <w:tab w:val="center" w:pos="4536"/>
        <w:tab w:val="right" w:pos="9072"/>
      </w:tabs>
      <w:spacing w:after="0" w:line="240" w:lineRule="auto"/>
    </w:pPr>
  </w:style>
  <w:style w:type="character" w:customStyle="1" w:styleId="PtaChar">
    <w:name w:val="Päta Char"/>
    <w:basedOn w:val="Predvolenpsmoodseku"/>
    <w:link w:val="Pta"/>
    <w:uiPriority w:val="99"/>
    <w:rsid w:val="00874FB7"/>
  </w:style>
  <w:style w:type="paragraph" w:styleId="Normlnywebov">
    <w:name w:val="Normal (Web)"/>
    <w:basedOn w:val="Normlny"/>
    <w:uiPriority w:val="99"/>
    <w:unhideWhenUsed/>
    <w:rsid w:val="006B376E"/>
    <w:pPr>
      <w:spacing w:after="0" w:line="240" w:lineRule="auto"/>
    </w:pPr>
    <w:rPr>
      <w:rFonts w:ascii="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0936D3"/>
    <w:rPr>
      <w:sz w:val="16"/>
      <w:szCs w:val="16"/>
    </w:rPr>
  </w:style>
  <w:style w:type="paragraph" w:styleId="Textkomentra">
    <w:name w:val="annotation text"/>
    <w:basedOn w:val="Normlny"/>
    <w:link w:val="TextkomentraChar"/>
    <w:uiPriority w:val="99"/>
    <w:semiHidden/>
    <w:unhideWhenUsed/>
    <w:rsid w:val="000936D3"/>
    <w:pPr>
      <w:spacing w:line="240" w:lineRule="auto"/>
    </w:pPr>
    <w:rPr>
      <w:sz w:val="20"/>
      <w:szCs w:val="20"/>
    </w:rPr>
  </w:style>
  <w:style w:type="character" w:customStyle="1" w:styleId="TextkomentraChar">
    <w:name w:val="Text komentára Char"/>
    <w:basedOn w:val="Predvolenpsmoodseku"/>
    <w:link w:val="Textkomentra"/>
    <w:uiPriority w:val="99"/>
    <w:semiHidden/>
    <w:rsid w:val="000936D3"/>
    <w:rPr>
      <w:sz w:val="20"/>
      <w:szCs w:val="20"/>
    </w:rPr>
  </w:style>
  <w:style w:type="paragraph" w:styleId="Predmetkomentra">
    <w:name w:val="annotation subject"/>
    <w:basedOn w:val="Textkomentra"/>
    <w:next w:val="Textkomentra"/>
    <w:link w:val="PredmetkomentraChar"/>
    <w:uiPriority w:val="99"/>
    <w:semiHidden/>
    <w:unhideWhenUsed/>
    <w:rsid w:val="000936D3"/>
    <w:rPr>
      <w:b/>
      <w:bCs/>
    </w:rPr>
  </w:style>
  <w:style w:type="character" w:customStyle="1" w:styleId="PredmetkomentraChar">
    <w:name w:val="Predmet komentára Char"/>
    <w:basedOn w:val="TextkomentraChar"/>
    <w:link w:val="Predmetkomentra"/>
    <w:uiPriority w:val="99"/>
    <w:semiHidden/>
    <w:rsid w:val="000936D3"/>
    <w:rPr>
      <w:b/>
      <w:bCs/>
      <w:sz w:val="20"/>
      <w:szCs w:val="20"/>
    </w:rPr>
  </w:style>
  <w:style w:type="paragraph" w:styleId="Textbubliny">
    <w:name w:val="Balloon Text"/>
    <w:basedOn w:val="Normlny"/>
    <w:link w:val="TextbublinyChar"/>
    <w:uiPriority w:val="99"/>
    <w:semiHidden/>
    <w:unhideWhenUsed/>
    <w:rsid w:val="00237CD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37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67652">
      <w:bodyDiv w:val="1"/>
      <w:marLeft w:val="0"/>
      <w:marRight w:val="0"/>
      <w:marTop w:val="0"/>
      <w:marBottom w:val="0"/>
      <w:divBdr>
        <w:top w:val="none" w:sz="0" w:space="0" w:color="auto"/>
        <w:left w:val="none" w:sz="0" w:space="0" w:color="auto"/>
        <w:bottom w:val="none" w:sz="0" w:space="0" w:color="auto"/>
        <w:right w:val="none" w:sz="0" w:space="0" w:color="auto"/>
      </w:divBdr>
    </w:div>
    <w:div w:id="814369631">
      <w:bodyDiv w:val="1"/>
      <w:marLeft w:val="0"/>
      <w:marRight w:val="0"/>
      <w:marTop w:val="0"/>
      <w:marBottom w:val="0"/>
      <w:divBdr>
        <w:top w:val="none" w:sz="0" w:space="0" w:color="auto"/>
        <w:left w:val="none" w:sz="0" w:space="0" w:color="auto"/>
        <w:bottom w:val="none" w:sz="0" w:space="0" w:color="auto"/>
        <w:right w:val="none" w:sz="0" w:space="0" w:color="auto"/>
      </w:divBdr>
    </w:div>
    <w:div w:id="1216046218">
      <w:bodyDiv w:val="1"/>
      <w:marLeft w:val="0"/>
      <w:marRight w:val="0"/>
      <w:marTop w:val="0"/>
      <w:marBottom w:val="0"/>
      <w:divBdr>
        <w:top w:val="none" w:sz="0" w:space="0" w:color="auto"/>
        <w:left w:val="none" w:sz="0" w:space="0" w:color="auto"/>
        <w:bottom w:val="none" w:sz="0" w:space="0" w:color="auto"/>
        <w:right w:val="none" w:sz="0" w:space="0" w:color="auto"/>
      </w:divBdr>
    </w:div>
    <w:div w:id="1518304447">
      <w:bodyDiv w:val="1"/>
      <w:marLeft w:val="0"/>
      <w:marRight w:val="0"/>
      <w:marTop w:val="0"/>
      <w:marBottom w:val="0"/>
      <w:divBdr>
        <w:top w:val="none" w:sz="0" w:space="0" w:color="auto"/>
        <w:left w:val="none" w:sz="0" w:space="0" w:color="auto"/>
        <w:bottom w:val="none" w:sz="0" w:space="0" w:color="auto"/>
        <w:right w:val="none" w:sz="0" w:space="0" w:color="auto"/>
      </w:divBdr>
    </w:div>
    <w:div w:id="1740177971">
      <w:bodyDiv w:val="1"/>
      <w:marLeft w:val="0"/>
      <w:marRight w:val="0"/>
      <w:marTop w:val="0"/>
      <w:marBottom w:val="0"/>
      <w:divBdr>
        <w:top w:val="none" w:sz="0" w:space="0" w:color="auto"/>
        <w:left w:val="none" w:sz="0" w:space="0" w:color="auto"/>
        <w:bottom w:val="none" w:sz="0" w:space="0" w:color="auto"/>
        <w:right w:val="none" w:sz="0" w:space="0" w:color="auto"/>
      </w:divBdr>
    </w:div>
    <w:div w:id="19129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4324</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Drotárová, Veronika</dc:creator>
  <cp:keywords/>
  <dc:description/>
  <cp:lastModifiedBy>Drotárová, Veronika</cp:lastModifiedBy>
  <cp:revision>2</cp:revision>
  <dcterms:created xsi:type="dcterms:W3CDTF">2022-03-07T14:14:00Z</dcterms:created>
  <dcterms:modified xsi:type="dcterms:W3CDTF">2022-03-07T14:14:00Z</dcterms:modified>
</cp:coreProperties>
</file>