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</w:r>
    </w:p>
    <w:tbl>
      <w:tblPr>
        <w:tblStyle w:val="Table1"/>
        <w:tblW w:w="138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0364"/>
        <w:gridCol w:w="3525"/>
      </w:tblGrid>
      <w:tr>
        <w:trPr>
          <w:trHeight w:val="240" w:hRule="atLeast"/>
        </w:trPr>
        <w:tc>
          <w:tcPr>
            <w:tcW w:w="10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666666"/>
            </w:tcBorders>
          </w:tcPr>
          <w:p>
            <w:pPr>
              <w:pStyle w:val="Normal1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TERMÍN: 02.12.2020</w:t>
            </w:r>
          </w:p>
        </w:tc>
        <w:tc>
          <w:tcPr>
            <w:tcW w:w="35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xx28792xx</w:t>
            </w:r>
          </w:p>
        </w:tc>
      </w:tr>
      <w:tr>
        <w:trPr/>
        <w:tc>
          <w:tcPr>
            <w:tcW w:w="10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</w:r>
          </w:p>
        </w:tc>
        <w:tc>
          <w:tcPr>
            <w:tcW w:w="35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Recenzia A</w:t>
            </w:r>
          </w:p>
        </w:tc>
      </w:tr>
      <w:tr>
        <w:trPr>
          <w:trHeight w:val="60" w:hRule="atLeast"/>
        </w:trPr>
        <w:tc>
          <w:tcPr>
            <w:tcW w:w="10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</w:r>
          </w:p>
        </w:tc>
        <w:tc>
          <w:tcPr>
            <w:tcW w:w="35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Ján Suchal</w:t>
            </w:r>
          </w:p>
        </w:tc>
      </w:tr>
      <w:tr>
        <w:trPr/>
        <w:tc>
          <w:tcPr>
            <w:tcW w:w="10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</w:r>
          </w:p>
        </w:tc>
        <w:tc>
          <w:tcPr>
            <w:tcW w:w="35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>
            <w:pPr>
              <w:pStyle w:val="Normal1"/>
              <w:spacing w:lineRule="auto" w:line="240"/>
              <w:rPr>
                <w:b/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jan.suchal@slovensko.digital</w:t>
            </w:r>
          </w:p>
        </w:tc>
      </w:tr>
    </w:tbl>
    <w:p>
      <w:pPr>
        <w:pStyle w:val="Normal1"/>
        <w:ind w:left="10080" w:firstLine="720"/>
        <w:rPr>
          <w:i/>
          <w:i/>
          <w:color w:val="666666"/>
          <w:sz w:val="16"/>
          <w:szCs w:val="16"/>
        </w:rPr>
      </w:pPr>
      <w:r>
        <w:rPr>
          <w:i/>
          <w:color w:val="666666"/>
          <w:sz w:val="16"/>
          <w:szCs w:val="16"/>
        </w:rPr>
        <w:t>Prosím nezasahujte do tejto tabuľky</w:t>
      </w:r>
    </w:p>
    <w:p>
      <w:pPr>
        <w:pStyle w:val="Normal1"/>
        <w:spacing w:lineRule="auto" w:line="276" w:before="0" w:after="0"/>
        <w:rPr>
          <w:i/>
          <w:i/>
          <w:color w:val="666666"/>
          <w:sz w:val="16"/>
          <w:szCs w:val="16"/>
        </w:rPr>
      </w:pPr>
      <w:r>
        <w:rPr/>
        <mc:AlternateContent>
          <mc:Choice Requires="wps">
            <w:drawing>
              <wp:inline distT="0" distB="0" distL="0" distR="0">
                <wp:extent cx="886396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88632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697.8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spacing w:lineRule="auto" w:line="276" w:before="200" w:after="0"/>
        <w:rPr>
          <w:b/>
          <w:b/>
        </w:rPr>
      </w:pPr>
      <w:r>
        <w:rPr/>
        <w:t>RECENZENT/KA (meno a priezvisko, pozícia, inštitúcia)</w:t>
      </w:r>
      <w:r>
        <w:rPr>
          <w:b/>
        </w:rPr>
        <w:t>:</w:t>
      </w:r>
      <w:r>
        <w:rPr/>
        <w:t xml:space="preserve"> </w:t>
      </w:r>
      <w:r>
        <w:rPr>
          <w:b/>
        </w:rPr>
        <w:t xml:space="preserve">Ján Suchal                                                                                                                                         </w:t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  <w:t>NÁZOV MATERIÁLU:</w:t>
      </w:r>
      <w:r>
        <w:rPr>
          <w:b/>
        </w:rPr>
        <w:t xml:space="preserve"> kDE SI Slovensko?</w:t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  <w:t>TYP VÝSTUPU*[1]:</w:t>
      </w:r>
      <w:r>
        <w:rPr>
          <w:b/>
        </w:rPr>
        <w:t xml:space="preserve"> Komentár</w:t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  <w:t>(pri spoločných výstupoch uviesť aj typy individuálnych vkladov):</w:t>
      </w:r>
      <w:r>
        <w:rPr>
          <w:b/>
        </w:rPr>
        <w:t xml:space="preserve"> </w:t>
      </w:r>
    </w:p>
    <w:p>
      <w:pPr>
        <w:pStyle w:val="Normal1"/>
        <w:rPr/>
      </w:pPr>
      <w:r>
        <w:rPr/>
        <w:t>ANALYTICKÝ ÚTVAR, REZORT:</w:t>
      </w:r>
      <w:r>
        <w:rPr>
          <w:b/>
        </w:rPr>
        <w:t xml:space="preserve"> Ministerstvo investícií, regionálneho rozvoja a informatizácie SR  - Inštitút digitálnych a rozvojových politík</w:t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  <w:t>AUTORI/KY:</w:t>
      </w:r>
      <w:r>
        <w:rPr>
          <w:b/>
        </w:rPr>
        <w:t xml:space="preserve"> Nikola Bírošíková, Pavol Fedor, Peter Vilim, Alojz Vyčislík; </w:t>
      </w:r>
    </w:p>
    <w:p>
      <w:pPr>
        <w:pStyle w:val="Normal1"/>
        <w:spacing w:lineRule="auto" w:line="276" w:before="0" w:after="0"/>
        <w:rPr/>
      </w:pPr>
      <w:r>
        <w:rPr/>
        <w:t xml:space="preserve">SPOLUAUTORI/KY:  -  - ;  -  - ;  -  - ;  -  - </w:t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  <w:t>RECENZNÝ FORMÁT*[2]:</w:t>
      </w:r>
      <w:r>
        <w:rPr>
          <w:b/>
        </w:rPr>
        <w:t xml:space="preserve"> 1</w:t>
      </w:r>
    </w:p>
    <w:p>
      <w:pPr>
        <w:pStyle w:val="Normal1"/>
        <w:spacing w:lineRule="auto" w:line="240"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240" w:before="240" w:after="240"/>
        <w:rPr>
          <w:b/>
          <w:b/>
        </w:rPr>
      </w:pPr>
      <w:r>
        <w:rPr>
          <w:b/>
        </w:rPr>
        <w:t>PRIPOMIENKY:</w:t>
      </w:r>
    </w:p>
    <w:tbl>
      <w:tblPr>
        <w:tblStyle w:val="Table2"/>
        <w:tblW w:w="1389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4"/>
        <w:gridCol w:w="1995"/>
        <w:gridCol w:w="4156"/>
        <w:gridCol w:w="4320"/>
        <w:gridCol w:w="2835"/>
      </w:tblGrid>
      <w:tr>
        <w:trPr>
          <w:trHeight w:val="1100" w:hRule="atLeast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Pripomienka sa vzťahuje k (strana, odsek):</w:t>
            </w:r>
          </w:p>
        </w:tc>
        <w:tc>
          <w:tcPr>
            <w:tcW w:w="4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Text pripomienky*[3]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Odôvodnenie pripomienky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Vysporiadanie sa s pripomienkou*[4]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  <w:t>1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/>
              <w:t>Analytická časť (prvých 15 strán)</w:t>
            </w:r>
          </w:p>
        </w:tc>
        <w:tc>
          <w:tcPr>
            <w:tcW w:w="4156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 xml:space="preserve">Podstatná časť materiálu je venovaná </w:t>
            </w:r>
            <w:r>
              <w:rPr/>
              <w:t xml:space="preserve">štatistickému spracovaniu indikátorov a </w:t>
            </w:r>
            <w:r>
              <w:rPr/>
              <w:t xml:space="preserve">vypichnutiu indikátorov, ktoré </w:t>
            </w:r>
            <w:r>
              <w:rPr/>
              <w:t>sa podstatne zmenili, a</w:t>
            </w:r>
            <w:r>
              <w:rPr/>
              <w:t xml:space="preserve">však nejdú do hĺbky, ktorá by bola potrebná pre pochopenie prečo nastali nejaké dramatické poklesy/posuny a čo je potrebné spraviť, aby Slovensko v DESI </w:t>
            </w:r>
            <w:r>
              <w:rPr/>
              <w:t>indexe</w:t>
            </w:r>
            <w:r>
              <w:rPr/>
              <w:t xml:space="preserve"> rástlo. Bolo by vhodné v analýze identifikovať konkrétne KPI, ktoré sa </w:t>
            </w:r>
            <w:r>
              <w:rPr/>
              <w:t>do DESI indexu vstupujú</w:t>
            </w:r>
            <w:r>
              <w:rPr/>
              <w:t xml:space="preserve">, </w:t>
            </w:r>
            <w:r>
              <w:rPr/>
              <w:t>identifikovať dôvody veľkých prepadov/rastov a taktiež identifikovať best practices/projekty/iniciatívy, ktoré pomohli v iných krajinám.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  <w:r>
              <w:rPr/>
              <w:t>Odporúčania (s. 17)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  <w:r>
              <w:rPr/>
              <w:t>Tieto odporúčania sú príliš vysokoúrovňové a nijako sa neodkazujú na predchádzajúcu analytickú časť. V princípe len konštatujú, že DESI indexom je potrebné sa zaoberať hlbšie, čo som očakával práve od tohto analytického komentára.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  <w:r>
              <w:rPr/>
              <w:t>Odporúčania (s. 17)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Okrem hlbšieho pohľadu na DESI index považujem za  potrebné identikovať </w:t>
            </w:r>
            <w:r>
              <w:rPr/>
              <w:t>a popísať</w:t>
            </w:r>
            <w:r>
              <w:rPr/>
              <w:t xml:space="preserve"> a</w:t>
            </w:r>
            <w:r>
              <w:rPr/>
              <w:t>j „riziká doslovného plnenia“ jednotlivých KPI, ktoré DESI index využíva. (napr. zvyšovanie počtu predvyplnených formulárov, môže byť kontraproduktívne a je skôr vanity metric, ktorá pôjde bude tlačiť úplne proti klúčovému biznis cieľu -  optimalizácie biznis procesov v eGovernemente)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4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5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6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7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8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9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560" w:hRule="atLeast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center"/>
              <w:rPr/>
            </w:pPr>
            <w:r>
              <w:rPr/>
              <w:t>10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lineRule="auto" w:line="240" w:before="40" w:after="40"/>
              <w:jc w:val="both"/>
              <w:rPr/>
            </w:pPr>
            <w:r>
              <w:rPr/>
              <w:t xml:space="preserve"> 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240" w:before="200" w:after="0"/>
        <w:rPr/>
      </w:pPr>
      <w:r>
        <w:rPr>
          <w:b/>
        </w:rPr>
        <w:t>CELKOVÉ HODNOTENIE (recenzent/ka vyplní túto časť po vysporiadaní sa s pripomienkami analytickou jednotkou):</w:t>
      </w:r>
    </w:p>
    <w:tbl>
      <w:tblPr>
        <w:tblStyle w:val="Table3"/>
        <w:tblW w:w="139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905"/>
      </w:tblGrid>
      <w:tr>
        <w:trPr>
          <w:trHeight w:val="2560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0E0E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mc:AlternateContent>
          <mc:Choice Requires="wps">
            <w:drawing>
              <wp:inline distT="0" distB="0" distL="0" distR="0">
                <wp:extent cx="886396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88632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697.8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1"/>
        <w:spacing w:lineRule="auto" w:line="360"/>
        <w:rPr/>
      </w:pPr>
      <w:r>
        <w:rPr>
          <w:sz w:val="20"/>
          <w:szCs w:val="20"/>
        </w:rPr>
        <w:t>[1]</w:t>
      </w:r>
      <w:r>
        <w:rPr/>
        <w:t xml:space="preserve"> </w:t>
      </w:r>
      <w:r>
        <w:rPr>
          <w:color w:val="222222"/>
        </w:rPr>
        <w:t>Výber medzi: 1. analýza (komplexný analytický materiál s návrhmi konkrétnych systémových opatrení); 2. komentár (rozsahovo menší analytický materiál venujúci sa konkrétnemu čiastkovému problému); 3. manuál (metodické usmernenie vyplývajúce z potreby zjednotenia procesov a postupov v konkrétnej oblasti)</w:t>
      </w:r>
      <w:r>
        <w:rPr/>
        <w:t>.</w:t>
      </w:r>
    </w:p>
    <w:p>
      <w:pPr>
        <w:pStyle w:val="Normal1"/>
        <w:spacing w:lineRule="auto" w:line="360"/>
        <w:rPr/>
      </w:pPr>
      <w:r>
        <w:rPr>
          <w:sz w:val="20"/>
          <w:szCs w:val="20"/>
        </w:rPr>
        <w:t>[2]</w:t>
      </w:r>
      <w:r>
        <w:rPr/>
        <w:t xml:space="preserve"> </w:t>
      </w:r>
      <w:r>
        <w:rPr>
          <w:color w:val="222222"/>
        </w:rPr>
        <w:t>Formát 1 pre komentár/manuál  (2 recenzenti bez povinného odborného workshopu); Formát 2 pre analýzu (3 recenzenti a povinný odborný workshop)</w:t>
      </w:r>
      <w:r>
        <w:rPr/>
        <w:t>.</w:t>
      </w:r>
    </w:p>
    <w:p>
      <w:pPr>
        <w:pStyle w:val="Normal1"/>
        <w:spacing w:lineRule="auto" w:line="360"/>
        <w:jc w:val="both"/>
        <w:rPr/>
      </w:pPr>
      <w:r>
        <w:rPr>
          <w:sz w:val="20"/>
          <w:szCs w:val="20"/>
        </w:rPr>
        <w:t>[3]</w:t>
      </w:r>
      <w:r>
        <w:rPr/>
        <w:t xml:space="preserve"> </w:t>
      </w:r>
      <w:r>
        <w:rPr>
          <w:color w:val="222222"/>
        </w:rPr>
        <w:t>Do tabuľky značiť pripomienky zásadného metodologického a obsahového charakteru (nie štylistické či gramatické opravy)</w:t>
      </w:r>
      <w:r>
        <w:rPr/>
        <w:t>.</w:t>
      </w:r>
    </w:p>
    <w:p>
      <w:pPr>
        <w:pStyle w:val="Normal1"/>
        <w:spacing w:lineRule="auto" w:line="360"/>
        <w:jc w:val="both"/>
        <w:rPr/>
      </w:pPr>
      <w:r>
        <w:rPr>
          <w:sz w:val="20"/>
          <w:szCs w:val="20"/>
        </w:rPr>
        <w:t>[4]</w:t>
      </w:r>
      <w:r>
        <w:rPr/>
        <w:t xml:space="preserve"> </w:t>
      </w:r>
      <w:r>
        <w:rPr>
          <w:color w:val="222222"/>
        </w:rPr>
        <w:t>Vyplní analytická jednotka: pripomienka bola akceptovaná / pripomienka nebola akceptovaná a zdôvodnenie / pripomienka bola čiastočne akceptovaná a zdôvodnenie</w:t>
      </w:r>
      <w:r>
        <w:rPr/>
        <w:t>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360"/>
      <w:jc w:val="both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left"/>
      <w:rPr>
        <w:b/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>RECENZNÉ KONANIE</w:t>
      <w:tab/>
      <w:tab/>
      <w:tab/>
      <w:tab/>
      <w:tab/>
      <w:tab/>
      <w:t xml:space="preserve">    </w:t>
      <w:tab/>
      <w:tab/>
      <w:tab/>
      <w:tab/>
      <w:tab/>
      <w:tab/>
      <w:t xml:space="preserve"> </w:t>
      <w:tab/>
      <w:t>PRIPOMIENKOVACÍ HÁROK</w:t>
    </w:r>
  </w:p>
  <w:p>
    <w:pPr>
      <w:pStyle w:val="Normal1"/>
      <w:spacing w:lineRule="auto" w:line="240" w:before="0" w:after="0"/>
      <w:ind w:left="0" w:hanging="0"/>
      <w:jc w:val="left"/>
      <w:rPr>
        <w:i/>
        <w:i/>
        <w:color w:val="666666"/>
        <w:sz w:val="16"/>
        <w:szCs w:val="16"/>
      </w:rPr>
    </w:pPr>
    <w:r>
      <w:rPr>
        <w:i/>
        <w:color w:val="666666"/>
        <w:sz w:val="16"/>
        <w:szCs w:val="16"/>
      </w:rPr>
    </w:r>
  </w:p>
  <w:p>
    <w:pPr>
      <w:pStyle w:val="Normal1"/>
      <w:rPr>
        <w:b/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LibreOffice/6.4.6.2$Linux_X86_64 LibreOffice_project/40$Build-2</Application>
  <Pages>4</Pages>
  <Words>377</Words>
  <Characters>2453</Characters>
  <CharactersWithSpaces>2995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2020-12-02T21:23:22Z</dcterms:modified>
  <cp:revision>3</cp:revision>
  <dc:subject/>
  <dc:title/>
</cp:coreProperties>
</file>