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854D" w14:textId="34E4DEB6" w:rsidR="004D0F8B" w:rsidRDefault="004D0F8B" w:rsidP="004D0F8B">
      <w:pPr>
        <w:pStyle w:val="Nadpis2"/>
      </w:pPr>
      <w:r>
        <w:t xml:space="preserve">Príloha č. </w:t>
      </w:r>
      <w:r w:rsidR="001D766A">
        <w:t>3</w:t>
      </w:r>
      <w:r>
        <w:t xml:space="preserve"> - Východiská prínosov </w:t>
      </w:r>
    </w:p>
    <w:p w14:paraId="3E9ABE78" w14:textId="77777777" w:rsidR="004D0F8B" w:rsidRDefault="004D0F8B"/>
    <w:p w14:paraId="759BB829" w14:textId="72FC8C5E" w:rsidR="001153EC" w:rsidRDefault="00314A8A">
      <w:r>
        <w:t xml:space="preserve">Východiskovým parametrom pre vyhodnotenie návratnosti projektu je akútna potreba riešenia vzniknutého archívneho dlhu na úrovni 200 km archívnych dokumentov. Požiadavka na jeho podstatnú elimináciu počas 10-ročného horizontu trvania projektu pri použití doterajších procesov a kapacít by viedla k rádovému nárastu ľudských kapacít, čo v súčasnej situácii nie je možné. Optimálnym riešením je použitie pokročilých automatizačných technológií s použitím prvkov </w:t>
      </w:r>
      <w:r w:rsidR="00F96827">
        <w:t>strojového učenia</w:t>
      </w:r>
      <w:r>
        <w:t xml:space="preserve">, ktoré urýchlia a zefektívnia spracovanie a sprístupnenie archívnych dokumentov, čo je predmetom predkladaného projektu. </w:t>
      </w:r>
    </w:p>
    <w:p w14:paraId="5DA1DEB8" w14:textId="77777777" w:rsidR="004D0F8B" w:rsidRDefault="004D0F8B"/>
    <w:p w14:paraId="71F4FF44" w14:textId="77777777" w:rsidR="001153EC" w:rsidRDefault="00314A8A" w:rsidP="004D0F8B">
      <w:pPr>
        <w:pStyle w:val="Nadpis3"/>
      </w:pPr>
      <w:r>
        <w:t>Kvantitatívna úroveň</w:t>
      </w:r>
    </w:p>
    <w:p w14:paraId="5EF1D600" w14:textId="77777777" w:rsidR="001153EC" w:rsidRDefault="00314A8A">
      <w:r>
        <w:t>Na kvantitatívnej úrovni je možné úspory rozdeliť do nasledujúcich základných oblastí:</w:t>
      </w:r>
    </w:p>
    <w:p w14:paraId="7EABB967" w14:textId="77777777" w:rsidR="001153EC" w:rsidRDefault="00314A8A" w:rsidP="00F968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Úspora času odborných pracovníkov systému štátnych archívov, strávených pri manuálnom popisovaní archívnych dokumentov, </w:t>
      </w:r>
    </w:p>
    <w:p w14:paraId="1CF4AAD8" w14:textId="77777777" w:rsidR="001153EC" w:rsidRDefault="00314A8A" w:rsidP="00F968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Úspora času odborných pracovníkov systému štátnych archívov, strávených pri sprístupňovaní archívnych dokumentov, </w:t>
      </w:r>
    </w:p>
    <w:p w14:paraId="714ACED9" w14:textId="77777777" w:rsidR="001153EC" w:rsidRDefault="00314A8A" w:rsidP="00F968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Úspory občanov – užívateľov výstupov systému štátnych archívov, vyplývajúcich z online elektronického sprístupnenia archívnych dokumentov. </w:t>
      </w:r>
    </w:p>
    <w:p w14:paraId="5DEE4561" w14:textId="77777777" w:rsidR="001153EC" w:rsidRDefault="00314A8A">
      <w:r>
        <w:t xml:space="preserve">V súčasnosti sa spracovaniu a sprístupňovaniu archívnych dokumentov venuje 163 pracovníkov. </w:t>
      </w:r>
    </w:p>
    <w:p w14:paraId="18E87F78" w14:textId="77777777" w:rsidR="001153EC" w:rsidRDefault="00314A8A">
      <w:r>
        <w:t xml:space="preserve">Samotný proces digitalizácie sa bude deliť do dvoch základných oblastí: </w:t>
      </w:r>
    </w:p>
    <w:p w14:paraId="2A6EE148" w14:textId="77777777" w:rsidR="001153EC" w:rsidRDefault="00314A8A" w:rsidP="00F968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Digitalizácia všetkých novoprichádzajúcich archívnych dokumentov, </w:t>
      </w:r>
    </w:p>
    <w:p w14:paraId="7AC553F4" w14:textId="77777777" w:rsidR="001153EC" w:rsidRDefault="00314A8A" w:rsidP="00F968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Digitalizácia existujúcich archívnych dokumentov – eliminácia archívneho dlhu. </w:t>
      </w:r>
    </w:p>
    <w:p w14:paraId="7F32BECF" w14:textId="77777777" w:rsidR="001153EC" w:rsidRDefault="00314A8A">
      <w:r>
        <w:t xml:space="preserve">Oba procesy predpokladajú po zavedení a stabilizácii prevádzky 4-násobné zefektívnenie spracovávania archívnych dokumentov pri stabilnom počte pracovníkov systému štátnych archívov. V oblasti sprístupňovania archívnych dokumentov predpokladá kalkulácia návratnosti konzervatívny 10-percentný nárast počtu objemu sprístupňovaných archívnych dokumentov a takisto konzervatívny 10-percentný pokles objemu času na sprístupňovanie archívnych dokumentov prostredníctvom vybudovaného riešenia. Tieto predpoklady vychádzajú z faktu, že systém ISEA sa bude plniť digitálnymi archívnymi dokumentami postupne v čase. </w:t>
      </w:r>
    </w:p>
    <w:p w14:paraId="58CEFF1D" w14:textId="6519263B" w:rsidR="001153EC" w:rsidRDefault="00314A8A">
      <w:r>
        <w:t xml:space="preserve">Konkrétne je AS-IS náročnosť celkového spracovania archívnych dokumentov definovaný ako 163 archivárov x 200 pracovných dní v roku x 8 pracovných dní denne x </w:t>
      </w:r>
      <w:r w:rsidR="00F96827">
        <w:t>70</w:t>
      </w:r>
      <w:r>
        <w:t xml:space="preserve">% pracovného fondu archivára venovaného tejto činnosti v človekohodinách ročne. Pre účely </w:t>
      </w:r>
      <w:r w:rsidR="00F96827">
        <w:t>CBA</w:t>
      </w:r>
      <w:r>
        <w:t xml:space="preserve"> je tento pracovný fond rovnomerne rozdelený na 3 novobudované funkcionality ISEA (Modul digitalizačných pracovísk</w:t>
      </w:r>
      <w:r w:rsidR="0059769D">
        <w:t>;</w:t>
      </w:r>
      <w:r>
        <w:t xml:space="preserve"> Modul automatizácie</w:t>
      </w:r>
      <w:r w:rsidR="0059769D">
        <w:t xml:space="preserve">; </w:t>
      </w:r>
      <w:r>
        <w:t>Modul Machine Learning a analytiky)</w:t>
      </w:r>
      <w:r w:rsidR="00B24C7A">
        <w:t>(Modul ArchivLog poskytuje najmä kvalitatívne prínosy)</w:t>
      </w:r>
      <w:r>
        <w:t>, ktoré ucelene spracovávajú archívne dokumenty. Nie je možné alokovať iba časť z úspory na jednotlivý modul</w:t>
      </w:r>
      <w:r w:rsidR="00F96827">
        <w:t>, nakoľko úspora vnikne len na základe ich súčinnosti.</w:t>
      </w:r>
    </w:p>
    <w:p w14:paraId="181DD560" w14:textId="064FE918" w:rsidR="001153EC" w:rsidRDefault="00314A8A">
      <w:r>
        <w:lastRenderedPageBreak/>
        <w:t xml:space="preserve">Predpokladaná úspora časového fondu vyplýva z následnej internej analýzy </w:t>
      </w:r>
      <w:r w:rsidR="007A0B21">
        <w:t xml:space="preserve">(Mgr. Péková, odbor archívov a registratúr, MV SR) </w:t>
      </w:r>
      <w:r w:rsidR="00F96827">
        <w:t xml:space="preserve">procesu </w:t>
      </w:r>
      <w:r w:rsidR="007A0B21">
        <w:t xml:space="preserve">popisovania </w:t>
      </w:r>
      <w:r>
        <w:t>ako rozdielu medzi AS-IS a TO-BE stavom</w:t>
      </w:r>
      <w:r w:rsidR="006C3BA7">
        <w:t>, pričom bol zvolený konzervatívny priemer</w:t>
      </w:r>
      <w:r>
        <w:t xml:space="preserve">: </w:t>
      </w:r>
    </w:p>
    <w:p w14:paraId="4B8F958C" w14:textId="77777777" w:rsidR="001153EC" w:rsidRPr="00C52018" w:rsidRDefault="00314A8A">
      <w:pPr>
        <w:rPr>
          <w:b/>
          <w:bCs/>
        </w:rPr>
      </w:pPr>
      <w:r w:rsidRPr="00C52018">
        <w:rPr>
          <w:b/>
          <w:bCs/>
        </w:rPr>
        <w:t>AS-IS</w:t>
      </w:r>
    </w:p>
    <w:tbl>
      <w:tblPr>
        <w:tblStyle w:val="a"/>
        <w:tblW w:w="831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60"/>
        <w:gridCol w:w="1661"/>
        <w:gridCol w:w="1661"/>
        <w:gridCol w:w="1641"/>
        <w:gridCol w:w="1671"/>
        <w:gridCol w:w="19"/>
      </w:tblGrid>
      <w:tr w:rsidR="00C52018" w14:paraId="0781B82D" w14:textId="77777777" w:rsidTr="00C52018">
        <w:trPr>
          <w:gridAfter w:val="1"/>
          <w:wAfter w:w="19" w:type="dxa"/>
          <w:trHeight w:val="1380"/>
        </w:trPr>
        <w:tc>
          <w:tcPr>
            <w:tcW w:w="1660" w:type="dxa"/>
            <w:shd w:val="clear" w:color="auto" w:fill="auto"/>
            <w:vAlign w:val="center"/>
          </w:tcPr>
          <w:p w14:paraId="5E68F53F" w14:textId="739FBDAB" w:rsidR="001153EC" w:rsidRDefault="00F96827" w:rsidP="00C52018">
            <w:pPr>
              <w:spacing w:after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  <w:r w:rsidR="00314A8A">
              <w:rPr>
                <w:i/>
                <w:color w:val="000000"/>
                <w:sz w:val="22"/>
                <w:szCs w:val="22"/>
              </w:rPr>
              <w:t>. Tvorba základnej štruktúry archívneho fondu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7B956679" w14:textId="6EBBBC8D" w:rsidR="001153EC" w:rsidRDefault="00F96827" w:rsidP="00C52018">
            <w:pPr>
              <w:spacing w:after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  <w:r w:rsidR="00314A8A">
              <w:rPr>
                <w:i/>
                <w:color w:val="000000"/>
                <w:sz w:val="22"/>
                <w:szCs w:val="22"/>
              </w:rPr>
              <w:t>. Tvorba detailnejšej štruktúry fondových oddelení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D892213" w14:textId="31915E83" w:rsidR="001153EC" w:rsidRDefault="00F96827" w:rsidP="00C52018">
            <w:pPr>
              <w:spacing w:after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  <w:r w:rsidR="00314A8A">
              <w:rPr>
                <w:i/>
                <w:color w:val="000000"/>
                <w:sz w:val="22"/>
                <w:szCs w:val="22"/>
              </w:rPr>
              <w:t>. Zaradenie archívnych dokumentov do fondových oddelení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0ECFEF5" w14:textId="253F46F5" w:rsidR="001153EC" w:rsidRDefault="00F96827" w:rsidP="00C52018">
            <w:pPr>
              <w:spacing w:after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  <w:r w:rsidR="00314A8A">
              <w:rPr>
                <w:i/>
                <w:color w:val="000000"/>
                <w:sz w:val="22"/>
                <w:szCs w:val="22"/>
              </w:rPr>
              <w:t>. Zaradenie archívnych dokumentov do inventárnych jednotiek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EFDBE7E" w14:textId="041EB659" w:rsidR="001153EC" w:rsidRDefault="00F96827" w:rsidP="00C52018">
            <w:pPr>
              <w:spacing w:after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  <w:r w:rsidR="00314A8A">
              <w:rPr>
                <w:i/>
                <w:color w:val="000000"/>
                <w:sz w:val="22"/>
                <w:szCs w:val="22"/>
              </w:rPr>
              <w:t>. Popis metadát inventárnych jednotiek</w:t>
            </w:r>
          </w:p>
        </w:tc>
      </w:tr>
      <w:tr w:rsidR="00C52018" w14:paraId="2556D650" w14:textId="77777777" w:rsidTr="00C52018">
        <w:trPr>
          <w:gridAfter w:val="1"/>
          <w:wAfter w:w="19" w:type="dxa"/>
          <w:trHeight w:val="450"/>
        </w:trPr>
        <w:tc>
          <w:tcPr>
            <w:tcW w:w="1660" w:type="dxa"/>
            <w:shd w:val="clear" w:color="auto" w:fill="FFFFCC"/>
            <w:vAlign w:val="center"/>
          </w:tcPr>
          <w:p w14:paraId="16835182" w14:textId="77777777" w:rsidR="001153EC" w:rsidRDefault="00314A8A" w:rsidP="00C5201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661" w:type="dxa"/>
            <w:shd w:val="clear" w:color="auto" w:fill="FFFFCC"/>
            <w:vAlign w:val="center"/>
          </w:tcPr>
          <w:p w14:paraId="46DA9811" w14:textId="77777777" w:rsidR="001153EC" w:rsidRDefault="00314A8A" w:rsidP="00C5201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661" w:type="dxa"/>
            <w:shd w:val="clear" w:color="auto" w:fill="FFFFCC"/>
            <w:vAlign w:val="center"/>
          </w:tcPr>
          <w:p w14:paraId="4B08B056" w14:textId="77777777" w:rsidR="001153EC" w:rsidRDefault="00314A8A" w:rsidP="00C5201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641" w:type="dxa"/>
            <w:shd w:val="clear" w:color="auto" w:fill="FFFFCC"/>
            <w:vAlign w:val="center"/>
          </w:tcPr>
          <w:p w14:paraId="2761A178" w14:textId="77777777" w:rsidR="001153EC" w:rsidRDefault="00314A8A" w:rsidP="00C5201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671" w:type="dxa"/>
            <w:shd w:val="clear" w:color="auto" w:fill="FFFFCC"/>
            <w:vAlign w:val="center"/>
          </w:tcPr>
          <w:p w14:paraId="677C4458" w14:textId="77777777" w:rsidR="001153EC" w:rsidRDefault="00314A8A" w:rsidP="00C5201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7A0B21" w14:paraId="2E5F280D" w14:textId="77777777" w:rsidTr="00C52018">
        <w:trPr>
          <w:trHeight w:val="1380"/>
        </w:trPr>
        <w:tc>
          <w:tcPr>
            <w:tcW w:w="1660" w:type="dxa"/>
            <w:shd w:val="clear" w:color="auto" w:fill="auto"/>
            <w:vAlign w:val="center"/>
          </w:tcPr>
          <w:p w14:paraId="0F687596" w14:textId="01EDF356" w:rsidR="007A0B21" w:rsidRDefault="007A0B21" w:rsidP="00C52018">
            <w:pPr>
              <w:spacing w:after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6. Finalizácia archívnej pomôcky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573A9A6" w14:textId="3A046F46" w:rsidR="007A0B21" w:rsidRDefault="007A0B21" w:rsidP="00C52018">
            <w:pPr>
              <w:spacing w:after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7. Zaškatuľkovanie archívnych dokumentov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1401AF3" w14:textId="2D0FC30B" w:rsidR="007A0B21" w:rsidRDefault="007A0B21" w:rsidP="00C52018">
            <w:pPr>
              <w:spacing w:after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8. Označenie archívnych škatúľ</w:t>
            </w:r>
          </w:p>
        </w:tc>
        <w:tc>
          <w:tcPr>
            <w:tcW w:w="1641" w:type="dxa"/>
            <w:vAlign w:val="center"/>
          </w:tcPr>
          <w:p w14:paraId="3E6EDADA" w14:textId="6E7D8549" w:rsidR="007A0B21" w:rsidRDefault="007A0B21" w:rsidP="00C52018">
            <w:pPr>
              <w:spacing w:after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9. Úprava lokačného prehľadu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0356A75C" w14:textId="1644FD68" w:rsidR="007A0B21" w:rsidRPr="00C52018" w:rsidRDefault="007A0B21" w:rsidP="00C52018">
            <w:pPr>
              <w:spacing w:after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52018">
              <w:rPr>
                <w:b/>
                <w:bCs/>
                <w:i/>
                <w:color w:val="000000"/>
                <w:sz w:val="22"/>
                <w:szCs w:val="22"/>
              </w:rPr>
              <w:t>Spolu</w:t>
            </w:r>
            <w:r w:rsidR="00C52018">
              <w:rPr>
                <w:b/>
                <w:bCs/>
                <w:i/>
                <w:color w:val="000000"/>
                <w:sz w:val="22"/>
                <w:szCs w:val="22"/>
              </w:rPr>
              <w:t xml:space="preserve"> AS-IS</w:t>
            </w:r>
          </w:p>
        </w:tc>
      </w:tr>
      <w:tr w:rsidR="007A0B21" w14:paraId="41E152BF" w14:textId="77777777" w:rsidTr="00C52018">
        <w:trPr>
          <w:trHeight w:val="447"/>
        </w:trPr>
        <w:tc>
          <w:tcPr>
            <w:tcW w:w="1660" w:type="dxa"/>
            <w:shd w:val="clear" w:color="auto" w:fill="FFFFCC"/>
            <w:vAlign w:val="center"/>
          </w:tcPr>
          <w:p w14:paraId="139033F9" w14:textId="77777777" w:rsidR="007A0B21" w:rsidRDefault="007A0B21" w:rsidP="00C5201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661" w:type="dxa"/>
            <w:shd w:val="clear" w:color="auto" w:fill="FFFFCC"/>
            <w:vAlign w:val="center"/>
          </w:tcPr>
          <w:p w14:paraId="1E26823E" w14:textId="77777777" w:rsidR="007A0B21" w:rsidRDefault="007A0B21" w:rsidP="00C5201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661" w:type="dxa"/>
            <w:shd w:val="clear" w:color="auto" w:fill="FFFFCC"/>
            <w:vAlign w:val="center"/>
          </w:tcPr>
          <w:p w14:paraId="465F537F" w14:textId="77777777" w:rsidR="007A0B21" w:rsidRDefault="007A0B21" w:rsidP="00C5201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641" w:type="dxa"/>
            <w:shd w:val="clear" w:color="auto" w:fill="FFFFCC"/>
            <w:vAlign w:val="center"/>
          </w:tcPr>
          <w:p w14:paraId="3A5E4111" w14:textId="052BBACA" w:rsidR="007A0B21" w:rsidRDefault="007A0B21" w:rsidP="00C5201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690" w:type="dxa"/>
            <w:gridSpan w:val="2"/>
            <w:shd w:val="clear" w:color="auto" w:fill="FFFFCC"/>
            <w:vAlign w:val="center"/>
          </w:tcPr>
          <w:p w14:paraId="52131A35" w14:textId="4C028FA7" w:rsidR="007A0B21" w:rsidRPr="00C52018" w:rsidRDefault="00C52018" w:rsidP="00C5201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2018">
              <w:rPr>
                <w:b/>
                <w:bCs/>
                <w:color w:val="000000"/>
                <w:sz w:val="22"/>
                <w:szCs w:val="22"/>
              </w:rPr>
              <w:t>1,68 hodín</w:t>
            </w:r>
          </w:p>
        </w:tc>
      </w:tr>
    </w:tbl>
    <w:p w14:paraId="7C304E03" w14:textId="77777777" w:rsidR="001153EC" w:rsidRDefault="001153EC" w:rsidP="00C52018">
      <w:pPr>
        <w:jc w:val="center"/>
      </w:pPr>
    </w:p>
    <w:p w14:paraId="642DC71E" w14:textId="77777777" w:rsidR="001153EC" w:rsidRPr="00C52018" w:rsidRDefault="00314A8A" w:rsidP="00C52018">
      <w:pPr>
        <w:rPr>
          <w:b/>
          <w:bCs/>
        </w:rPr>
      </w:pPr>
      <w:r w:rsidRPr="00C52018">
        <w:rPr>
          <w:b/>
          <w:bCs/>
        </w:rPr>
        <w:t>TO-BE</w:t>
      </w:r>
    </w:p>
    <w:tbl>
      <w:tblPr>
        <w:tblStyle w:val="a0"/>
        <w:tblW w:w="83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01"/>
        <w:gridCol w:w="1701"/>
        <w:gridCol w:w="1542"/>
        <w:gridCol w:w="1660"/>
      </w:tblGrid>
      <w:tr w:rsidR="001153EC" w14:paraId="0D8BABBE" w14:textId="77777777" w:rsidTr="00C52018">
        <w:trPr>
          <w:trHeight w:val="1074"/>
        </w:trPr>
        <w:tc>
          <w:tcPr>
            <w:tcW w:w="1696" w:type="dxa"/>
            <w:shd w:val="clear" w:color="auto" w:fill="auto"/>
            <w:vAlign w:val="center"/>
          </w:tcPr>
          <w:p w14:paraId="4B3CB7D1" w14:textId="511241F7" w:rsidR="001153EC" w:rsidRDefault="007A0B21" w:rsidP="00C52018">
            <w:pPr>
              <w:spacing w:after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  <w:r w:rsidR="00314A8A">
              <w:rPr>
                <w:i/>
                <w:color w:val="000000"/>
                <w:sz w:val="22"/>
                <w:szCs w:val="22"/>
              </w:rPr>
              <w:t>. Digitalizácia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64B8AB" w14:textId="02CBFB56" w:rsidR="001153EC" w:rsidRDefault="007A0B21" w:rsidP="00C52018">
            <w:pPr>
              <w:spacing w:after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  <w:r w:rsidR="00314A8A">
              <w:rPr>
                <w:i/>
                <w:color w:val="000000"/>
                <w:sz w:val="22"/>
                <w:szCs w:val="22"/>
              </w:rPr>
              <w:t>. Popisovanie metadát a kontrola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0D7FF6" w14:textId="51A75911" w:rsidR="001153EC" w:rsidRDefault="007A0B21" w:rsidP="00C52018">
            <w:pPr>
              <w:spacing w:after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  <w:r w:rsidR="00314A8A">
              <w:rPr>
                <w:i/>
                <w:color w:val="000000"/>
                <w:sz w:val="22"/>
                <w:szCs w:val="22"/>
              </w:rPr>
              <w:t>. Uloženie do lokálneho dátového úložiska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2F30CB5" w14:textId="48A13D19" w:rsidR="001153EC" w:rsidRDefault="007A0B21" w:rsidP="00C52018">
            <w:pPr>
              <w:spacing w:after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  <w:r w:rsidR="00314A8A">
              <w:rPr>
                <w:i/>
                <w:color w:val="000000"/>
                <w:sz w:val="22"/>
                <w:szCs w:val="22"/>
              </w:rPr>
              <w:t>. Zaškatuľkovanie archívnych dokumentov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13B5DD5" w14:textId="7D0CCE03" w:rsidR="001153EC" w:rsidRDefault="007A0B21" w:rsidP="00C52018">
            <w:pPr>
              <w:spacing w:after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  <w:r w:rsidR="00314A8A">
              <w:rPr>
                <w:i/>
                <w:color w:val="000000"/>
                <w:sz w:val="22"/>
                <w:szCs w:val="22"/>
              </w:rPr>
              <w:t>. Označenie archívnych škatúľ</w:t>
            </w:r>
          </w:p>
        </w:tc>
      </w:tr>
      <w:tr w:rsidR="001153EC" w14:paraId="09B8B53E" w14:textId="77777777" w:rsidTr="00C52018">
        <w:trPr>
          <w:trHeight w:val="466"/>
        </w:trPr>
        <w:tc>
          <w:tcPr>
            <w:tcW w:w="1696" w:type="dxa"/>
            <w:shd w:val="clear" w:color="auto" w:fill="FFFFCC"/>
            <w:vAlign w:val="center"/>
          </w:tcPr>
          <w:p w14:paraId="42485923" w14:textId="77777777" w:rsidR="001153EC" w:rsidRDefault="00314A8A" w:rsidP="00C5201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6C9067A2" w14:textId="77777777" w:rsidR="001153EC" w:rsidRDefault="00314A8A" w:rsidP="00C5201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7AE49C79" w14:textId="77777777" w:rsidR="001153EC" w:rsidRDefault="00314A8A" w:rsidP="00C5201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542" w:type="dxa"/>
            <w:shd w:val="clear" w:color="auto" w:fill="FFFFCC"/>
            <w:vAlign w:val="center"/>
          </w:tcPr>
          <w:p w14:paraId="2F53BA14" w14:textId="77777777" w:rsidR="001153EC" w:rsidRDefault="00314A8A" w:rsidP="00C5201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660" w:type="dxa"/>
            <w:shd w:val="clear" w:color="auto" w:fill="FFFFCC"/>
            <w:vAlign w:val="center"/>
          </w:tcPr>
          <w:p w14:paraId="3A166F4D" w14:textId="77777777" w:rsidR="001153EC" w:rsidRDefault="00314A8A" w:rsidP="00C5201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7A0B21" w14:paraId="7DC8B967" w14:textId="77777777" w:rsidTr="00C52018">
        <w:trPr>
          <w:gridAfter w:val="2"/>
          <w:wAfter w:w="3202" w:type="dxa"/>
          <w:trHeight w:val="1074"/>
        </w:trPr>
        <w:tc>
          <w:tcPr>
            <w:tcW w:w="1696" w:type="dxa"/>
            <w:shd w:val="clear" w:color="auto" w:fill="auto"/>
            <w:vAlign w:val="center"/>
          </w:tcPr>
          <w:p w14:paraId="0E0DBDF4" w14:textId="41BAE4CE" w:rsidR="007A0B21" w:rsidRDefault="007A0B21" w:rsidP="00C52018">
            <w:pPr>
              <w:spacing w:after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6. Úprava lokačného prehľadu</w:t>
            </w:r>
          </w:p>
        </w:tc>
        <w:tc>
          <w:tcPr>
            <w:tcW w:w="1701" w:type="dxa"/>
            <w:vAlign w:val="center"/>
          </w:tcPr>
          <w:p w14:paraId="76A3A0E2" w14:textId="2E98B244" w:rsidR="007A0B21" w:rsidRDefault="007A0B21" w:rsidP="00C52018">
            <w:pPr>
              <w:spacing w:after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7. Uloženie do úložiska dátového centra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3CF67C" w14:textId="55439E5B" w:rsidR="007A0B21" w:rsidRPr="00C52018" w:rsidRDefault="007A0B21" w:rsidP="00C52018">
            <w:pPr>
              <w:spacing w:after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52018">
              <w:rPr>
                <w:b/>
                <w:bCs/>
                <w:i/>
                <w:color w:val="000000"/>
                <w:sz w:val="22"/>
                <w:szCs w:val="22"/>
              </w:rPr>
              <w:t>Spolu</w:t>
            </w:r>
            <w:r w:rsidR="00C52018">
              <w:rPr>
                <w:b/>
                <w:bCs/>
                <w:i/>
                <w:color w:val="000000"/>
                <w:sz w:val="22"/>
                <w:szCs w:val="22"/>
              </w:rPr>
              <w:t xml:space="preserve"> TO-BE</w:t>
            </w:r>
          </w:p>
        </w:tc>
      </w:tr>
      <w:tr w:rsidR="007A0B21" w14:paraId="54C7DF0E" w14:textId="77777777" w:rsidTr="00C52018">
        <w:trPr>
          <w:gridAfter w:val="2"/>
          <w:wAfter w:w="3202" w:type="dxa"/>
          <w:trHeight w:val="426"/>
        </w:trPr>
        <w:tc>
          <w:tcPr>
            <w:tcW w:w="1696" w:type="dxa"/>
            <w:shd w:val="clear" w:color="auto" w:fill="FFFFCC"/>
            <w:vAlign w:val="center"/>
          </w:tcPr>
          <w:p w14:paraId="187D93C4" w14:textId="77777777" w:rsidR="007A0B21" w:rsidRDefault="007A0B21" w:rsidP="00C5201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53697041" w14:textId="2472B8B8" w:rsidR="007A0B21" w:rsidRDefault="007A0B21" w:rsidP="00C5201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249A76AF" w14:textId="60F1123C" w:rsidR="007A0B21" w:rsidRPr="00C52018" w:rsidRDefault="00C52018" w:rsidP="00C5201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2018">
              <w:rPr>
                <w:b/>
                <w:bCs/>
                <w:color w:val="000000"/>
                <w:sz w:val="22"/>
                <w:szCs w:val="22"/>
              </w:rPr>
              <w:t>0,413 hod</w:t>
            </w:r>
            <w:r>
              <w:rPr>
                <w:b/>
                <w:bCs/>
                <w:color w:val="000000"/>
                <w:sz w:val="22"/>
                <w:szCs w:val="22"/>
              </w:rPr>
              <w:t>iny</w:t>
            </w:r>
          </w:p>
        </w:tc>
      </w:tr>
    </w:tbl>
    <w:p w14:paraId="12C500DE" w14:textId="77777777" w:rsidR="001153EC" w:rsidRDefault="001153EC"/>
    <w:p w14:paraId="2ABF03E4" w14:textId="3C2C616B" w:rsidR="001153EC" w:rsidRDefault="00314A8A">
      <w:r>
        <w:t xml:space="preserve">Po súčte jednotlivých položiek vyjde 1,68 ku 0,413. Pomer týchto položiek uvádza po zaokrúhlení číslo 4, čo je použité ako koeficient redukcie pracovného fondu, určeného na spracovanie archívneho dokumentu. </w:t>
      </w:r>
    </w:p>
    <w:p w14:paraId="0DA228DB" w14:textId="3CF55317" w:rsidR="00484B23" w:rsidRPr="00484B23" w:rsidRDefault="00484B23">
      <w:r>
        <w:t xml:space="preserve">V dokumente CBA, hárku </w:t>
      </w:r>
      <w:r>
        <w:rPr>
          <w:i/>
          <w:iCs/>
        </w:rPr>
        <w:t>Parametre – Agendové IS</w:t>
      </w:r>
      <w:r>
        <w:t xml:space="preserve">, parameter </w:t>
      </w:r>
      <w:r>
        <w:rPr>
          <w:i/>
          <w:iCs/>
        </w:rPr>
        <w:t>Počet podaní</w:t>
      </w:r>
      <w:r>
        <w:t xml:space="preserve">, reprezentuje celkovú jednotku všetkých ročných archivárskych procesov, súvisiacich s aktivitami projektu (jeden rok všetkých archivárskych činností relevantných k projektu). Parametre </w:t>
      </w:r>
      <w:r>
        <w:rPr>
          <w:i/>
          <w:iCs/>
        </w:rPr>
        <w:t>Trvanie spracovania podania</w:t>
      </w:r>
      <w:r>
        <w:t xml:space="preserve"> a </w:t>
      </w:r>
      <w:r>
        <w:rPr>
          <w:i/>
          <w:iCs/>
        </w:rPr>
        <w:t>Čas potrebný na vypracovanie a doručenie podania</w:t>
      </w:r>
      <w:r>
        <w:t xml:space="preserve"> rovnako reprezentujú celkovú ročnú potrebu času na procesy úradníkov a používateľov (občanov), súvisiacich s aktivitami projektu (človekohodiny/hodiny ročne strávené realizáciou činností relevantných k</w:t>
      </w:r>
      <w:r w:rsidR="00314A8A">
        <w:t> </w:t>
      </w:r>
      <w:r>
        <w:t>projektu</w:t>
      </w:r>
      <w:r w:rsidR="00314A8A">
        <w:t>)</w:t>
      </w:r>
      <w:r>
        <w:t>.</w:t>
      </w:r>
    </w:p>
    <w:p w14:paraId="7D0500FD" w14:textId="77777777" w:rsidR="001153EC" w:rsidRDefault="00314A8A">
      <w:r>
        <w:t xml:space="preserve">Je nevyhnutné konštatovať, že pre elektronické procesné úkony boli použité konzervatívne odhady. Na druhej strane je potrebné konštatovať, že ide o iniciálny projekt automatizácie elektronického popisovania a tak presnosť generovania metadát ako aj miera akceptácie </w:t>
      </w:r>
      <w:r>
        <w:lastRenderedPageBreak/>
        <w:t xml:space="preserve">automatizovaného setu metadát bude predmetom diskusie na odbornej úrovni. Oba tieto faktory budú mať vplyv na koeficient redukcie pracovného fondu. </w:t>
      </w:r>
    </w:p>
    <w:p w14:paraId="4403EED5" w14:textId="1A6D3313" w:rsidR="001153EC" w:rsidRDefault="00314A8A">
      <w:r>
        <w:t>Úspora času zo strany občana vychádza zo štatistiky využívania služieb štátnych archívov – 79 840 prístupov ročne</w:t>
      </w:r>
      <w:r w:rsidR="00B41BE4">
        <w:t xml:space="preserve"> (</w:t>
      </w:r>
      <w:r w:rsidR="00B41BE4">
        <w:rPr>
          <w:i/>
          <w:iCs/>
        </w:rPr>
        <w:t>zdroj výkaz práce – prístupy k archívom 2017-2021, MV SR)</w:t>
      </w:r>
      <w:r>
        <w:t xml:space="preserve">. Pri použití elektronických kanálov ISEA sa skráti čas </w:t>
      </w:r>
      <w:r w:rsidR="00C52018">
        <w:t>občana potrebný na návštevu bádateľne (a teda prístup k archívnemu dokumentu)</w:t>
      </w:r>
      <w:r>
        <w:t xml:space="preserve"> z 3 hodín postupne o 10 percent ročne, takisto v náväznosti na postupné plnenie archívu digitálnymi dokumentami.</w:t>
      </w:r>
      <w:r w:rsidR="00C52018">
        <w:t xml:space="preserve"> Za zmienku stojí aj prudký nárast potrebného času na osobné návštevy bádateľní ak chce občan pristupovať v rámci jed</w:t>
      </w:r>
      <w:r w:rsidR="00075CFC">
        <w:t>nej</w:t>
      </w:r>
      <w:r w:rsidR="00C52018">
        <w:t xml:space="preserve"> životnej situácie k dokumentom uložených v rôznych archívoch (napr.</w:t>
      </w:r>
      <w:r w:rsidR="00CB4372">
        <w:t xml:space="preserve"> matriky rodičov v ich rodiskách, Bratislava a Banská Bystrica a pod.).</w:t>
      </w:r>
    </w:p>
    <w:p w14:paraId="6A4D2043" w14:textId="29DD7E84" w:rsidR="00812F97" w:rsidRPr="00812F97" w:rsidRDefault="00812F97">
      <w:r>
        <w:t xml:space="preserve">CBA projektu mylne uvádza v hárku </w:t>
      </w:r>
      <w:r>
        <w:rPr>
          <w:i/>
          <w:iCs/>
        </w:rPr>
        <w:t xml:space="preserve">CBA - Agendové IS </w:t>
      </w:r>
      <w:r>
        <w:t xml:space="preserve">návratnosť projektu v ôsmom roku. Tento výpočet generuje dokument automaticky a nezohľadňuje, že žiadosť o NFP projektu žiada len o prostriedky na prvé dva roky projektu (21 206 148 eur). </w:t>
      </w:r>
      <w:r w:rsidR="00A411E8">
        <w:t>Prevádzka diela v ďalších rokoch sa plánuje z európskych zdrojov nasledujúcich projektov programu modernizácie štátnych archívov, podľa uznesenia</w:t>
      </w:r>
      <w:r w:rsidR="00A411E8" w:rsidRPr="00E30412">
        <w:rPr>
          <w:rFonts w:asciiTheme="majorHAnsi" w:eastAsia="Arial Unicode MS" w:hAnsiTheme="majorHAnsi" w:cstheme="majorHAnsi"/>
          <w:b/>
          <w:bCs/>
          <w:szCs w:val="22"/>
          <w:u w:color="000000"/>
          <w:bdr w:val="nil"/>
        </w:rPr>
        <w:t xml:space="preserve"> </w:t>
      </w:r>
      <w:r w:rsidR="00A411E8" w:rsidRPr="00A411E8">
        <w:rPr>
          <w:rFonts w:asciiTheme="majorHAnsi" w:eastAsia="Arial Unicode MS" w:hAnsiTheme="majorHAnsi" w:cstheme="majorHAnsi"/>
          <w:szCs w:val="22"/>
          <w:u w:color="000000"/>
          <w:bdr w:val="nil"/>
        </w:rPr>
        <w:t>vlády SR č. 456 z 13. júla 2022</w:t>
      </w:r>
      <w:r w:rsidR="00A411E8" w:rsidRPr="00A411E8">
        <w:rPr>
          <w:rFonts w:asciiTheme="majorHAnsi" w:eastAsia="Arial Unicode MS" w:hAnsiTheme="majorHAnsi" w:cstheme="majorHAnsi"/>
          <w:szCs w:val="22"/>
          <w:u w:color="000000"/>
          <w:bdr w:val="nil"/>
        </w:rPr>
        <w:t>,</w:t>
      </w:r>
      <w:r w:rsidR="00A411E8" w:rsidRPr="00A411E8">
        <w:rPr>
          <w:rFonts w:asciiTheme="majorHAnsi" w:eastAsia="Arial Unicode MS" w:hAnsiTheme="majorHAnsi" w:cstheme="majorHAnsi"/>
          <w:szCs w:val="22"/>
          <w:u w:color="000000"/>
          <w:bdr w:val="nil"/>
        </w:rPr>
        <w:t xml:space="preserve"> </w:t>
      </w:r>
      <w:r w:rsidR="00A411E8" w:rsidRPr="00A411E8">
        <w:rPr>
          <w:rFonts w:asciiTheme="majorHAnsi" w:eastAsia="Arial Unicode MS" w:hAnsiTheme="majorHAnsi" w:cstheme="majorHAnsi"/>
          <w:szCs w:val="22"/>
          <w:u w:color="000000"/>
          <w:bdr w:val="nil"/>
        </w:rPr>
        <w:t xml:space="preserve">kde </w:t>
      </w:r>
      <w:r w:rsidR="00A411E8" w:rsidRPr="00A411E8">
        <w:rPr>
          <w:rFonts w:asciiTheme="majorHAnsi" w:eastAsia="Arial Unicode MS" w:hAnsiTheme="majorHAnsi" w:cstheme="majorHAnsi"/>
          <w:szCs w:val="22"/>
          <w:u w:color="000000"/>
          <w:bdr w:val="nil"/>
        </w:rPr>
        <w:t>schválila Národnú koncepciu  rozvoja štátnych archívov s výhľadom do roku 2028</w:t>
      </w:r>
      <w:r w:rsidR="00A411E8" w:rsidRPr="00A411E8">
        <w:rPr>
          <w:rFonts w:asciiTheme="majorHAnsi" w:eastAsia="Arial Unicode MS" w:hAnsiTheme="majorHAnsi" w:cstheme="majorHAnsi"/>
          <w:szCs w:val="22"/>
          <w:u w:color="000000"/>
          <w:bdr w:val="nil"/>
        </w:rPr>
        <w:t>.</w:t>
      </w:r>
      <w:r w:rsidR="00B542D5">
        <w:rPr>
          <w:rFonts w:asciiTheme="majorHAnsi" w:eastAsia="Arial Unicode MS" w:hAnsiTheme="majorHAnsi" w:cstheme="majorHAnsi"/>
          <w:szCs w:val="22"/>
          <w:u w:color="000000"/>
          <w:bdr w:val="nil"/>
        </w:rPr>
        <w:t xml:space="preserve"> Očakávaný skutočný rok návratu investície je piaty rok.</w:t>
      </w:r>
    </w:p>
    <w:p w14:paraId="65EE4435" w14:textId="1CD4C39F" w:rsidR="001153EC" w:rsidRDefault="00314A8A">
      <w:r>
        <w:t>Ďalšie kvantitatívne úspory, založené na záchrane archívneho dedičstva elimináciou straty, poškodenia, či zničenia archívnych dokumentov degradáciou papiera, alebo stratou dokumentov</w:t>
      </w:r>
      <w:r w:rsidR="00CB4372">
        <w:t>,</w:t>
      </w:r>
      <w:r>
        <w:t xml:space="preserve"> nie je možné vyčísliť. Takisto ani následné náklady, vyplývajúce z nedostupnosti týchto archívnych dokumentov (napr. prípadné súdne spory a pod.) Prípadné negatívne scenáre dokumentuje aj vojnový konflikt v blízkej cudzine vrátane negatívnych vplyvov na dostupnosť archívneho dedičstva. </w:t>
      </w:r>
    </w:p>
    <w:p w14:paraId="29617B63" w14:textId="6BB7210E" w:rsidR="00682DA0" w:rsidRPr="00682DA0" w:rsidRDefault="00682DA0">
      <w:r>
        <w:t>Referencie pre výpočet prínosov, protokoly meraní archivárskych procesov a výkaz práce, sú zhromaždené v </w:t>
      </w:r>
      <w:r>
        <w:rPr>
          <w:i/>
          <w:iCs/>
        </w:rPr>
        <w:t>Prílohe č.</w:t>
      </w:r>
      <w:r w:rsidR="0071000E">
        <w:rPr>
          <w:i/>
          <w:iCs/>
        </w:rPr>
        <w:t>5</w:t>
      </w:r>
      <w:r>
        <w:rPr>
          <w:i/>
          <w:iCs/>
        </w:rPr>
        <w:t xml:space="preserve"> – </w:t>
      </w:r>
      <w:r w:rsidR="00A90170">
        <w:rPr>
          <w:i/>
          <w:iCs/>
        </w:rPr>
        <w:t>Dodatočné r</w:t>
      </w:r>
      <w:r>
        <w:rPr>
          <w:i/>
          <w:iCs/>
        </w:rPr>
        <w:t>eferencie.</w:t>
      </w:r>
      <w:r>
        <w:t xml:space="preserve"> </w:t>
      </w:r>
    </w:p>
    <w:p w14:paraId="149AEB27" w14:textId="01A50D06" w:rsidR="00A901E3" w:rsidRDefault="00314A8A">
      <w:r>
        <w:t xml:space="preserve">Je dôležité upozorniť, že existujúce odborné kapacity uvoľnené zefektívnením činnosti bude potrebné použiť počas 10-ročného horizontu </w:t>
      </w:r>
      <w:r w:rsidR="00536B92">
        <w:t>modernizácie štátnych archívov</w:t>
      </w:r>
      <w:r>
        <w:t xml:space="preserve"> na elimináciu archívneho dlhu. </w:t>
      </w:r>
    </w:p>
    <w:p w14:paraId="6FD25465" w14:textId="77777777" w:rsidR="004D0F8B" w:rsidRDefault="004D0F8B"/>
    <w:p w14:paraId="376306B9" w14:textId="77777777" w:rsidR="001153EC" w:rsidRDefault="00314A8A" w:rsidP="004D0F8B">
      <w:pPr>
        <w:pStyle w:val="Nadpis3"/>
      </w:pPr>
      <w:r>
        <w:t>Kvalitatívna úroveň</w:t>
      </w:r>
    </w:p>
    <w:p w14:paraId="66C581C0" w14:textId="69C53909" w:rsidR="00F22E0D" w:rsidRDefault="0015058B" w:rsidP="00864FC9">
      <w:r>
        <w:t>Štátne archívy na Slovensku dnes čelia patovej situácii. Trendom doma i v zahraničí je pristupovanie k archívnym dokumentom elektronicky. Bez dostatočného množstva zdigitalizovaného, relevantného obsahu však pre občanov n</w:t>
      </w:r>
      <w:r w:rsidR="00F22E0D">
        <w:t>evzniká motivácia</w:t>
      </w:r>
      <w:r>
        <w:t xml:space="preserve"> navštíviť elektronický archív. </w:t>
      </w:r>
      <w:r w:rsidR="00334ACE">
        <w:t xml:space="preserve">Bez ich </w:t>
      </w:r>
      <w:r>
        <w:t>prístupov je</w:t>
      </w:r>
      <w:r w:rsidR="00334ACE">
        <w:t xml:space="preserve"> neskôr</w:t>
      </w:r>
      <w:r>
        <w:t xml:space="preserve"> </w:t>
      </w:r>
      <w:r w:rsidR="00334ACE">
        <w:t>náročné</w:t>
      </w:r>
      <w:r>
        <w:t xml:space="preserve"> zd</w:t>
      </w:r>
      <w:r w:rsidR="00F22E0D">
        <w:t xml:space="preserve">ôvodniť náklady na </w:t>
      </w:r>
      <w:r w:rsidR="00334ACE">
        <w:t xml:space="preserve">potrebnú </w:t>
      </w:r>
      <w:r>
        <w:t>modernizáci</w:t>
      </w:r>
      <w:r w:rsidR="00F22E0D">
        <w:t>u.</w:t>
      </w:r>
      <w:r w:rsidR="00334ACE">
        <w:t xml:space="preserve"> Výsledkom je začarovaný kruh, kontinuálne poddimenzovanie rozpočtu archívov a tým ďalšie obmedzenie kvality služieb verejnosti.</w:t>
      </w:r>
    </w:p>
    <w:p w14:paraId="420F8AD3" w14:textId="77777777" w:rsidR="0015058B" w:rsidRDefault="0015058B" w:rsidP="00864FC9">
      <w:r>
        <w:t xml:space="preserve">Spoločnosť </w:t>
      </w:r>
      <w:r w:rsidR="00334ACE">
        <w:t>sa tak</w:t>
      </w:r>
      <w:r>
        <w:t xml:space="preserve"> ochudob</w:t>
      </w:r>
      <w:r w:rsidR="00334ACE">
        <w:t>ňuje</w:t>
      </w:r>
      <w:r>
        <w:t xml:space="preserve"> o</w:t>
      </w:r>
      <w:r w:rsidR="00F22E0D">
        <w:t> prístup k obsahu štátnych archívov – jed</w:t>
      </w:r>
      <w:r w:rsidR="00334ACE">
        <w:t>en z mála</w:t>
      </w:r>
      <w:r w:rsidR="00F22E0D">
        <w:t xml:space="preserve"> zdroj</w:t>
      </w:r>
      <w:r w:rsidR="00334ACE">
        <w:t>ov odborne garantovaných</w:t>
      </w:r>
      <w:r w:rsidR="00F22E0D">
        <w:t xml:space="preserve"> informácií v</w:t>
      </w:r>
      <w:r w:rsidR="00334ACE">
        <w:t> </w:t>
      </w:r>
      <w:r w:rsidR="000A70FB">
        <w:t>krajine</w:t>
      </w:r>
      <w:r w:rsidR="00334ACE">
        <w:t>.</w:t>
      </w:r>
    </w:p>
    <w:p w14:paraId="694DA5F4" w14:textId="77777777" w:rsidR="00334ACE" w:rsidRDefault="00F22E0D" w:rsidP="00864FC9">
      <w:r>
        <w:t>Tento stav má za následok postupné zanedbanie informovanosti občanov, čím sa prehlbuje zraniteľnosť spoločnosti, najmä v súvislosti so šírením dezinformácií</w:t>
      </w:r>
      <w:r w:rsidR="00334ACE">
        <w:t>.</w:t>
      </w:r>
      <w:r w:rsidR="00B63ABD">
        <w:t xml:space="preserve"> </w:t>
      </w:r>
      <w:r w:rsidR="00334ACE">
        <w:t>Obmedzené sú tiež možnosti zapojenia sa do medzinárodných grantových iniciatív, nakoľko tie predpokladajú minimálne technologické zázemie, ktorým štátne archívy v súčasnosti nedisponujú.</w:t>
      </w:r>
    </w:p>
    <w:p w14:paraId="62E471A8" w14:textId="77777777" w:rsidR="00864FC9" w:rsidRDefault="000A70FB" w:rsidP="00864FC9">
      <w:r>
        <w:lastRenderedPageBreak/>
        <w:t xml:space="preserve">Projekt svojimi aktivitami adresuje terajší nevyhovujúci stav s cieľom zabezpečenia prínosov pre spoločnosť.  </w:t>
      </w:r>
      <w:r w:rsidR="00864FC9">
        <w:t>Na kvalitatívnej úrovni je možné prínosy rozdeliť do nasledujúcich základných oblastí:</w:t>
      </w:r>
    </w:p>
    <w:p w14:paraId="70E92913" w14:textId="77777777" w:rsidR="00864FC9" w:rsidRDefault="00864FC9" w:rsidP="00864F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Odbúravanie archívneho dlhu a s tým súvisiaci rozvoj informovanosti, kultúry a vzdel</w:t>
      </w:r>
      <w:r w:rsidR="00473046">
        <w:rPr>
          <w:color w:val="000000"/>
        </w:rPr>
        <w:t>anosti</w:t>
      </w:r>
      <w:r>
        <w:rPr>
          <w:color w:val="000000"/>
        </w:rPr>
        <w:t xml:space="preserve"> spoločnosti</w:t>
      </w:r>
      <w:r w:rsidR="00473046">
        <w:rPr>
          <w:color w:val="000000"/>
        </w:rPr>
        <w:t>,</w:t>
      </w:r>
    </w:p>
    <w:p w14:paraId="3BD99F16" w14:textId="77777777" w:rsidR="00864FC9" w:rsidRDefault="00864FC9" w:rsidP="00864F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Rozvoj služieb občanom, zlepšenie pracovného prostredia pracovníkov archívov</w:t>
      </w:r>
      <w:r w:rsidR="00473046">
        <w:rPr>
          <w:color w:val="000000"/>
        </w:rPr>
        <w:t xml:space="preserve">, zníženie ekologickej stopy </w:t>
      </w:r>
      <w:r>
        <w:rPr>
          <w:color w:val="000000"/>
        </w:rPr>
        <w:t xml:space="preserve">a zvýšenie </w:t>
      </w:r>
      <w:r w:rsidR="00473046">
        <w:rPr>
          <w:color w:val="000000"/>
        </w:rPr>
        <w:t>reputácie MV SR,</w:t>
      </w:r>
    </w:p>
    <w:p w14:paraId="26B8D919" w14:textId="0D73FCAF" w:rsidR="00864FC9" w:rsidRDefault="00473046" w:rsidP="00864F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Umožnenie zapojenia sa do grantových výziev EÚ a spoluúčasť na cezhraničných iniciatívach s perspektívou podpory inovácií a zamestnanosti.</w:t>
      </w:r>
    </w:p>
    <w:p w14:paraId="35B17036" w14:textId="22ECA5E0" w:rsidR="008D1D6D" w:rsidRDefault="008D1D6D" w:rsidP="008D1D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A285C">
        <w:rPr>
          <w:color w:val="000000"/>
        </w:rPr>
        <w:t>Odbúravanie archívneho dlhu</w:t>
      </w:r>
      <w:r>
        <w:rPr>
          <w:color w:val="000000"/>
        </w:rPr>
        <w:t xml:space="preserve"> v praxi znamená sprístupnenie </w:t>
      </w:r>
      <w:r w:rsidR="0059769D">
        <w:rPr>
          <w:color w:val="000000"/>
        </w:rPr>
        <w:t>archívneho obsahu verejnosti, ktorý by inak zostal</w:t>
      </w:r>
      <w:r>
        <w:rPr>
          <w:color w:val="000000"/>
        </w:rPr>
        <w:t xml:space="preserve"> nepopísa</w:t>
      </w:r>
      <w:r w:rsidR="0059769D">
        <w:rPr>
          <w:color w:val="000000"/>
        </w:rPr>
        <w:t>ný</w:t>
      </w:r>
      <w:r>
        <w:rPr>
          <w:color w:val="000000"/>
        </w:rPr>
        <w:t xml:space="preserve"> (neoveren</w:t>
      </w:r>
      <w:r w:rsidR="0059769D">
        <w:rPr>
          <w:color w:val="000000"/>
        </w:rPr>
        <w:t>ý</w:t>
      </w:r>
      <w:r>
        <w:rPr>
          <w:color w:val="000000"/>
        </w:rPr>
        <w:t>). Výsledným prínosom je bohatý zdroj odborne garantovaných, unikátnych informácií, ktoré môže užívať ako odborná verejnosť, tak bežní občania</w:t>
      </w:r>
      <w:r w:rsidR="008A285C">
        <w:rPr>
          <w:color w:val="000000"/>
        </w:rPr>
        <w:t>, pri výskume a riešení životných situácií.</w:t>
      </w:r>
    </w:p>
    <w:p w14:paraId="6BA4528C" w14:textId="77777777" w:rsidR="00FA59D2" w:rsidRDefault="00FA59D2" w:rsidP="008D1D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83333E" w14:textId="64645CA8" w:rsidR="00FA59D2" w:rsidRDefault="008A285C" w:rsidP="00FA59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A285C">
        <w:rPr>
          <w:color w:val="000000"/>
        </w:rPr>
        <w:t xml:space="preserve">Rozvojom služieb občanom a zlepšením pracovného prostredia pracovníkov archívov </w:t>
      </w:r>
      <w:r w:rsidR="0059769D">
        <w:rPr>
          <w:color w:val="000000"/>
        </w:rPr>
        <w:t>budeme smerovať</w:t>
      </w:r>
      <w:r w:rsidRPr="008A285C">
        <w:rPr>
          <w:color w:val="000000"/>
        </w:rPr>
        <w:t xml:space="preserve"> k nárastu pozitívnej reputácie MV SR</w:t>
      </w:r>
      <w:r>
        <w:rPr>
          <w:color w:val="000000"/>
        </w:rPr>
        <w:t xml:space="preserve"> a celkovému zvýšeniu efektivity práce a spokojnosti pri pôsobení archívov.</w:t>
      </w:r>
      <w:r w:rsidR="00FA59D2">
        <w:rPr>
          <w:color w:val="000000"/>
        </w:rPr>
        <w:t xml:space="preserve"> Zmodernizovaný stav archívov očakáva aj stimuláciu inovácií v rezorte.</w:t>
      </w:r>
    </w:p>
    <w:p w14:paraId="783B098F" w14:textId="19FFAC57" w:rsidR="00FA59D2" w:rsidRPr="00FA59D2" w:rsidRDefault="008A285C" w:rsidP="00FA59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Proces automatizácie a elektronického sprístupňovania informácií tiež redukuje významnú karbónovú stopu, ktorá vzniká pri preprave občanov do bádateľní a preprave</w:t>
      </w:r>
      <w:r w:rsidR="004D0F8B">
        <w:rPr>
          <w:color w:val="000000"/>
        </w:rPr>
        <w:t xml:space="preserve"> papierových archívnych dokumentov, čo bude mať pozitívny dopad na životné prostredie.</w:t>
      </w:r>
      <w:r w:rsidR="00FA59D2">
        <w:rPr>
          <w:color w:val="000000"/>
        </w:rPr>
        <w:t xml:space="preserve"> </w:t>
      </w:r>
      <w:r w:rsidR="00FA59D2">
        <w:t>Predkladaný návrh je optimalizovaný z pohľadu spotreby energií a minimalizácie uhlíkovej stopy:</w:t>
      </w:r>
    </w:p>
    <w:p w14:paraId="0BEAB8C6" w14:textId="77777777" w:rsidR="00FA59D2" w:rsidRDefault="00FA59D2" w:rsidP="00FA59D2">
      <w:pPr>
        <w:pStyle w:val="Odsekzoznamu"/>
        <w:numPr>
          <w:ilvl w:val="0"/>
          <w:numId w:val="6"/>
        </w:numPr>
      </w:pPr>
      <w:r>
        <w:t>Cieľové prostredie pre dlhodobé uloženie digitalizovaných dokumentov je postavené na technológii magnetických pások s rádovo nižšou spotrebou elektrickej energie ako technológia diskových polí,</w:t>
      </w:r>
    </w:p>
    <w:p w14:paraId="46BF474A" w14:textId="77777777" w:rsidR="00FA59D2" w:rsidRDefault="00FA59D2" w:rsidP="00FA59D2">
      <w:pPr>
        <w:pStyle w:val="Odsekzoznamu"/>
        <w:numPr>
          <w:ilvl w:val="0"/>
          <w:numId w:val="6"/>
        </w:numPr>
      </w:pPr>
      <w:r>
        <w:t xml:space="preserve">prechádza z energeticky náročných rotačných diskov na úsporné SSD technológie, </w:t>
      </w:r>
    </w:p>
    <w:p w14:paraId="331EC70A" w14:textId="77777777" w:rsidR="00FA59D2" w:rsidRPr="005F72DB" w:rsidRDefault="00FA59D2" w:rsidP="00FA59D2">
      <w:pPr>
        <w:pStyle w:val="Odsekzoznamu"/>
        <w:numPr>
          <w:ilvl w:val="0"/>
          <w:numId w:val="6"/>
        </w:numPr>
      </w:pPr>
      <w:r>
        <w:t xml:space="preserve">vo výpočtovej vrstve počíta s nasadením kontajnerových technológií, čím sa dosiahne vyššia efektivita využitia serverových zdrojov. </w:t>
      </w:r>
    </w:p>
    <w:p w14:paraId="3BF436F2" w14:textId="77777777" w:rsidR="00FA59D2" w:rsidRDefault="00FA59D2" w:rsidP="008D1D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C159A2" w14:textId="2B8C2F02" w:rsidR="004D0F8B" w:rsidRPr="008A285C" w:rsidRDefault="004D0F8B" w:rsidP="008D1D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Grantové výzvy EÚ sú dnes najperspektívnejším zdrojom prostriedkov pre rozvoj archívov. Spolu s cezhraničnými iniciatívami, tak povedú k ďalšiemu rastu, modernizácii, zvyšovaniu kompetencií a tým aj zamestnanosti, nakoľko ponúkajú príležitosti pre nové, predtým nedostupné aktivity.</w:t>
      </w:r>
    </w:p>
    <w:p w14:paraId="6D05BC06" w14:textId="77777777" w:rsidR="001153EC" w:rsidRDefault="001153EC"/>
    <w:sectPr w:rsidR="001153E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7E81"/>
    <w:multiLevelType w:val="hybridMultilevel"/>
    <w:tmpl w:val="002256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552DE"/>
    <w:multiLevelType w:val="multilevel"/>
    <w:tmpl w:val="B92435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894F56"/>
    <w:multiLevelType w:val="multilevel"/>
    <w:tmpl w:val="CB725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2D5CA2"/>
    <w:multiLevelType w:val="multilevel"/>
    <w:tmpl w:val="FBF215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744E50"/>
    <w:multiLevelType w:val="multilevel"/>
    <w:tmpl w:val="46BACE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AF42F96"/>
    <w:multiLevelType w:val="hybridMultilevel"/>
    <w:tmpl w:val="A2AC20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3EC"/>
    <w:rsid w:val="00075CFC"/>
    <w:rsid w:val="000A70FB"/>
    <w:rsid w:val="001153EC"/>
    <w:rsid w:val="0015058B"/>
    <w:rsid w:val="001B7229"/>
    <w:rsid w:val="001D766A"/>
    <w:rsid w:val="002B43B1"/>
    <w:rsid w:val="00314A8A"/>
    <w:rsid w:val="00334ACE"/>
    <w:rsid w:val="00473046"/>
    <w:rsid w:val="00484B23"/>
    <w:rsid w:val="004D0F8B"/>
    <w:rsid w:val="00536B92"/>
    <w:rsid w:val="0059769D"/>
    <w:rsid w:val="00624017"/>
    <w:rsid w:val="00682DA0"/>
    <w:rsid w:val="006C3BA7"/>
    <w:rsid w:val="0071000E"/>
    <w:rsid w:val="0071094A"/>
    <w:rsid w:val="007A0B21"/>
    <w:rsid w:val="00812F97"/>
    <w:rsid w:val="00864FC9"/>
    <w:rsid w:val="008A285C"/>
    <w:rsid w:val="008D1D6D"/>
    <w:rsid w:val="00A411E8"/>
    <w:rsid w:val="00A90170"/>
    <w:rsid w:val="00A901E3"/>
    <w:rsid w:val="00B24C7A"/>
    <w:rsid w:val="00B41BE4"/>
    <w:rsid w:val="00B542D5"/>
    <w:rsid w:val="00B63ABD"/>
    <w:rsid w:val="00C52018"/>
    <w:rsid w:val="00CB4372"/>
    <w:rsid w:val="00F22E0D"/>
    <w:rsid w:val="00F96827"/>
    <w:rsid w:val="00FA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51C2"/>
  <w15:docId w15:val="{0C51BB18-B1AE-4B79-B433-C59A7C1D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k-SK" w:eastAsia="sk-SK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pageBreakBefore/>
      <w:pBdr>
        <w:top w:val="single" w:sz="4" w:space="1" w:color="4472C4"/>
      </w:pBdr>
      <w:spacing w:after="360"/>
      <w:outlineLvl w:val="0"/>
    </w:pPr>
    <w:rPr>
      <w:b/>
      <w:color w:val="2F5496"/>
      <w:sz w:val="40"/>
      <w:szCs w:val="40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240" w:after="240"/>
      <w:outlineLvl w:val="1"/>
    </w:pPr>
    <w:rPr>
      <w:b/>
      <w:color w:val="2F5496"/>
      <w:sz w:val="28"/>
      <w:szCs w:val="28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outlineLvl w:val="2"/>
    </w:pPr>
    <w:rPr>
      <w:b/>
      <w:color w:val="404040"/>
      <w:sz w:val="26"/>
      <w:szCs w:val="26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40"/>
      <w:outlineLvl w:val="3"/>
    </w:pPr>
    <w:rPr>
      <w:i/>
      <w:color w:val="2F5496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ekzoznamu">
    <w:name w:val="List Paragraph"/>
    <w:basedOn w:val="Normlny"/>
    <w:uiPriority w:val="34"/>
    <w:qFormat/>
    <w:rsid w:val="00F9682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75C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5CF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5CF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5C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5C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4B8C3-C304-42BA-9ADE-ED68B885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Ryška</dc:creator>
  <cp:lastModifiedBy>Dan Ryška</cp:lastModifiedBy>
  <cp:revision>14</cp:revision>
  <dcterms:created xsi:type="dcterms:W3CDTF">2022-08-23T21:09:00Z</dcterms:created>
  <dcterms:modified xsi:type="dcterms:W3CDTF">2022-10-11T07:11:00Z</dcterms:modified>
</cp:coreProperties>
</file>