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D69DB" w14:textId="77777777" w:rsidR="00A2330C" w:rsidRPr="00D06241" w:rsidRDefault="00A2330C" w:rsidP="00A2330C">
      <w:pPr>
        <w:spacing w:after="60" w:line="276" w:lineRule="auto"/>
        <w:jc w:val="both"/>
        <w:rPr>
          <w:rFonts w:asciiTheme="majorHAnsi" w:hAnsiTheme="majorHAnsi"/>
          <w:lang w:val="sk-SK"/>
        </w:rPr>
      </w:pPr>
    </w:p>
    <w:p w14:paraId="5FF2B68C" w14:textId="77777777" w:rsidR="00A2330C" w:rsidRPr="00D06241" w:rsidRDefault="00A2330C" w:rsidP="00A2330C">
      <w:pPr>
        <w:spacing w:after="60" w:line="276" w:lineRule="auto"/>
        <w:jc w:val="both"/>
        <w:rPr>
          <w:rFonts w:asciiTheme="majorHAnsi" w:hAnsiTheme="majorHAnsi"/>
          <w:lang w:val="sk-SK"/>
        </w:rPr>
      </w:pPr>
      <w:r w:rsidRPr="00D06241">
        <w:rPr>
          <w:rFonts w:asciiTheme="majorHAnsi" w:hAnsiTheme="majorHAnsi"/>
          <w:lang w:val="sk-SK"/>
        </w:rPr>
        <w:t>titl.</w:t>
      </w:r>
    </w:p>
    <w:p w14:paraId="714B9F0E" w14:textId="77777777" w:rsidR="00CA249A" w:rsidRPr="00D06241" w:rsidRDefault="00CA249A" w:rsidP="00A2330C">
      <w:pPr>
        <w:spacing w:after="60" w:line="276" w:lineRule="auto"/>
        <w:jc w:val="both"/>
        <w:rPr>
          <w:rFonts w:asciiTheme="majorHAnsi" w:hAnsiTheme="majorHAnsi"/>
          <w:b/>
          <w:lang w:val="sk-SK"/>
        </w:rPr>
      </w:pPr>
      <w:r w:rsidRPr="00D06241">
        <w:rPr>
          <w:rFonts w:asciiTheme="majorHAnsi" w:hAnsiTheme="majorHAnsi"/>
          <w:b/>
          <w:lang w:val="sk-SK"/>
        </w:rPr>
        <w:t xml:space="preserve">Národná agentúra pre </w:t>
      </w:r>
    </w:p>
    <w:p w14:paraId="4C8AC6AE" w14:textId="64929642" w:rsidR="00A2330C" w:rsidRPr="00D06241" w:rsidRDefault="00CA249A" w:rsidP="00A2330C">
      <w:pPr>
        <w:spacing w:after="60" w:line="276" w:lineRule="auto"/>
        <w:jc w:val="both"/>
        <w:rPr>
          <w:rFonts w:asciiTheme="majorHAnsi" w:hAnsiTheme="majorHAnsi"/>
          <w:b/>
          <w:lang w:val="sk-SK"/>
        </w:rPr>
      </w:pPr>
      <w:r w:rsidRPr="00D06241">
        <w:rPr>
          <w:rFonts w:asciiTheme="majorHAnsi" w:hAnsiTheme="majorHAnsi"/>
          <w:b/>
          <w:lang w:val="sk-SK"/>
        </w:rPr>
        <w:t>sieťové a elektronické služby</w:t>
      </w:r>
      <w:r w:rsidR="00A2330C" w:rsidRPr="00D06241">
        <w:rPr>
          <w:rFonts w:asciiTheme="majorHAnsi" w:hAnsiTheme="majorHAnsi"/>
          <w:b/>
          <w:lang w:val="sk-SK"/>
        </w:rPr>
        <w:t xml:space="preserve"> (</w:t>
      </w:r>
      <w:r w:rsidRPr="00D06241">
        <w:rPr>
          <w:rFonts w:asciiTheme="majorHAnsi" w:hAnsiTheme="majorHAnsi"/>
          <w:b/>
          <w:lang w:val="sk-SK"/>
        </w:rPr>
        <w:t>NASES</w:t>
      </w:r>
      <w:r w:rsidR="00A2330C" w:rsidRPr="00D06241">
        <w:rPr>
          <w:rFonts w:asciiTheme="majorHAnsi" w:hAnsiTheme="majorHAnsi"/>
          <w:b/>
          <w:lang w:val="sk-SK"/>
        </w:rPr>
        <w:t>)</w:t>
      </w:r>
    </w:p>
    <w:p w14:paraId="08673DAC" w14:textId="669B536A" w:rsidR="00A2330C" w:rsidRPr="00D06241" w:rsidRDefault="00A2330C" w:rsidP="00A2330C">
      <w:pPr>
        <w:spacing w:after="60" w:line="276" w:lineRule="auto"/>
        <w:jc w:val="both"/>
        <w:rPr>
          <w:rFonts w:asciiTheme="majorHAnsi" w:hAnsiTheme="majorHAnsi"/>
          <w:lang w:val="sk-SK"/>
        </w:rPr>
      </w:pPr>
      <w:r w:rsidRPr="00D06241">
        <w:rPr>
          <w:rFonts w:asciiTheme="majorHAnsi" w:hAnsiTheme="majorHAnsi"/>
          <w:lang w:val="sk-SK"/>
        </w:rPr>
        <w:t>Bratislava</w:t>
      </w:r>
    </w:p>
    <w:p w14:paraId="7BB5A0B6" w14:textId="77777777" w:rsidR="00A2330C" w:rsidRPr="00D06241" w:rsidRDefault="00A2330C" w:rsidP="00A2330C">
      <w:pPr>
        <w:spacing w:after="60" w:line="276" w:lineRule="auto"/>
        <w:jc w:val="both"/>
        <w:rPr>
          <w:rFonts w:asciiTheme="majorHAnsi" w:hAnsiTheme="majorHAnsi"/>
          <w:lang w:val="sk-SK"/>
        </w:rPr>
      </w:pPr>
    </w:p>
    <w:p w14:paraId="01E363EB" w14:textId="7361E712" w:rsidR="00A2330C" w:rsidRPr="00D06241" w:rsidRDefault="00A2330C" w:rsidP="00A2330C">
      <w:pPr>
        <w:spacing w:after="60" w:line="276" w:lineRule="auto"/>
        <w:jc w:val="both"/>
        <w:rPr>
          <w:rFonts w:asciiTheme="majorHAnsi" w:hAnsiTheme="majorHAnsi"/>
          <w:lang w:val="sk-SK"/>
        </w:rPr>
      </w:pPr>
      <w:r w:rsidRPr="00D06241">
        <w:rPr>
          <w:rFonts w:asciiTheme="majorHAnsi" w:hAnsiTheme="majorHAnsi"/>
          <w:lang w:val="sk-SK"/>
        </w:rPr>
        <w:t xml:space="preserve">V Bratislave </w:t>
      </w:r>
      <w:r w:rsidR="00CA249A" w:rsidRPr="00D06241">
        <w:rPr>
          <w:rFonts w:asciiTheme="majorHAnsi" w:hAnsiTheme="majorHAnsi"/>
          <w:lang w:val="sk-SK"/>
        </w:rPr>
        <w:t>10</w:t>
      </w:r>
      <w:r w:rsidRPr="00D06241">
        <w:rPr>
          <w:rFonts w:asciiTheme="majorHAnsi" w:hAnsiTheme="majorHAnsi"/>
          <w:lang w:val="sk-SK"/>
        </w:rPr>
        <w:t xml:space="preserve">. </w:t>
      </w:r>
      <w:r w:rsidR="00CA249A" w:rsidRPr="00D06241">
        <w:rPr>
          <w:rFonts w:asciiTheme="majorHAnsi" w:hAnsiTheme="majorHAnsi"/>
          <w:lang w:val="sk-SK"/>
        </w:rPr>
        <w:t>mája</w:t>
      </w:r>
      <w:r w:rsidRPr="00D06241">
        <w:rPr>
          <w:rFonts w:asciiTheme="majorHAnsi" w:hAnsiTheme="majorHAnsi"/>
          <w:lang w:val="sk-SK"/>
        </w:rPr>
        <w:t xml:space="preserve"> 2019</w:t>
      </w:r>
    </w:p>
    <w:p w14:paraId="0B7CD1AA" w14:textId="77777777" w:rsidR="00A2330C" w:rsidRPr="00D06241" w:rsidRDefault="00A2330C" w:rsidP="00A2330C">
      <w:pPr>
        <w:spacing w:after="60" w:line="276" w:lineRule="auto"/>
        <w:jc w:val="both"/>
        <w:rPr>
          <w:rFonts w:asciiTheme="majorHAnsi" w:hAnsiTheme="majorHAnsi"/>
          <w:lang w:val="sk-SK"/>
        </w:rPr>
      </w:pPr>
    </w:p>
    <w:p w14:paraId="4E842F71" w14:textId="77777777" w:rsidR="00A2330C" w:rsidRPr="00D06241" w:rsidRDefault="00A2330C" w:rsidP="00A2330C">
      <w:pPr>
        <w:spacing w:after="60" w:line="276" w:lineRule="auto"/>
        <w:jc w:val="both"/>
        <w:rPr>
          <w:rFonts w:asciiTheme="majorHAnsi" w:hAnsiTheme="majorHAnsi"/>
          <w:lang w:val="sk-SK"/>
        </w:rPr>
      </w:pPr>
    </w:p>
    <w:p w14:paraId="401CD3DD" w14:textId="77777777" w:rsidR="00A2330C" w:rsidRPr="00D06241" w:rsidRDefault="00A2330C" w:rsidP="00A2330C">
      <w:pPr>
        <w:pStyle w:val="Title"/>
        <w:spacing w:after="60" w:line="276" w:lineRule="auto"/>
        <w:jc w:val="both"/>
      </w:pPr>
      <w:r w:rsidRPr="00D06241">
        <w:t>Stanovisko</w:t>
      </w:r>
    </w:p>
    <w:p w14:paraId="2CF89D54" w14:textId="15A352E4" w:rsidR="00A2330C" w:rsidRPr="00D06241" w:rsidRDefault="00A2330C" w:rsidP="00A2330C">
      <w:pPr>
        <w:pStyle w:val="Title"/>
        <w:spacing w:after="60" w:line="276" w:lineRule="auto"/>
        <w:jc w:val="both"/>
      </w:pPr>
      <w:r w:rsidRPr="00D06241">
        <w:t xml:space="preserve">k </w:t>
      </w:r>
      <w:r w:rsidR="00516124" w:rsidRPr="00D06241">
        <w:t>vybraným</w:t>
      </w:r>
      <w:r w:rsidRPr="00D06241">
        <w:t xml:space="preserve"> </w:t>
      </w:r>
      <w:r w:rsidR="00516124" w:rsidRPr="00D06241">
        <w:t>otázkam</w:t>
      </w:r>
      <w:r w:rsidRPr="00D06241">
        <w:t xml:space="preserve"> </w:t>
      </w:r>
      <w:r w:rsidR="00516124" w:rsidRPr="00D06241">
        <w:t xml:space="preserve">realizácie </w:t>
      </w:r>
      <w:r w:rsidR="00CA249A" w:rsidRPr="00D06241">
        <w:t xml:space="preserve">projektu </w:t>
      </w:r>
      <w:proofErr w:type="spellStart"/>
      <w:r w:rsidR="00CA249A" w:rsidRPr="00D06241">
        <w:t>MobileID</w:t>
      </w:r>
      <w:proofErr w:type="spellEnd"/>
      <w:r w:rsidR="007E634B" w:rsidRPr="00D06241">
        <w:t xml:space="preserve"> </w:t>
      </w:r>
    </w:p>
    <w:p w14:paraId="58B86366" w14:textId="77777777" w:rsidR="00A2330C" w:rsidRPr="00D06241" w:rsidRDefault="00A2330C" w:rsidP="00A2330C">
      <w:pPr>
        <w:spacing w:after="60" w:line="276" w:lineRule="auto"/>
        <w:jc w:val="both"/>
        <w:rPr>
          <w:rFonts w:asciiTheme="majorHAnsi" w:hAnsiTheme="majorHAnsi"/>
          <w:lang w:val="sk-SK"/>
        </w:rPr>
      </w:pPr>
    </w:p>
    <w:p w14:paraId="34CA2FA0" w14:textId="59C06099" w:rsidR="00A2330C" w:rsidRPr="00D06241" w:rsidRDefault="0057707D" w:rsidP="00A2330C">
      <w:pPr>
        <w:pStyle w:val="Heading2"/>
        <w:spacing w:after="60" w:line="276" w:lineRule="auto"/>
        <w:ind w:left="709" w:hanging="578"/>
        <w:rPr>
          <w:szCs w:val="24"/>
        </w:rPr>
      </w:pPr>
      <w:r w:rsidRPr="00D06241">
        <w:rPr>
          <w:szCs w:val="24"/>
        </w:rPr>
        <w:t>Skutkový stav, z</w:t>
      </w:r>
      <w:r w:rsidR="00A2330C" w:rsidRPr="00D06241">
        <w:rPr>
          <w:szCs w:val="24"/>
        </w:rPr>
        <w:t>ákladné východiská</w:t>
      </w:r>
      <w:r w:rsidRPr="00D06241">
        <w:rPr>
          <w:szCs w:val="24"/>
        </w:rPr>
        <w:t xml:space="preserve"> a zadanie</w:t>
      </w:r>
    </w:p>
    <w:p w14:paraId="233901B7" w14:textId="6F5F6BC6" w:rsidR="007E634B" w:rsidRPr="00D06241" w:rsidRDefault="00A2330C" w:rsidP="00A2330C">
      <w:pPr>
        <w:spacing w:after="60" w:line="276" w:lineRule="auto"/>
        <w:ind w:firstLine="708"/>
        <w:jc w:val="both"/>
        <w:rPr>
          <w:rFonts w:asciiTheme="majorHAnsi" w:hAnsiTheme="majorHAnsi"/>
          <w:lang w:val="sk-SK"/>
        </w:rPr>
      </w:pPr>
      <w:r w:rsidRPr="00D06241">
        <w:rPr>
          <w:rFonts w:asciiTheme="majorHAnsi" w:hAnsiTheme="majorHAnsi"/>
          <w:lang w:val="sk-SK"/>
        </w:rPr>
        <w:tab/>
        <w:t xml:space="preserve">Predmetom tohto stanoviska je poskytnúť rámcový náhľad na </w:t>
      </w:r>
      <w:r w:rsidR="00CA249A" w:rsidRPr="00D06241">
        <w:rPr>
          <w:rFonts w:asciiTheme="majorHAnsi" w:hAnsiTheme="majorHAnsi"/>
          <w:lang w:val="sk-SK"/>
        </w:rPr>
        <w:t>dve</w:t>
      </w:r>
      <w:r w:rsidR="007E634B" w:rsidRPr="00D06241">
        <w:rPr>
          <w:rFonts w:asciiTheme="majorHAnsi" w:hAnsiTheme="majorHAnsi"/>
          <w:lang w:val="sk-SK"/>
        </w:rPr>
        <w:t xml:space="preserve"> </w:t>
      </w:r>
      <w:r w:rsidRPr="00D06241">
        <w:rPr>
          <w:rFonts w:asciiTheme="majorHAnsi" w:hAnsiTheme="majorHAnsi"/>
          <w:lang w:val="sk-SK"/>
        </w:rPr>
        <w:t xml:space="preserve">možnosti </w:t>
      </w:r>
      <w:r w:rsidR="00F52E96" w:rsidRPr="00D06241">
        <w:rPr>
          <w:rFonts w:asciiTheme="majorHAnsi" w:hAnsiTheme="majorHAnsi"/>
          <w:lang w:val="sk-SK"/>
        </w:rPr>
        <w:t xml:space="preserve">realizácie projektu </w:t>
      </w:r>
      <w:proofErr w:type="spellStart"/>
      <w:r w:rsidR="00F52E96" w:rsidRPr="00D06241">
        <w:rPr>
          <w:rFonts w:asciiTheme="majorHAnsi" w:hAnsiTheme="majorHAnsi"/>
          <w:lang w:val="sk-SK"/>
        </w:rPr>
        <w:t>MobileID</w:t>
      </w:r>
      <w:proofErr w:type="spellEnd"/>
      <w:r w:rsidR="00F52E96" w:rsidRPr="00D06241">
        <w:rPr>
          <w:rFonts w:asciiTheme="majorHAnsi" w:hAnsiTheme="majorHAnsi"/>
          <w:lang w:val="sk-SK"/>
        </w:rPr>
        <w:t xml:space="preserve"> z hľadiska prevádzkovania riešenia</w:t>
      </w:r>
      <w:r w:rsidRPr="00D06241">
        <w:rPr>
          <w:rFonts w:asciiTheme="majorHAnsi" w:hAnsiTheme="majorHAnsi"/>
          <w:lang w:val="sk-SK"/>
        </w:rPr>
        <w:t xml:space="preserve"> (ďalej len „Projekt“). </w:t>
      </w:r>
    </w:p>
    <w:p w14:paraId="3F844441" w14:textId="77777777" w:rsidR="00054702" w:rsidRPr="00D06241" w:rsidRDefault="00054702" w:rsidP="00A2330C">
      <w:pPr>
        <w:spacing w:after="60" w:line="276" w:lineRule="auto"/>
        <w:ind w:firstLine="708"/>
        <w:jc w:val="both"/>
        <w:rPr>
          <w:rFonts w:asciiTheme="majorHAnsi" w:hAnsiTheme="majorHAnsi"/>
          <w:lang w:val="sk-SK"/>
        </w:rPr>
      </w:pPr>
    </w:p>
    <w:p w14:paraId="27F62E54" w14:textId="5A79FCE5" w:rsidR="00A2330C" w:rsidRPr="00D06241" w:rsidRDefault="00A2330C" w:rsidP="00A2330C">
      <w:pPr>
        <w:spacing w:after="60" w:line="276" w:lineRule="auto"/>
        <w:ind w:firstLine="708"/>
        <w:jc w:val="both"/>
        <w:rPr>
          <w:rFonts w:asciiTheme="majorHAnsi" w:hAnsiTheme="majorHAnsi"/>
          <w:lang w:val="sk-SK"/>
        </w:rPr>
      </w:pPr>
      <w:r w:rsidRPr="00D06241">
        <w:rPr>
          <w:rFonts w:asciiTheme="majorHAnsi" w:hAnsiTheme="majorHAnsi"/>
          <w:lang w:val="sk-SK"/>
        </w:rPr>
        <w:t>Základn</w:t>
      </w:r>
      <w:r w:rsidR="00BF1207" w:rsidRPr="00D06241">
        <w:rPr>
          <w:rFonts w:asciiTheme="majorHAnsi" w:hAnsiTheme="majorHAnsi"/>
          <w:lang w:val="sk-SK"/>
        </w:rPr>
        <w:t>é</w:t>
      </w:r>
      <w:r w:rsidRPr="00D06241">
        <w:rPr>
          <w:rFonts w:asciiTheme="majorHAnsi" w:hAnsiTheme="majorHAnsi"/>
          <w:lang w:val="sk-SK"/>
        </w:rPr>
        <w:t xml:space="preserve"> východisk</w:t>
      </w:r>
      <w:r w:rsidR="00BF1207" w:rsidRPr="00D06241">
        <w:rPr>
          <w:rFonts w:asciiTheme="majorHAnsi" w:hAnsiTheme="majorHAnsi"/>
          <w:lang w:val="sk-SK"/>
        </w:rPr>
        <w:t>á,</w:t>
      </w:r>
      <w:r w:rsidRPr="00D06241">
        <w:rPr>
          <w:rFonts w:asciiTheme="majorHAnsi" w:hAnsiTheme="majorHAnsi"/>
          <w:lang w:val="sk-SK"/>
        </w:rPr>
        <w:t xml:space="preserve"> ktoré majú byť </w:t>
      </w:r>
      <w:r w:rsidR="00BF1207" w:rsidRPr="00D06241">
        <w:rPr>
          <w:rFonts w:asciiTheme="majorHAnsi" w:hAnsiTheme="majorHAnsi"/>
          <w:lang w:val="sk-SK"/>
        </w:rPr>
        <w:t xml:space="preserve">pri realizácii Projektu </w:t>
      </w:r>
      <w:r w:rsidRPr="00D06241">
        <w:rPr>
          <w:rFonts w:asciiTheme="majorHAnsi" w:hAnsiTheme="majorHAnsi"/>
          <w:lang w:val="sk-SK"/>
        </w:rPr>
        <w:t>dodržané</w:t>
      </w:r>
      <w:r w:rsidR="00BF1207" w:rsidRPr="00D06241">
        <w:rPr>
          <w:rFonts w:asciiTheme="majorHAnsi" w:hAnsiTheme="majorHAnsi"/>
          <w:lang w:val="sk-SK"/>
        </w:rPr>
        <w:t>,</w:t>
      </w:r>
      <w:r w:rsidRPr="00D06241">
        <w:rPr>
          <w:rFonts w:asciiTheme="majorHAnsi" w:hAnsiTheme="majorHAnsi"/>
          <w:lang w:val="sk-SK"/>
        </w:rPr>
        <w:t xml:space="preserve"> sú nasledovné:</w:t>
      </w:r>
    </w:p>
    <w:p w14:paraId="4ECF70A3" w14:textId="27182EC6" w:rsidR="00FA2BC8" w:rsidRPr="00D06241" w:rsidRDefault="00F52E96" w:rsidP="00FA2BC8">
      <w:pPr>
        <w:pStyle w:val="ListParagraph"/>
        <w:numPr>
          <w:ilvl w:val="0"/>
          <w:numId w:val="5"/>
        </w:numPr>
        <w:spacing w:after="60"/>
        <w:ind w:left="709"/>
        <w:jc w:val="both"/>
        <w:rPr>
          <w:rFonts w:asciiTheme="majorHAnsi" w:hAnsiTheme="majorHAnsi"/>
          <w:sz w:val="24"/>
          <w:szCs w:val="24"/>
        </w:rPr>
      </w:pPr>
      <w:r w:rsidRPr="00D06241">
        <w:rPr>
          <w:rFonts w:asciiTheme="majorHAnsi" w:hAnsiTheme="majorHAnsi"/>
          <w:sz w:val="24"/>
          <w:szCs w:val="24"/>
        </w:rPr>
        <w:t>Projekt musí byť (najmenej) vo svojej autentifikačnej časti nasadený do konca roku 2019</w:t>
      </w:r>
      <w:r w:rsidR="00EA706B" w:rsidRPr="00D06241">
        <w:rPr>
          <w:rFonts w:asciiTheme="majorHAnsi" w:hAnsiTheme="majorHAnsi"/>
          <w:sz w:val="24"/>
          <w:szCs w:val="24"/>
        </w:rPr>
        <w:t>,</w:t>
      </w:r>
    </w:p>
    <w:p w14:paraId="6B8903F8" w14:textId="59BDF1A9" w:rsidR="00572F04" w:rsidRPr="00D06241" w:rsidRDefault="00572F04" w:rsidP="00A2330C">
      <w:pPr>
        <w:pStyle w:val="ListParagraph"/>
        <w:numPr>
          <w:ilvl w:val="0"/>
          <w:numId w:val="5"/>
        </w:numPr>
        <w:spacing w:after="60"/>
        <w:ind w:left="709"/>
        <w:jc w:val="both"/>
        <w:rPr>
          <w:rFonts w:asciiTheme="majorHAnsi" w:hAnsiTheme="majorHAnsi"/>
          <w:sz w:val="24"/>
          <w:szCs w:val="24"/>
        </w:rPr>
      </w:pPr>
      <w:r w:rsidRPr="00D06241">
        <w:rPr>
          <w:rFonts w:asciiTheme="majorHAnsi" w:hAnsiTheme="majorHAnsi"/>
          <w:sz w:val="24"/>
          <w:szCs w:val="24"/>
        </w:rPr>
        <w:t>V rámci šetrenia verejných prostriedkov má byť v Projekte použité riešenie, ktoré obstaralo Datacentrum elektronizácie územnej samosprávy (ďalej len „DEUS“)</w:t>
      </w:r>
      <w:r w:rsidR="00EA706B" w:rsidRPr="00D06241">
        <w:rPr>
          <w:rFonts w:asciiTheme="majorHAnsi" w:hAnsiTheme="majorHAnsi"/>
          <w:sz w:val="24"/>
          <w:szCs w:val="24"/>
        </w:rPr>
        <w:t>,</w:t>
      </w:r>
    </w:p>
    <w:p w14:paraId="36E07010" w14:textId="269A8E42" w:rsidR="00572F04" w:rsidRPr="00D06241" w:rsidRDefault="00572F04" w:rsidP="00A2330C">
      <w:pPr>
        <w:pStyle w:val="ListParagraph"/>
        <w:numPr>
          <w:ilvl w:val="0"/>
          <w:numId w:val="5"/>
        </w:numPr>
        <w:spacing w:after="60"/>
        <w:ind w:left="709"/>
        <w:jc w:val="both"/>
        <w:rPr>
          <w:rFonts w:asciiTheme="majorHAnsi" w:hAnsiTheme="majorHAnsi"/>
          <w:sz w:val="24"/>
          <w:szCs w:val="24"/>
        </w:rPr>
      </w:pPr>
      <w:r w:rsidRPr="00D06241">
        <w:rPr>
          <w:rFonts w:asciiTheme="majorHAnsi" w:hAnsiTheme="majorHAnsi"/>
          <w:sz w:val="24"/>
          <w:szCs w:val="24"/>
        </w:rPr>
        <w:t>Realizácia Projektu musí mať oporu v platnej, ako aj aktuálne pripravovanej legislatíve</w:t>
      </w:r>
      <w:r w:rsidR="00EA706B" w:rsidRPr="00D06241">
        <w:rPr>
          <w:rFonts w:asciiTheme="majorHAnsi" w:hAnsiTheme="majorHAnsi"/>
          <w:sz w:val="24"/>
          <w:szCs w:val="24"/>
        </w:rPr>
        <w:t>,</w:t>
      </w:r>
    </w:p>
    <w:p w14:paraId="00FC7815" w14:textId="2070613C" w:rsidR="00A2330C" w:rsidRPr="00D06241" w:rsidRDefault="00F52E96" w:rsidP="00A2330C">
      <w:pPr>
        <w:pStyle w:val="ListParagraph"/>
        <w:numPr>
          <w:ilvl w:val="0"/>
          <w:numId w:val="5"/>
        </w:numPr>
        <w:spacing w:after="60"/>
        <w:ind w:left="709"/>
        <w:jc w:val="both"/>
        <w:rPr>
          <w:rFonts w:asciiTheme="majorHAnsi" w:hAnsiTheme="majorHAnsi"/>
          <w:sz w:val="24"/>
          <w:szCs w:val="24"/>
        </w:rPr>
      </w:pPr>
      <w:r w:rsidRPr="00D06241">
        <w:rPr>
          <w:rFonts w:asciiTheme="majorHAnsi" w:hAnsiTheme="majorHAnsi"/>
          <w:sz w:val="24"/>
          <w:szCs w:val="24"/>
        </w:rPr>
        <w:t>Projekt musí byť využiteľný v prostredí ÚPVS, teda na autentifikáciu a autorizáciu pre služby a úklony dostupné prostredníctvom ÚPVS</w:t>
      </w:r>
      <w:r w:rsidR="00572F04" w:rsidRPr="00D06241">
        <w:rPr>
          <w:rFonts w:asciiTheme="majorHAnsi" w:hAnsiTheme="majorHAnsi"/>
          <w:sz w:val="24"/>
          <w:szCs w:val="24"/>
        </w:rPr>
        <w:t>, pričom má byť realizovateľný v zmysle existujúcej infraštruktúry a existujúcich zmluvných vzťahov medzi NASES a jeho integrátorom</w:t>
      </w:r>
      <w:r w:rsidR="00A2330C" w:rsidRPr="00D06241">
        <w:rPr>
          <w:rFonts w:asciiTheme="majorHAnsi" w:hAnsiTheme="majorHAnsi"/>
          <w:sz w:val="24"/>
          <w:szCs w:val="24"/>
        </w:rPr>
        <w:t>.</w:t>
      </w:r>
    </w:p>
    <w:p w14:paraId="69F7E4E0" w14:textId="4C0732DC" w:rsidR="00A2330C" w:rsidRPr="00D06241" w:rsidRDefault="00A2330C" w:rsidP="00A2330C">
      <w:pPr>
        <w:spacing w:after="60" w:line="276" w:lineRule="auto"/>
        <w:ind w:left="360"/>
        <w:jc w:val="both"/>
        <w:rPr>
          <w:rFonts w:asciiTheme="majorHAnsi" w:hAnsiTheme="majorHAnsi"/>
          <w:lang w:val="sk-SK"/>
        </w:rPr>
      </w:pPr>
    </w:p>
    <w:p w14:paraId="7B98C842" w14:textId="3F9A88D5" w:rsidR="00572F04" w:rsidRPr="00D06241" w:rsidRDefault="00572F04" w:rsidP="00054702">
      <w:pPr>
        <w:spacing w:after="60" w:line="276" w:lineRule="auto"/>
        <w:ind w:firstLine="708"/>
        <w:jc w:val="both"/>
        <w:rPr>
          <w:rFonts w:asciiTheme="majorHAnsi" w:hAnsiTheme="majorHAnsi"/>
          <w:lang w:val="sk-SK"/>
        </w:rPr>
      </w:pPr>
      <w:r w:rsidRPr="00D06241">
        <w:rPr>
          <w:rFonts w:asciiTheme="majorHAnsi" w:hAnsiTheme="majorHAnsi"/>
          <w:lang w:val="sk-SK"/>
        </w:rPr>
        <w:t xml:space="preserve">Pokiaľ ide o spôsob realizácie Projektu, uvažuje sa nad dvomi variantmi, </w:t>
      </w:r>
      <w:r w:rsidR="009C593A" w:rsidRPr="00D06241">
        <w:rPr>
          <w:rFonts w:asciiTheme="majorHAnsi" w:hAnsiTheme="majorHAnsi"/>
          <w:lang w:val="sk-SK"/>
        </w:rPr>
        <w:t>ktoré sú podrobnejšie popísané v iných dokumentoch, pričom ich základné rozdiely sú nasledovné:</w:t>
      </w:r>
    </w:p>
    <w:p w14:paraId="268025A7" w14:textId="61EFA9BE" w:rsidR="009C593A" w:rsidRPr="00D06241" w:rsidRDefault="009C593A" w:rsidP="009C593A">
      <w:pPr>
        <w:pStyle w:val="ListParagraph"/>
        <w:numPr>
          <w:ilvl w:val="0"/>
          <w:numId w:val="5"/>
        </w:numPr>
        <w:spacing w:after="60"/>
        <w:ind w:left="709"/>
        <w:jc w:val="both"/>
        <w:rPr>
          <w:rFonts w:asciiTheme="majorHAnsi" w:hAnsiTheme="majorHAnsi"/>
          <w:sz w:val="24"/>
          <w:szCs w:val="24"/>
        </w:rPr>
      </w:pPr>
      <w:r w:rsidRPr="00D06241">
        <w:rPr>
          <w:rFonts w:asciiTheme="majorHAnsi" w:hAnsiTheme="majorHAnsi"/>
          <w:sz w:val="24"/>
          <w:szCs w:val="24"/>
        </w:rPr>
        <w:t>Poskytovateľom služby mobilnej identity bude NASES a riešenie v Projekte bude zo strany DEUS odovzdané NASESu, ktorý riešenie nasadí do svojej infraštruktúry a bude ho riadne prevádzkovať a poskytovať ako svoju natívnu službu, pričom akékoľvek ďalšie orgány verejnej správy alebo komerčnej sféry, ktoré by chceli využívať autentifikáciu pomocou štátneho mobilného ID sa budú musieť s týmto riešením integrovať (ďalej len „Alternatíva 1“),</w:t>
      </w:r>
    </w:p>
    <w:p w14:paraId="2E232B3F" w14:textId="37F50DB6" w:rsidR="009C593A" w:rsidRPr="00D06241" w:rsidRDefault="009C593A" w:rsidP="009C593A">
      <w:pPr>
        <w:pStyle w:val="ListParagraph"/>
        <w:numPr>
          <w:ilvl w:val="0"/>
          <w:numId w:val="5"/>
        </w:numPr>
        <w:spacing w:after="60"/>
        <w:ind w:left="709"/>
        <w:jc w:val="both"/>
        <w:rPr>
          <w:rFonts w:asciiTheme="majorHAnsi" w:hAnsiTheme="majorHAnsi"/>
          <w:sz w:val="24"/>
          <w:szCs w:val="24"/>
        </w:rPr>
      </w:pPr>
      <w:r w:rsidRPr="00D06241">
        <w:rPr>
          <w:rFonts w:asciiTheme="majorHAnsi" w:hAnsiTheme="majorHAnsi"/>
          <w:sz w:val="24"/>
          <w:szCs w:val="24"/>
        </w:rPr>
        <w:t xml:space="preserve">Poskytovateľom služby mobilnej identity bude DEUS, ktorý bude riešenie v Projekte prevádzkovať na svojej infraštruktúre, pričom ÚPVS bude s týmto riešením integrované, </w:t>
      </w:r>
      <w:r w:rsidRPr="00D06241">
        <w:rPr>
          <w:rFonts w:asciiTheme="majorHAnsi" w:hAnsiTheme="majorHAnsi"/>
          <w:sz w:val="24"/>
          <w:szCs w:val="24"/>
        </w:rPr>
        <w:lastRenderedPageBreak/>
        <w:t>a bude občanom pri autentifikácií poskytovať možnosť využiť aj autentifikáciu pomocou systému (mobilnej aplikácie) DEUS (ďalej len „Alternatíva 2“).</w:t>
      </w:r>
    </w:p>
    <w:p w14:paraId="4B36FA56" w14:textId="0BED859A" w:rsidR="00A2330C" w:rsidRPr="00D06241" w:rsidRDefault="00A2330C" w:rsidP="00054702">
      <w:pPr>
        <w:spacing w:after="60" w:line="276" w:lineRule="auto"/>
        <w:ind w:firstLine="708"/>
        <w:jc w:val="both"/>
        <w:rPr>
          <w:rFonts w:asciiTheme="majorHAnsi" w:hAnsiTheme="majorHAnsi"/>
          <w:lang w:val="sk-SK"/>
        </w:rPr>
      </w:pPr>
    </w:p>
    <w:p w14:paraId="39C7DF3E" w14:textId="2AC6ED43" w:rsidR="00002B2C" w:rsidRPr="00D06241" w:rsidRDefault="00002B2C" w:rsidP="00054702">
      <w:pPr>
        <w:spacing w:after="60" w:line="276" w:lineRule="auto"/>
        <w:ind w:firstLine="708"/>
        <w:jc w:val="both"/>
        <w:rPr>
          <w:rFonts w:asciiTheme="majorHAnsi" w:hAnsiTheme="majorHAnsi"/>
          <w:lang w:val="sk-SK"/>
        </w:rPr>
      </w:pPr>
      <w:r w:rsidRPr="00D06241">
        <w:rPr>
          <w:rFonts w:asciiTheme="majorHAnsi" w:hAnsiTheme="majorHAnsi"/>
          <w:lang w:val="sk-SK"/>
        </w:rPr>
        <w:t xml:space="preserve">Zadaním je v konečnom dôsledku </w:t>
      </w:r>
      <w:r w:rsidR="00F52E96" w:rsidRPr="00D06241">
        <w:rPr>
          <w:rFonts w:asciiTheme="majorHAnsi" w:hAnsiTheme="majorHAnsi"/>
          <w:lang w:val="sk-SK"/>
        </w:rPr>
        <w:t xml:space="preserve">posúdiť oba vyššie uvedené spôsoby nasadenia a prevádzky Projektu, pri zachovaní </w:t>
      </w:r>
      <w:r w:rsidRPr="00D06241">
        <w:rPr>
          <w:rFonts w:asciiTheme="majorHAnsi" w:hAnsiTheme="majorHAnsi"/>
          <w:lang w:val="sk-SK"/>
        </w:rPr>
        <w:t>základn</w:t>
      </w:r>
      <w:r w:rsidR="00F52E96" w:rsidRPr="00D06241">
        <w:rPr>
          <w:rFonts w:asciiTheme="majorHAnsi" w:hAnsiTheme="majorHAnsi"/>
          <w:lang w:val="sk-SK"/>
        </w:rPr>
        <w:t>ých</w:t>
      </w:r>
      <w:r w:rsidRPr="00D06241">
        <w:rPr>
          <w:rFonts w:asciiTheme="majorHAnsi" w:hAnsiTheme="majorHAnsi"/>
          <w:lang w:val="sk-SK"/>
        </w:rPr>
        <w:t xml:space="preserve"> východ</w:t>
      </w:r>
      <w:r w:rsidR="00F52E96" w:rsidRPr="00D06241">
        <w:rPr>
          <w:rFonts w:asciiTheme="majorHAnsi" w:hAnsiTheme="majorHAnsi"/>
          <w:lang w:val="sk-SK"/>
        </w:rPr>
        <w:t>í</w:t>
      </w:r>
      <w:r w:rsidRPr="00D06241">
        <w:rPr>
          <w:rFonts w:asciiTheme="majorHAnsi" w:hAnsiTheme="majorHAnsi"/>
          <w:lang w:val="sk-SK"/>
        </w:rPr>
        <w:t>sk</w:t>
      </w:r>
      <w:r w:rsidR="00F52E96" w:rsidRPr="00D06241">
        <w:rPr>
          <w:rFonts w:asciiTheme="majorHAnsi" w:hAnsiTheme="majorHAnsi"/>
          <w:lang w:val="sk-SK"/>
        </w:rPr>
        <w:t xml:space="preserve"> a prípadne </w:t>
      </w:r>
      <w:r w:rsidRPr="00D06241">
        <w:rPr>
          <w:rFonts w:asciiTheme="majorHAnsi" w:hAnsiTheme="majorHAnsi"/>
          <w:lang w:val="sk-SK"/>
        </w:rPr>
        <w:t xml:space="preserve">pomenovať základné riziká, resp. slabé miesta </w:t>
      </w:r>
      <w:r w:rsidR="00F52E96" w:rsidRPr="00D06241">
        <w:rPr>
          <w:rFonts w:asciiTheme="majorHAnsi" w:hAnsiTheme="majorHAnsi"/>
          <w:lang w:val="sk-SK"/>
        </w:rPr>
        <w:t>oboch spôsobov</w:t>
      </w:r>
      <w:r w:rsidRPr="00D06241">
        <w:rPr>
          <w:rFonts w:asciiTheme="majorHAnsi" w:hAnsiTheme="majorHAnsi"/>
          <w:lang w:val="sk-SK"/>
        </w:rPr>
        <w:t>.</w:t>
      </w:r>
    </w:p>
    <w:p w14:paraId="7222540E" w14:textId="77777777" w:rsidR="00A2330C" w:rsidRPr="00D06241" w:rsidRDefault="00A2330C" w:rsidP="00A2330C">
      <w:pPr>
        <w:spacing w:after="60" w:line="276" w:lineRule="auto"/>
        <w:ind w:left="360"/>
        <w:jc w:val="both"/>
        <w:rPr>
          <w:rFonts w:asciiTheme="majorHAnsi" w:hAnsiTheme="majorHAnsi"/>
          <w:lang w:val="sk-SK"/>
        </w:rPr>
      </w:pPr>
    </w:p>
    <w:p w14:paraId="66144C66" w14:textId="256D4A05" w:rsidR="00A2330C" w:rsidRPr="00D06241" w:rsidRDefault="00364FAB" w:rsidP="00A2330C">
      <w:pPr>
        <w:pStyle w:val="Heading2"/>
        <w:tabs>
          <w:tab w:val="clear" w:pos="0"/>
        </w:tabs>
        <w:spacing w:after="60" w:line="276" w:lineRule="auto"/>
        <w:ind w:left="709" w:hanging="578"/>
        <w:rPr>
          <w:szCs w:val="24"/>
        </w:rPr>
      </w:pPr>
      <w:r w:rsidRPr="00D06241">
        <w:rPr>
          <w:szCs w:val="24"/>
        </w:rPr>
        <w:t>Zákonná opora pre realizáciu Projektu</w:t>
      </w:r>
    </w:p>
    <w:p w14:paraId="7E3996A7" w14:textId="672002BB" w:rsidR="00491E67" w:rsidRPr="00D06241" w:rsidRDefault="003D51AD" w:rsidP="00524FD1">
      <w:pPr>
        <w:spacing w:after="60" w:line="276" w:lineRule="auto"/>
        <w:ind w:firstLine="709"/>
        <w:jc w:val="both"/>
        <w:rPr>
          <w:rFonts w:asciiTheme="majorHAnsi" w:hAnsiTheme="majorHAnsi" w:cs="Times New Roman"/>
          <w:lang w:val="sk-SK"/>
        </w:rPr>
      </w:pPr>
      <w:r w:rsidRPr="00D06241">
        <w:rPr>
          <w:rFonts w:asciiTheme="majorHAnsi" w:hAnsiTheme="majorHAnsi" w:cs="Times New Roman"/>
          <w:lang w:val="sk-SK"/>
        </w:rPr>
        <w:t>Opora pre autentifikáciu a autorizáciu riešenia v Projekte bola predmetom posúdenia iného dokumentu, s ktorého závermi sa stotožňujeme.</w:t>
      </w:r>
      <w:r w:rsidRPr="00D06241">
        <w:rPr>
          <w:rStyle w:val="FootnoteReference"/>
          <w:rFonts w:asciiTheme="majorHAnsi" w:hAnsiTheme="majorHAnsi" w:cs="Times New Roman"/>
          <w:lang w:val="sk-SK"/>
        </w:rPr>
        <w:footnoteReference w:id="1"/>
      </w:r>
      <w:r w:rsidRPr="00D06241">
        <w:rPr>
          <w:rFonts w:asciiTheme="majorHAnsi" w:hAnsiTheme="majorHAnsi" w:cs="Times New Roman"/>
          <w:lang w:val="sk-SK"/>
        </w:rPr>
        <w:t xml:space="preserve"> </w:t>
      </w:r>
    </w:p>
    <w:p w14:paraId="40D794AA" w14:textId="1D151BE3" w:rsidR="00EF4E67" w:rsidRPr="00D06241" w:rsidRDefault="00EF4E67" w:rsidP="00524FD1">
      <w:pPr>
        <w:spacing w:after="60" w:line="276" w:lineRule="auto"/>
        <w:ind w:firstLine="709"/>
        <w:jc w:val="both"/>
        <w:rPr>
          <w:rFonts w:asciiTheme="majorHAnsi" w:hAnsiTheme="majorHAnsi" w:cs="Times New Roman"/>
          <w:lang w:val="sk-SK"/>
        </w:rPr>
      </w:pPr>
    </w:p>
    <w:p w14:paraId="4DDB8E0F" w14:textId="3AA70EB1" w:rsidR="00C53501" w:rsidRPr="00D06241" w:rsidRDefault="00C53501" w:rsidP="00524FD1">
      <w:pPr>
        <w:spacing w:after="60" w:line="276" w:lineRule="auto"/>
        <w:ind w:firstLine="709"/>
        <w:jc w:val="both"/>
        <w:rPr>
          <w:rFonts w:asciiTheme="majorHAnsi" w:hAnsiTheme="majorHAnsi" w:cs="Times New Roman"/>
          <w:lang w:val="sk-SK"/>
        </w:rPr>
      </w:pPr>
      <w:r w:rsidRPr="00D06241">
        <w:rPr>
          <w:rFonts w:asciiTheme="majorHAnsi" w:hAnsiTheme="majorHAnsi" w:cs="Times New Roman"/>
          <w:lang w:val="sk-SK"/>
        </w:rPr>
        <w:t>Pokiaľ ide o oporu realizácie</w:t>
      </w:r>
      <w:r w:rsidR="00345353" w:rsidRPr="00D06241">
        <w:rPr>
          <w:rFonts w:asciiTheme="majorHAnsi" w:hAnsiTheme="majorHAnsi" w:cs="Times New Roman"/>
          <w:lang w:val="sk-SK"/>
        </w:rPr>
        <w:t xml:space="preserve"> Projektu v časti týkajúcej sa autentifikácie, táto je odlišná pre každú z uvedených alternatív.</w:t>
      </w:r>
    </w:p>
    <w:p w14:paraId="35EB7B3C" w14:textId="44685B3D" w:rsidR="00345353" w:rsidRPr="00D06241" w:rsidRDefault="00345353" w:rsidP="00524FD1">
      <w:pPr>
        <w:spacing w:after="60" w:line="276" w:lineRule="auto"/>
        <w:ind w:firstLine="709"/>
        <w:jc w:val="both"/>
        <w:rPr>
          <w:rFonts w:asciiTheme="majorHAnsi" w:hAnsiTheme="majorHAnsi" w:cs="Times New Roman"/>
          <w:lang w:val="sk-SK"/>
        </w:rPr>
      </w:pPr>
      <w:r w:rsidRPr="00D06241">
        <w:rPr>
          <w:rFonts w:asciiTheme="majorHAnsi" w:hAnsiTheme="majorHAnsi" w:cs="Times New Roman"/>
          <w:lang w:val="sk-SK"/>
        </w:rPr>
        <w:t xml:space="preserve">Pokiaľ ide o alternatívu 1, zákon o e-Governmente (ďalej len „ZoEG“) výslovne neustanovuje možnosť NASESu prevádzkovať osobitné riešenie pre autentifikačný nástroj, avšak (i) ustanovuje NASESu povinnosť zabezpečovať možnosť autentifikácie na ÚPVS (aj) prostredníctvom autentifikačného certifikátu, vrátane súvisiacich činností a (ii) umožňuje NASESu v § 6 ods. 5 ZoEG vytvárať a poskytovať pre orgány verejnej moci a aj iné osoby funkcionality ÚPVS a spoločných modulov nad rámec zákonom ustanoveného „minima“. V kombinácii týchto dvoch ustanovení je možné nájsť oporu na to, aby NASES umožňoval vykonanie autentifikácie na účely prístupu k elektronickým schránkam a e-gov službám aj prostredníctvom mobilnej aplikácie, ktorú by prevádzkoval. </w:t>
      </w:r>
    </w:p>
    <w:p w14:paraId="72810009" w14:textId="2CA6E1E1" w:rsidR="00345353" w:rsidRPr="00D06241" w:rsidRDefault="005472BF" w:rsidP="00524FD1">
      <w:pPr>
        <w:spacing w:after="60" w:line="276" w:lineRule="auto"/>
        <w:ind w:firstLine="709"/>
        <w:jc w:val="both"/>
        <w:rPr>
          <w:rFonts w:asciiTheme="majorHAnsi" w:hAnsiTheme="majorHAnsi" w:cs="Times New Roman"/>
          <w:lang w:val="sk-SK"/>
        </w:rPr>
      </w:pPr>
      <w:r w:rsidRPr="00D06241">
        <w:rPr>
          <w:rFonts w:asciiTheme="majorHAnsi" w:hAnsiTheme="majorHAnsi" w:cs="Times New Roman"/>
          <w:lang w:val="sk-SK"/>
        </w:rPr>
        <w:t xml:space="preserve">V alternatíve 2 vie DEUS nájsť oporu pre </w:t>
      </w:r>
      <w:r w:rsidRPr="00D06241">
        <w:rPr>
          <w:rFonts w:asciiTheme="majorHAnsi" w:hAnsiTheme="majorHAnsi" w:cs="Times New Roman"/>
          <w:i/>
          <w:iCs/>
          <w:lang w:val="sk-SK"/>
        </w:rPr>
        <w:t>de facto</w:t>
      </w:r>
      <w:r w:rsidRPr="00D06241">
        <w:rPr>
          <w:rFonts w:asciiTheme="majorHAnsi" w:hAnsiTheme="majorHAnsi" w:cs="Times New Roman"/>
          <w:lang w:val="sk-SK"/>
        </w:rPr>
        <w:t xml:space="preserve"> akýkoľvek spôsob autentifikácie na ním prevádzkovaný špecializovaný portál v § 21 ods. 6 ZoEG. To, že DEUS je orgánom verejnej moci vyplýva zo skutočnosti, že prevádzka a správa IS DCOM je výkonom verejnej správy, teda DEUS je orgánom vykonávajúcim verejnú správu, ergo je orgánom verejnej moci v časti týkajúcej sa prevádzky a správy IS DCOM, vrátane špecializovaného portálu IS DCOM.</w:t>
      </w:r>
      <w:r w:rsidR="00643E5C" w:rsidRPr="00D06241">
        <w:rPr>
          <w:rFonts w:asciiTheme="majorHAnsi" w:hAnsiTheme="majorHAnsi" w:cs="Times New Roman"/>
          <w:lang w:val="sk-SK"/>
        </w:rPr>
        <w:t xml:space="preserve"> Následne, v zmysle novely ZoEG, ktorá je aktuálne predložená na rokovanie Národnej rady Slovenskej republiky a ktorej účinnosť sa predpokladá od 1. augusta 2019, </w:t>
      </w:r>
      <w:r w:rsidR="005F08DD" w:rsidRPr="00D06241">
        <w:rPr>
          <w:rFonts w:asciiTheme="majorHAnsi" w:hAnsiTheme="majorHAnsi" w:cs="Times New Roman"/>
          <w:lang w:val="sk-SK"/>
        </w:rPr>
        <w:t xml:space="preserve">je NASES oprávnený, po dohode s DEUS, umožniť využitie takéhoto spôsobu autentifikácie aj v podmienkach ÚPVS – podľa § 21 ods. </w:t>
      </w:r>
      <w:r w:rsidR="00EA706B" w:rsidRPr="00D06241">
        <w:rPr>
          <w:rFonts w:asciiTheme="majorHAnsi" w:hAnsiTheme="majorHAnsi" w:cs="Times New Roman"/>
          <w:lang w:val="sk-SK"/>
        </w:rPr>
        <w:t>6</w:t>
      </w:r>
      <w:r w:rsidR="005F08DD" w:rsidRPr="00D06241">
        <w:rPr>
          <w:rFonts w:asciiTheme="majorHAnsi" w:hAnsiTheme="majorHAnsi" w:cs="Times New Roman"/>
          <w:lang w:val="sk-SK"/>
        </w:rPr>
        <w:t xml:space="preserve"> v znení spomínanej novely ZoEG.</w:t>
      </w:r>
    </w:p>
    <w:p w14:paraId="58C1B8B5" w14:textId="77777777" w:rsidR="00C53501" w:rsidRPr="00D06241" w:rsidRDefault="00C53501" w:rsidP="00524FD1">
      <w:pPr>
        <w:spacing w:after="60" w:line="276" w:lineRule="auto"/>
        <w:ind w:firstLine="709"/>
        <w:jc w:val="both"/>
        <w:rPr>
          <w:rFonts w:asciiTheme="majorHAnsi" w:hAnsiTheme="majorHAnsi" w:cs="Times New Roman"/>
          <w:lang w:val="sk-SK"/>
        </w:rPr>
      </w:pPr>
    </w:p>
    <w:p w14:paraId="4E9C439F" w14:textId="74D9EA2F" w:rsidR="003D51AD" w:rsidRPr="00D06241" w:rsidRDefault="003D51AD" w:rsidP="00524FD1">
      <w:pPr>
        <w:spacing w:after="60" w:line="276" w:lineRule="auto"/>
        <w:ind w:firstLine="709"/>
        <w:jc w:val="both"/>
        <w:rPr>
          <w:rFonts w:asciiTheme="majorHAnsi" w:hAnsiTheme="majorHAnsi" w:cs="Times New Roman"/>
          <w:lang w:val="sk-SK"/>
        </w:rPr>
      </w:pPr>
      <w:r w:rsidRPr="00D06241">
        <w:rPr>
          <w:rFonts w:asciiTheme="majorHAnsi" w:hAnsiTheme="majorHAnsi" w:cs="Times New Roman"/>
          <w:lang w:val="sk-SK"/>
        </w:rPr>
        <w:t xml:space="preserve">Pokiaľ ide o prevádzku riešenia v Projekte v časti týkajúcej sa autorizácie, zákonnú oporu je možné pre obe alternatívy nájsť v § 23 ods. 1 písm. a) druhom bode ZoEG. Toto ustanovenie, ľudovo nazývané aj „podpis klikom“, umožňuje prístupovému miestu poskytovať autorizačný nástroj s využitím autentifikácie, pričom takýto nástroj môže byť prístupný tak </w:t>
      </w:r>
      <w:r w:rsidR="00EC1F20" w:rsidRPr="00D06241">
        <w:rPr>
          <w:rFonts w:asciiTheme="majorHAnsi" w:hAnsiTheme="majorHAnsi" w:cs="Times New Roman"/>
          <w:lang w:val="sk-SK"/>
        </w:rPr>
        <w:t xml:space="preserve">cez ÚPVS, ako aj cez špecializovaný portál (teda aj portál IS DCOM), resp. môže ísť o funkciu </w:t>
      </w:r>
      <w:r w:rsidR="00EC1F20" w:rsidRPr="00D06241">
        <w:rPr>
          <w:rFonts w:asciiTheme="majorHAnsi" w:hAnsiTheme="majorHAnsi" w:cs="Times New Roman"/>
          <w:lang w:val="sk-SK"/>
        </w:rPr>
        <w:lastRenderedPageBreak/>
        <w:t xml:space="preserve">informačného systému oboch z týchto prístupových miest. Zákon </w:t>
      </w:r>
      <w:r w:rsidR="00E64E6B" w:rsidRPr="00D06241">
        <w:rPr>
          <w:rFonts w:asciiTheme="majorHAnsi" w:hAnsiTheme="majorHAnsi" w:cs="Times New Roman"/>
          <w:lang w:val="sk-SK"/>
        </w:rPr>
        <w:t xml:space="preserve">tiež </w:t>
      </w:r>
      <w:r w:rsidR="00EC1F20" w:rsidRPr="00D06241">
        <w:rPr>
          <w:rFonts w:asciiTheme="majorHAnsi" w:hAnsiTheme="majorHAnsi" w:cs="Times New Roman"/>
          <w:lang w:val="sk-SK"/>
        </w:rPr>
        <w:t xml:space="preserve">nekladie prekážku tomu, aby </w:t>
      </w:r>
      <w:r w:rsidR="00E64E6B" w:rsidRPr="00D06241">
        <w:rPr>
          <w:rFonts w:asciiTheme="majorHAnsi" w:hAnsiTheme="majorHAnsi" w:cs="Times New Roman"/>
          <w:lang w:val="sk-SK"/>
        </w:rPr>
        <w:t>jedno prístupové miesto využívalo na tento spôsob autorizácie funkciu implementovanú iným prístupovým miestom – samotná podmienka, že musí ísť o funkciu prístupového miesta, totiž bola ustanovená z dôvodu, aby kontrolu nad autorizačným nástrojom mal orgán verejnej moci. Oporu na využívanie už existujúcich IT riešení poskytuje aj § 6 ods. 1 písm. c) zákona č. 95/2019 Z.z. o informačných technológiách vo verejnej správe a o zmene a doplnení niektorých zákonov (ďalej len „zákon o ITVS“).</w:t>
      </w:r>
    </w:p>
    <w:p w14:paraId="1F49EC3C" w14:textId="39D8BF12" w:rsidR="00A914A5" w:rsidRPr="00D06241" w:rsidRDefault="00A914A5" w:rsidP="00A914A5">
      <w:pPr>
        <w:spacing w:after="60" w:line="276" w:lineRule="auto"/>
        <w:ind w:firstLine="709"/>
        <w:jc w:val="both"/>
        <w:rPr>
          <w:rFonts w:asciiTheme="majorHAnsi" w:hAnsiTheme="majorHAnsi" w:cs="Times New Roman"/>
          <w:lang w:val="sk-SK"/>
        </w:rPr>
      </w:pPr>
      <w:r w:rsidRPr="00D06241">
        <w:rPr>
          <w:rFonts w:asciiTheme="majorHAnsi" w:hAnsiTheme="majorHAnsi" w:cs="Times New Roman"/>
          <w:lang w:val="sk-SK"/>
        </w:rPr>
        <w:t xml:space="preserve">Pre úplnosť uvádzame, že autorizačnú časť riešenia v Projekte je možné z hľadiska ZoEG oprieť aj o tzv. uznaný spôsob autorizácie podľa § 23 ods. 1 písm. a) tretí bod ZoEG, ktorý však vyžaduje prijatie vykonávacieho predpisu, popisujúceho autorizáciu v riešení ako uznaný spôsob autorizácie. Vzhľadom na to, že vydanie vykonávacieho predpisu je v pôsobnosti Úradu podpredsedu vlády Slovenskej republiky pre investície a informatizáciu (ďalej len „UPVII“), ako aj vzhľadom na predpokladanú dĺžku legislatívneho procesu je možné konštatovať, že vykonávací predpis je možné vydať v čase potrebnom na dosiahnutie cieľov Projektu v oblasti autorizácie.  </w:t>
      </w:r>
    </w:p>
    <w:p w14:paraId="7BAE40BA" w14:textId="30C91FC5" w:rsidR="003D51AD" w:rsidRPr="00D06241" w:rsidRDefault="003D51AD" w:rsidP="00524FD1">
      <w:pPr>
        <w:spacing w:after="60" w:line="276" w:lineRule="auto"/>
        <w:ind w:firstLine="709"/>
        <w:jc w:val="both"/>
        <w:rPr>
          <w:rFonts w:asciiTheme="majorHAnsi" w:hAnsiTheme="majorHAnsi" w:cs="Times New Roman"/>
          <w:lang w:val="sk-SK"/>
        </w:rPr>
      </w:pPr>
    </w:p>
    <w:p w14:paraId="2313EF26" w14:textId="2BF40393" w:rsidR="00A2330C" w:rsidRPr="00D06241" w:rsidRDefault="00364FAB" w:rsidP="00A2330C">
      <w:pPr>
        <w:pStyle w:val="Heading2"/>
        <w:spacing w:after="60" w:line="276" w:lineRule="auto"/>
        <w:ind w:left="709" w:hanging="578"/>
        <w:rPr>
          <w:szCs w:val="24"/>
        </w:rPr>
      </w:pPr>
      <w:r w:rsidRPr="00D06241">
        <w:rPr>
          <w:szCs w:val="24"/>
        </w:rPr>
        <w:t xml:space="preserve">Zmluvné nastavenie obstarania </w:t>
      </w:r>
      <w:r w:rsidR="00932068" w:rsidRPr="00D06241">
        <w:rPr>
          <w:szCs w:val="24"/>
        </w:rPr>
        <w:t xml:space="preserve">riešenia v </w:t>
      </w:r>
      <w:r w:rsidRPr="00D06241">
        <w:rPr>
          <w:szCs w:val="24"/>
        </w:rPr>
        <w:t>Projekt</w:t>
      </w:r>
      <w:r w:rsidR="00932068" w:rsidRPr="00D06241">
        <w:rPr>
          <w:szCs w:val="24"/>
        </w:rPr>
        <w:t>e</w:t>
      </w:r>
    </w:p>
    <w:p w14:paraId="4D8D95D5" w14:textId="159652E3" w:rsidR="00D53350" w:rsidRPr="00D06241" w:rsidRDefault="000F6583" w:rsidP="00591DEE">
      <w:pPr>
        <w:spacing w:after="60" w:line="276" w:lineRule="auto"/>
        <w:ind w:firstLine="709"/>
        <w:jc w:val="both"/>
        <w:rPr>
          <w:rFonts w:asciiTheme="majorHAnsi" w:hAnsiTheme="majorHAnsi"/>
          <w:lang w:val="sk-SK"/>
        </w:rPr>
      </w:pPr>
      <w:r w:rsidRPr="00D06241">
        <w:rPr>
          <w:rFonts w:asciiTheme="majorHAnsi" w:hAnsiTheme="majorHAnsi"/>
          <w:lang w:val="sk-SK"/>
        </w:rPr>
        <w:t>Obstaranie riešenia v Projekte je zmluvne zabezpečené dodatkom č. 5 k Zmluve o poskytovaní služieb správy, údržby, technickej podpory a prevádzky informačného systému DCOM z 04. 02. 2014 (ďalej len „Dodatok“ a „Zmluva na IS DCOM“)</w:t>
      </w:r>
      <w:r w:rsidR="00591DEE" w:rsidRPr="00D06241">
        <w:rPr>
          <w:rFonts w:asciiTheme="majorHAnsi" w:hAnsiTheme="majorHAnsi"/>
          <w:lang w:val="sk-SK"/>
        </w:rPr>
        <w:t>, uzatvorenej medzi združením DEUS a dodávateľmi v projekte IS DCOM (ďalej len „Dodávateľ“).</w:t>
      </w:r>
    </w:p>
    <w:p w14:paraId="42F68457" w14:textId="4AED7FF1" w:rsidR="000C44D3" w:rsidRPr="00D06241" w:rsidRDefault="00E70A16" w:rsidP="00591DEE">
      <w:pPr>
        <w:spacing w:after="60" w:line="276" w:lineRule="auto"/>
        <w:ind w:firstLine="709"/>
        <w:jc w:val="both"/>
        <w:rPr>
          <w:rFonts w:asciiTheme="majorHAnsi" w:hAnsiTheme="majorHAnsi"/>
          <w:lang w:val="sk-SK"/>
        </w:rPr>
      </w:pPr>
      <w:r w:rsidRPr="00D06241">
        <w:rPr>
          <w:rFonts w:asciiTheme="majorHAnsi" w:hAnsiTheme="majorHAnsi"/>
          <w:lang w:val="sk-SK"/>
        </w:rPr>
        <w:t>Účelom Dodatku je zabezpečenie autentifikácie a autorizácie mobilným zariadením, a to pre užívateľov pristupujúcich k službám IS DCOM. Následne je p</w:t>
      </w:r>
      <w:r w:rsidR="000C44D3" w:rsidRPr="00D06241">
        <w:rPr>
          <w:rFonts w:asciiTheme="majorHAnsi" w:hAnsiTheme="majorHAnsi"/>
          <w:lang w:val="sk-SK"/>
        </w:rPr>
        <w:t>redmetom Dodatku je poskytnutie plnení Dodávateľa, konkrétne:</w:t>
      </w:r>
    </w:p>
    <w:p w14:paraId="77FD3147" w14:textId="72350991" w:rsidR="000C44D3" w:rsidRPr="00D06241" w:rsidRDefault="000C44D3" w:rsidP="000C44D3">
      <w:pPr>
        <w:pStyle w:val="ListParagraph"/>
        <w:numPr>
          <w:ilvl w:val="0"/>
          <w:numId w:val="5"/>
        </w:numPr>
        <w:spacing w:after="60"/>
        <w:ind w:left="709"/>
        <w:jc w:val="both"/>
        <w:rPr>
          <w:rFonts w:asciiTheme="majorHAnsi" w:hAnsiTheme="majorHAnsi"/>
          <w:sz w:val="24"/>
          <w:szCs w:val="24"/>
        </w:rPr>
      </w:pPr>
      <w:r w:rsidRPr="00D06241">
        <w:rPr>
          <w:rFonts w:asciiTheme="majorHAnsi" w:hAnsiTheme="majorHAnsi"/>
          <w:sz w:val="24"/>
          <w:szCs w:val="24"/>
        </w:rPr>
        <w:t xml:space="preserve">Sublicencia </w:t>
      </w:r>
      <w:r w:rsidR="00A57BA8" w:rsidRPr="00D06241">
        <w:rPr>
          <w:rFonts w:asciiTheme="majorHAnsi" w:hAnsiTheme="majorHAnsi"/>
          <w:sz w:val="24"/>
          <w:szCs w:val="24"/>
        </w:rPr>
        <w:t xml:space="preserve">v prospech DEUS </w:t>
      </w:r>
      <w:r w:rsidRPr="00D06241">
        <w:rPr>
          <w:rFonts w:asciiTheme="majorHAnsi" w:hAnsiTheme="majorHAnsi"/>
          <w:sz w:val="24"/>
          <w:szCs w:val="24"/>
        </w:rPr>
        <w:t>na používanie software ANZU</w:t>
      </w:r>
      <w:r w:rsidR="00CF06C9" w:rsidRPr="00D06241">
        <w:rPr>
          <w:rFonts w:asciiTheme="majorHAnsi" w:hAnsiTheme="majorHAnsi"/>
          <w:sz w:val="24"/>
          <w:szCs w:val="24"/>
        </w:rPr>
        <w:t>, potrebného na využívanie riešenia v Projekte</w:t>
      </w:r>
      <w:r w:rsidRPr="00D06241">
        <w:rPr>
          <w:rFonts w:asciiTheme="majorHAnsi" w:hAnsiTheme="majorHAnsi"/>
          <w:sz w:val="24"/>
          <w:szCs w:val="24"/>
        </w:rPr>
        <w:t>,</w:t>
      </w:r>
    </w:p>
    <w:p w14:paraId="7E14EE6E" w14:textId="6BF8CFED" w:rsidR="000C44D3" w:rsidRPr="00D06241" w:rsidRDefault="000C44D3" w:rsidP="000C44D3">
      <w:pPr>
        <w:pStyle w:val="ListParagraph"/>
        <w:numPr>
          <w:ilvl w:val="0"/>
          <w:numId w:val="5"/>
        </w:numPr>
        <w:spacing w:after="60"/>
        <w:ind w:left="709"/>
        <w:jc w:val="both"/>
        <w:rPr>
          <w:rFonts w:asciiTheme="majorHAnsi" w:hAnsiTheme="majorHAnsi"/>
          <w:sz w:val="24"/>
          <w:szCs w:val="24"/>
        </w:rPr>
      </w:pPr>
      <w:r w:rsidRPr="00D06241">
        <w:rPr>
          <w:rFonts w:asciiTheme="majorHAnsi" w:hAnsiTheme="majorHAnsi"/>
          <w:sz w:val="24"/>
          <w:szCs w:val="24"/>
        </w:rPr>
        <w:t>Zmeny v IS DCOM na účely realizácie Projektu,</w:t>
      </w:r>
    </w:p>
    <w:p w14:paraId="434DA505" w14:textId="265EBDF0" w:rsidR="000C44D3" w:rsidRPr="00D06241" w:rsidRDefault="000C44D3" w:rsidP="000C44D3">
      <w:pPr>
        <w:pStyle w:val="ListParagraph"/>
        <w:numPr>
          <w:ilvl w:val="0"/>
          <w:numId w:val="5"/>
        </w:numPr>
        <w:spacing w:after="60"/>
        <w:ind w:left="709"/>
        <w:jc w:val="both"/>
        <w:rPr>
          <w:rFonts w:asciiTheme="majorHAnsi" w:hAnsiTheme="majorHAnsi"/>
          <w:sz w:val="24"/>
          <w:szCs w:val="24"/>
        </w:rPr>
      </w:pPr>
      <w:r w:rsidRPr="00D06241">
        <w:rPr>
          <w:rFonts w:asciiTheme="majorHAnsi" w:hAnsiTheme="majorHAnsi"/>
          <w:sz w:val="24"/>
          <w:szCs w:val="24"/>
        </w:rPr>
        <w:t>Implementácia zmien IS DCOM voči systémom NASES a</w:t>
      </w:r>
    </w:p>
    <w:p w14:paraId="1BA95D1B" w14:textId="51C892EC" w:rsidR="000C44D3" w:rsidRPr="00D06241" w:rsidRDefault="000C44D3" w:rsidP="000C44D3">
      <w:pPr>
        <w:pStyle w:val="ListParagraph"/>
        <w:numPr>
          <w:ilvl w:val="0"/>
          <w:numId w:val="5"/>
        </w:numPr>
        <w:spacing w:after="60"/>
        <w:ind w:left="709"/>
        <w:jc w:val="both"/>
        <w:rPr>
          <w:rFonts w:asciiTheme="majorHAnsi" w:hAnsiTheme="majorHAnsi"/>
          <w:sz w:val="24"/>
          <w:szCs w:val="24"/>
        </w:rPr>
      </w:pPr>
      <w:r w:rsidRPr="00D06241">
        <w:rPr>
          <w:rFonts w:asciiTheme="majorHAnsi" w:hAnsiTheme="majorHAnsi"/>
          <w:sz w:val="24"/>
          <w:szCs w:val="24"/>
        </w:rPr>
        <w:t>Prevádzková a technická podpora vo vzťahu k zmene IS DCOM.</w:t>
      </w:r>
    </w:p>
    <w:p w14:paraId="16B94E04" w14:textId="630A58CF" w:rsidR="000C44D3" w:rsidRPr="00D06241" w:rsidRDefault="000C44D3" w:rsidP="000C44D3">
      <w:pPr>
        <w:spacing w:after="60"/>
        <w:jc w:val="both"/>
        <w:rPr>
          <w:rFonts w:asciiTheme="majorHAnsi" w:hAnsiTheme="majorHAnsi"/>
        </w:rPr>
      </w:pPr>
    </w:p>
    <w:p w14:paraId="1EFDFB9B" w14:textId="0332C641" w:rsidR="00F876A8" w:rsidRPr="00D06241" w:rsidRDefault="00F876A8" w:rsidP="00F876A8">
      <w:pPr>
        <w:spacing w:after="60" w:line="276" w:lineRule="auto"/>
        <w:ind w:firstLine="709"/>
        <w:jc w:val="both"/>
        <w:rPr>
          <w:rFonts w:asciiTheme="majorHAnsi" w:hAnsiTheme="majorHAnsi"/>
          <w:lang w:val="sk-SK"/>
        </w:rPr>
      </w:pPr>
      <w:r w:rsidRPr="00D06241">
        <w:rPr>
          <w:rFonts w:asciiTheme="majorHAnsi" w:hAnsiTheme="majorHAnsi"/>
          <w:lang w:val="sk-SK"/>
        </w:rPr>
        <w:t xml:space="preserve">Ako vyplýva z čl. II Dodatku, Dodávateľ nie je držiteľom majetkových práv k ANZU, ale je oprávnený ANZU využívať na základe udelenej licencie. Využívanie ANZU v pomeroch DEUS je riešené formou sublicencie, pričom táto je obmedzená na používanie len na účely e-gov služieb a jej iné využitie je možné až po dohode s Dodávateľom, resp. po jeho súhlase. Keďže autorizácia v rámci riešenia v Projekte je podmienená autentifikáciou a celé riešenie je </w:t>
      </w:r>
      <w:r w:rsidR="00920D2F" w:rsidRPr="00D06241">
        <w:rPr>
          <w:rFonts w:asciiTheme="majorHAnsi" w:hAnsiTheme="majorHAnsi"/>
          <w:lang w:val="sk-SK"/>
        </w:rPr>
        <w:t xml:space="preserve">podľa našich informácií </w:t>
      </w:r>
      <w:r w:rsidRPr="00D06241">
        <w:rPr>
          <w:rFonts w:asciiTheme="majorHAnsi" w:hAnsiTheme="majorHAnsi"/>
          <w:lang w:val="sk-SK"/>
        </w:rPr>
        <w:t xml:space="preserve">z hľadiska použitia závislé na ANZU, je využitie tak autentifikačnej ako aj autorizačnej časti riešenia mimo verejnej správy podmienené dohodou, resp. súhlasom Dodávateľa. DEUS tiež nemá právo žiadnym spôsobom získať zdrojové kódy k ANZU, resp. právo na úpravu alebo akékoľvek zasahovanie do ANZU. Možnosť používať ANZU iným </w:t>
      </w:r>
      <w:r w:rsidRPr="00D06241">
        <w:rPr>
          <w:rFonts w:asciiTheme="majorHAnsi" w:hAnsiTheme="majorHAnsi"/>
          <w:lang w:val="sk-SK"/>
        </w:rPr>
        <w:lastRenderedPageBreak/>
        <w:t>subjektom než DEUS je upravené formou „postúpenia sublicencie“ na iný subjekt verejnej správy.</w:t>
      </w:r>
    </w:p>
    <w:p w14:paraId="5824B1DE" w14:textId="68F3F41C" w:rsidR="00AB1329" w:rsidRPr="00D06241" w:rsidRDefault="00AB1329" w:rsidP="00F876A8">
      <w:pPr>
        <w:spacing w:after="60" w:line="276" w:lineRule="auto"/>
        <w:ind w:firstLine="709"/>
        <w:jc w:val="both"/>
        <w:rPr>
          <w:rFonts w:asciiTheme="majorHAnsi" w:hAnsiTheme="majorHAnsi"/>
          <w:lang w:val="sk-SK"/>
        </w:rPr>
      </w:pPr>
      <w:r w:rsidRPr="00D06241">
        <w:rPr>
          <w:rFonts w:asciiTheme="majorHAnsi" w:hAnsiTheme="majorHAnsi"/>
          <w:lang w:val="sk-SK"/>
        </w:rPr>
        <w:t xml:space="preserve">Zmeny v IS DCOM, ktoré tiež predstavujú samotné riešenie v Projekte, sú z hľadiska použitia upravené obdobne ako ANZU v tom, že je ich možné využiť len v oblasti verejnej správy a mimo nej len po dohode, resp. so súhlasom Dodávateľa. </w:t>
      </w:r>
      <w:r w:rsidR="0000220D" w:rsidRPr="00D06241">
        <w:rPr>
          <w:rFonts w:asciiTheme="majorHAnsi" w:hAnsiTheme="majorHAnsi"/>
          <w:lang w:val="sk-SK"/>
        </w:rPr>
        <w:t xml:space="preserve">Samotné licenčné dojednania k tejto časti plnenia nám nie sú známe, keďže nevyplývajú z Dodatku a (zrejme) sa riadia licenčnými dojednaniami v samotnej Zmluve na IS DCOM, ktorej znenie nemáme k dispozícii. Každopádne, na základe informácií od NASES, ako aj na základe konštatovania spôsobu dodania zmien v IS DCOM, ako je uvedený v prílohe č. 16 k Zmluve na IS DCOM vychádzame z predpokladu, že k tejto časti plnenia by mal mať DEUS, zjednodušene povedané, zdrojové kódy ako aj plné oprávnenia na akúkoľvek úpravu a tieto oprávnenia by vedel </w:t>
      </w:r>
      <w:r w:rsidR="0026552C" w:rsidRPr="00D06241">
        <w:rPr>
          <w:rFonts w:asciiTheme="majorHAnsi" w:hAnsiTheme="majorHAnsi"/>
          <w:lang w:val="sk-SK"/>
        </w:rPr>
        <w:t>za podmienky podľa čl. XII bod 12.4.</w:t>
      </w:r>
      <w:r w:rsidR="0000220D" w:rsidRPr="00D06241">
        <w:rPr>
          <w:rFonts w:asciiTheme="majorHAnsi" w:hAnsiTheme="majorHAnsi"/>
          <w:lang w:val="sk-SK"/>
        </w:rPr>
        <w:t xml:space="preserve"> Dodatku sublicenciou udeliť aj NASESu. </w:t>
      </w:r>
    </w:p>
    <w:p w14:paraId="209BC14C" w14:textId="107299EA" w:rsidR="0000220D" w:rsidRPr="00D06241" w:rsidRDefault="0000220D" w:rsidP="00F876A8">
      <w:pPr>
        <w:spacing w:after="60" w:line="276" w:lineRule="auto"/>
        <w:ind w:firstLine="709"/>
        <w:jc w:val="both"/>
        <w:rPr>
          <w:rFonts w:asciiTheme="majorHAnsi" w:hAnsiTheme="majorHAnsi"/>
          <w:lang w:val="sk-SK"/>
        </w:rPr>
      </w:pPr>
      <w:r w:rsidRPr="00D06241">
        <w:rPr>
          <w:rFonts w:asciiTheme="majorHAnsi" w:hAnsiTheme="majorHAnsi"/>
          <w:lang w:val="sk-SK"/>
        </w:rPr>
        <w:t>Článok XII Dodatku výslovne predpokladá možnosť „využívania riešenia v Projekte“ v podmienkach NASESu, a to či už formou dodávania plnení zo strany DEUS alebo formou prevodu práv z Dodatku na DEUS, vrátane „postúpenia sublicencie“ k ANZU a udelenia sublicencie k tej časti riešenia, ktorá nie je ANZU.</w:t>
      </w:r>
    </w:p>
    <w:p w14:paraId="17875BA9" w14:textId="3ED417F8" w:rsidR="0000220D" w:rsidRPr="00D06241" w:rsidRDefault="0000220D" w:rsidP="00F876A8">
      <w:pPr>
        <w:spacing w:after="60" w:line="276" w:lineRule="auto"/>
        <w:ind w:firstLine="709"/>
        <w:jc w:val="both"/>
        <w:rPr>
          <w:rFonts w:asciiTheme="majorHAnsi" w:hAnsiTheme="majorHAnsi"/>
          <w:lang w:val="sk-SK"/>
        </w:rPr>
      </w:pPr>
    </w:p>
    <w:p w14:paraId="7AF4A252" w14:textId="77777777" w:rsidR="00A71656" w:rsidRPr="00D06241" w:rsidRDefault="0000220D" w:rsidP="00F876A8">
      <w:pPr>
        <w:spacing w:after="60" w:line="276" w:lineRule="auto"/>
        <w:ind w:firstLine="709"/>
        <w:jc w:val="both"/>
        <w:rPr>
          <w:rFonts w:asciiTheme="majorHAnsi" w:hAnsiTheme="majorHAnsi"/>
          <w:lang w:val="sk-SK"/>
        </w:rPr>
      </w:pPr>
      <w:r w:rsidRPr="00D06241">
        <w:rPr>
          <w:rFonts w:asciiTheme="majorHAnsi" w:hAnsiTheme="majorHAnsi"/>
          <w:lang w:val="sk-SK"/>
        </w:rPr>
        <w:t xml:space="preserve">Medzi DEUS a NASES bola uzatvorená aj </w:t>
      </w:r>
      <w:proofErr w:type="spellStart"/>
      <w:r w:rsidRPr="00D06241">
        <w:rPr>
          <w:rFonts w:asciiTheme="majorHAnsi" w:hAnsiTheme="majorHAnsi"/>
          <w:lang w:val="sk-SK"/>
        </w:rPr>
        <w:t>sublicenčná</w:t>
      </w:r>
      <w:proofErr w:type="spellEnd"/>
      <w:r w:rsidRPr="00D06241">
        <w:rPr>
          <w:rFonts w:asciiTheme="majorHAnsi" w:hAnsiTheme="majorHAnsi"/>
          <w:lang w:val="sk-SK"/>
        </w:rPr>
        <w:t xml:space="preserve"> zmluva k</w:t>
      </w:r>
      <w:r w:rsidR="00710C32" w:rsidRPr="00D06241">
        <w:rPr>
          <w:rFonts w:asciiTheme="majorHAnsi" w:hAnsiTheme="majorHAnsi"/>
          <w:lang w:val="sk-SK"/>
        </w:rPr>
        <w:t> </w:t>
      </w:r>
      <w:r w:rsidRPr="00D06241">
        <w:rPr>
          <w:rFonts w:asciiTheme="majorHAnsi" w:hAnsiTheme="majorHAnsi"/>
          <w:lang w:val="sk-SK"/>
        </w:rPr>
        <w:t>ANZU</w:t>
      </w:r>
      <w:r w:rsidR="00710C32" w:rsidRPr="00D06241">
        <w:rPr>
          <w:rFonts w:asciiTheme="majorHAnsi" w:hAnsiTheme="majorHAnsi"/>
          <w:lang w:val="sk-SK"/>
        </w:rPr>
        <w:t xml:space="preserve"> na jeho použitie v rámci Projektu. </w:t>
      </w:r>
      <w:r w:rsidR="00692714" w:rsidRPr="00D06241">
        <w:rPr>
          <w:rFonts w:asciiTheme="majorHAnsi" w:hAnsiTheme="majorHAnsi"/>
          <w:lang w:val="sk-SK"/>
        </w:rPr>
        <w:t>Vo vzťahu k tejto zmluve je nevyhnutné konštatovať, že n</w:t>
      </w:r>
      <w:r w:rsidR="00710C32" w:rsidRPr="00D06241">
        <w:rPr>
          <w:rFonts w:asciiTheme="majorHAnsi" w:hAnsiTheme="majorHAnsi"/>
          <w:lang w:val="sk-SK"/>
        </w:rPr>
        <w:t xml:space="preserve">ie je zrejmé, ako </w:t>
      </w:r>
      <w:r w:rsidR="00692714" w:rsidRPr="00D06241">
        <w:rPr>
          <w:rFonts w:asciiTheme="majorHAnsi" w:hAnsiTheme="majorHAnsi"/>
          <w:lang w:val="sk-SK"/>
        </w:rPr>
        <w:t xml:space="preserve">by </w:t>
      </w:r>
      <w:r w:rsidR="00710C32" w:rsidRPr="00D06241">
        <w:rPr>
          <w:rFonts w:asciiTheme="majorHAnsi" w:hAnsiTheme="majorHAnsi"/>
          <w:lang w:val="sk-SK"/>
        </w:rPr>
        <w:t xml:space="preserve">mohol DEUS udeliť sublicenciu NASESu, keďže DEUS nie je držiteľom licencie k ANZU a teda nemôže byť ani poskytovateľom sublicencie k ANZU. </w:t>
      </w:r>
    </w:p>
    <w:p w14:paraId="4648E6A6" w14:textId="77777777" w:rsidR="00A71656" w:rsidRPr="00D06241" w:rsidRDefault="00710C32" w:rsidP="00F876A8">
      <w:pPr>
        <w:spacing w:after="60" w:line="276" w:lineRule="auto"/>
        <w:ind w:firstLine="709"/>
        <w:jc w:val="both"/>
        <w:rPr>
          <w:rFonts w:asciiTheme="majorHAnsi" w:hAnsiTheme="majorHAnsi"/>
          <w:lang w:val="sk-SK"/>
        </w:rPr>
      </w:pPr>
      <w:r w:rsidRPr="00D06241">
        <w:rPr>
          <w:rFonts w:asciiTheme="majorHAnsi" w:hAnsiTheme="majorHAnsi"/>
          <w:lang w:val="sk-SK"/>
        </w:rPr>
        <w:t xml:space="preserve">Z Dodatku je zrejmé, že vo vzťahu k sublicencii k ANZU, z ktorej je oprávnený DEUS, je upravená možnosť jej „postúpenia“. Bez ohľadu na to, čo sa pod „postúpením sublicencie“ </w:t>
      </w:r>
      <w:r w:rsidR="00A71656" w:rsidRPr="00D06241">
        <w:rPr>
          <w:rFonts w:asciiTheme="majorHAnsi" w:hAnsiTheme="majorHAnsi"/>
          <w:lang w:val="sk-SK"/>
        </w:rPr>
        <w:t xml:space="preserve">presne </w:t>
      </w:r>
      <w:r w:rsidRPr="00D06241">
        <w:rPr>
          <w:rFonts w:asciiTheme="majorHAnsi" w:hAnsiTheme="majorHAnsi"/>
          <w:lang w:val="sk-SK"/>
        </w:rPr>
        <w:t>myslelo, keďže takýto inštitút nemá legálny obsah</w:t>
      </w:r>
      <w:r w:rsidR="00A71656" w:rsidRPr="00D06241">
        <w:rPr>
          <w:rFonts w:asciiTheme="majorHAnsi" w:hAnsiTheme="majorHAnsi"/>
          <w:lang w:val="sk-SK"/>
        </w:rPr>
        <w:t xml:space="preserve"> (nie je osobitným zmluvným typom)</w:t>
      </w:r>
      <w:r w:rsidRPr="00D06241">
        <w:rPr>
          <w:rFonts w:asciiTheme="majorHAnsi" w:hAnsiTheme="majorHAnsi"/>
          <w:lang w:val="sk-SK"/>
        </w:rPr>
        <w:t xml:space="preserve">, </w:t>
      </w:r>
      <w:r w:rsidR="00FE1BBA" w:rsidRPr="00D06241">
        <w:rPr>
          <w:rFonts w:asciiTheme="majorHAnsi" w:hAnsiTheme="majorHAnsi"/>
          <w:lang w:val="sk-SK"/>
        </w:rPr>
        <w:t xml:space="preserve">je zrejmé, že postúpenie, resp. prevod práv vo svojej podstate znamená, že na miesto pôvodného subjektu (povinného, oprávneného) vstupuje subjekt nový. </w:t>
      </w:r>
    </w:p>
    <w:p w14:paraId="1083B549" w14:textId="7B1A5CD1" w:rsidR="00F17CFB" w:rsidRPr="00D06241" w:rsidRDefault="00F266D2" w:rsidP="00F876A8">
      <w:pPr>
        <w:spacing w:after="60" w:line="276" w:lineRule="auto"/>
        <w:ind w:firstLine="709"/>
        <w:jc w:val="both"/>
        <w:rPr>
          <w:rFonts w:asciiTheme="majorHAnsi" w:hAnsiTheme="majorHAnsi"/>
          <w:lang w:val="sk-SK"/>
        </w:rPr>
      </w:pPr>
      <w:r w:rsidRPr="00D06241">
        <w:rPr>
          <w:rFonts w:asciiTheme="majorHAnsi" w:hAnsiTheme="majorHAnsi"/>
          <w:lang w:val="sk-SK"/>
        </w:rPr>
        <w:t>Postúpiť sublicenciu je teda možné</w:t>
      </w:r>
      <w:r w:rsidR="00371421" w:rsidRPr="00D06241">
        <w:rPr>
          <w:rFonts w:asciiTheme="majorHAnsi" w:hAnsiTheme="majorHAnsi"/>
          <w:lang w:val="sk-SK"/>
        </w:rPr>
        <w:t xml:space="preserve"> dohodou, kvázi inominátnym kontraktom podľa (v tomto prípade) Obchodného zákonníka. Avšak </w:t>
      </w:r>
      <w:r w:rsidR="00FE1BBA" w:rsidRPr="00D06241">
        <w:rPr>
          <w:rFonts w:asciiTheme="majorHAnsi" w:hAnsiTheme="majorHAnsi"/>
          <w:lang w:val="sk-SK"/>
        </w:rPr>
        <w:t xml:space="preserve">z povahy </w:t>
      </w:r>
      <w:r w:rsidR="00371421" w:rsidRPr="00D06241">
        <w:rPr>
          <w:rFonts w:asciiTheme="majorHAnsi" w:hAnsiTheme="majorHAnsi"/>
          <w:lang w:val="sk-SK"/>
        </w:rPr>
        <w:t>postúpenia nie je</w:t>
      </w:r>
      <w:r w:rsidR="00FE1BBA" w:rsidRPr="00D06241">
        <w:rPr>
          <w:rFonts w:asciiTheme="majorHAnsi" w:hAnsiTheme="majorHAnsi"/>
          <w:lang w:val="sk-SK"/>
        </w:rPr>
        <w:t xml:space="preserve"> možné, aby DEUS zostal oprávneným zo sublicencie a zároveň </w:t>
      </w:r>
      <w:r w:rsidR="00371421" w:rsidRPr="00D06241">
        <w:rPr>
          <w:rFonts w:asciiTheme="majorHAnsi" w:hAnsiTheme="majorHAnsi"/>
          <w:lang w:val="sk-SK"/>
        </w:rPr>
        <w:t>postúpil</w:t>
      </w:r>
      <w:r w:rsidR="00FE1BBA" w:rsidRPr="00D06241">
        <w:rPr>
          <w:rFonts w:asciiTheme="majorHAnsi" w:hAnsiTheme="majorHAnsi"/>
          <w:lang w:val="sk-SK"/>
        </w:rPr>
        <w:t xml:space="preserve"> sublicenciu inej osobe. </w:t>
      </w:r>
      <w:r w:rsidR="00F17CFB" w:rsidRPr="00D06241">
        <w:rPr>
          <w:rFonts w:asciiTheme="majorHAnsi" w:hAnsiTheme="majorHAnsi"/>
          <w:lang w:val="sk-SK"/>
        </w:rPr>
        <w:t xml:space="preserve">Zo </w:t>
      </w:r>
      <w:proofErr w:type="spellStart"/>
      <w:r w:rsidR="00F17CFB" w:rsidRPr="00D06241">
        <w:rPr>
          <w:rFonts w:asciiTheme="majorHAnsi" w:hAnsiTheme="majorHAnsi"/>
          <w:lang w:val="sk-SK"/>
        </w:rPr>
        <w:t>sublicenčnej</w:t>
      </w:r>
      <w:proofErr w:type="spellEnd"/>
      <w:r w:rsidR="00F17CFB" w:rsidRPr="00D06241">
        <w:rPr>
          <w:rFonts w:asciiTheme="majorHAnsi" w:hAnsiTheme="majorHAnsi"/>
          <w:lang w:val="sk-SK"/>
        </w:rPr>
        <w:t xml:space="preserve"> zmluvy medzi DEUS a NASES nevyplýva, že by išlo o postúpenie sublicencie, naopak vyplýva z nej, že ide o udelenie sublicencie. V takom prípade však táto </w:t>
      </w:r>
      <w:proofErr w:type="spellStart"/>
      <w:r w:rsidR="00F17CFB" w:rsidRPr="00D06241">
        <w:rPr>
          <w:rFonts w:asciiTheme="majorHAnsi" w:hAnsiTheme="majorHAnsi"/>
          <w:lang w:val="sk-SK"/>
        </w:rPr>
        <w:t>sublicenčná</w:t>
      </w:r>
      <w:proofErr w:type="spellEnd"/>
      <w:r w:rsidR="00F17CFB" w:rsidRPr="00D06241">
        <w:rPr>
          <w:rFonts w:asciiTheme="majorHAnsi" w:hAnsiTheme="majorHAnsi"/>
          <w:lang w:val="sk-SK"/>
        </w:rPr>
        <w:t xml:space="preserve"> zmluva trpí vadou, spočívajúcou v nedostatku práv na strane DEUS, keďže DEUS nemá právo sublicenciu udeľovať. Ak by sme na </w:t>
      </w:r>
      <w:proofErr w:type="spellStart"/>
      <w:r w:rsidR="00F17CFB" w:rsidRPr="00D06241">
        <w:rPr>
          <w:rFonts w:asciiTheme="majorHAnsi" w:hAnsiTheme="majorHAnsi"/>
          <w:lang w:val="sk-SK"/>
        </w:rPr>
        <w:t>sublicenčnú</w:t>
      </w:r>
      <w:proofErr w:type="spellEnd"/>
      <w:r w:rsidR="00F17CFB" w:rsidRPr="00D06241">
        <w:rPr>
          <w:rFonts w:asciiTheme="majorHAnsi" w:hAnsiTheme="majorHAnsi"/>
          <w:lang w:val="sk-SK"/>
        </w:rPr>
        <w:t xml:space="preserve"> zmluvu chceli nahliadať </w:t>
      </w:r>
      <w:r w:rsidR="00A71656" w:rsidRPr="00D06241">
        <w:rPr>
          <w:rFonts w:asciiTheme="majorHAnsi" w:hAnsiTheme="majorHAnsi"/>
          <w:lang w:val="sk-SK"/>
        </w:rPr>
        <w:t xml:space="preserve">z hľadiska jej </w:t>
      </w:r>
      <w:proofErr w:type="spellStart"/>
      <w:r w:rsidR="00A71656" w:rsidRPr="00D06241">
        <w:rPr>
          <w:rFonts w:asciiTheme="majorHAnsi" w:hAnsiTheme="majorHAnsi"/>
          <w:lang w:val="sk-SK"/>
        </w:rPr>
        <w:t xml:space="preserve">obsahu </w:t>
      </w:r>
      <w:r w:rsidR="00F17CFB" w:rsidRPr="00D06241">
        <w:rPr>
          <w:rFonts w:asciiTheme="majorHAnsi" w:hAnsiTheme="majorHAnsi"/>
          <w:lang w:val="sk-SK"/>
        </w:rPr>
        <w:t>ak</w:t>
      </w:r>
      <w:proofErr w:type="spellEnd"/>
      <w:r w:rsidR="00F17CFB" w:rsidRPr="00D06241">
        <w:rPr>
          <w:rFonts w:asciiTheme="majorHAnsi" w:hAnsiTheme="majorHAnsi"/>
          <w:lang w:val="sk-SK"/>
        </w:rPr>
        <w:t xml:space="preserve">o na dohodu o postúpení, tak </w:t>
      </w:r>
      <w:r w:rsidR="00A71656" w:rsidRPr="00D06241">
        <w:rPr>
          <w:rFonts w:asciiTheme="majorHAnsi" w:hAnsiTheme="majorHAnsi"/>
          <w:lang w:val="sk-SK"/>
        </w:rPr>
        <w:t>niekoľko</w:t>
      </w:r>
      <w:r w:rsidR="00F17CFB" w:rsidRPr="00D06241">
        <w:rPr>
          <w:rFonts w:asciiTheme="majorHAnsi" w:hAnsiTheme="majorHAnsi"/>
          <w:lang w:val="sk-SK"/>
        </w:rPr>
        <w:t xml:space="preserve"> jej ustanovení bráni takémuto výkladu minimálne v tom, že upravuje spôsob použitia ANZU nad rámec úpravy v Dodatku a z celého vyznenia zmluvy je skôr zrejmé, že DEUS by si mal práva, vyplývajúce mu k ANZU zo sublicencie udelenej v Dodatku, ponechať „popri“ </w:t>
      </w:r>
      <w:proofErr w:type="spellStart"/>
      <w:r w:rsidR="00F17CFB" w:rsidRPr="00D06241">
        <w:rPr>
          <w:rFonts w:asciiTheme="majorHAnsi" w:hAnsiTheme="majorHAnsi"/>
          <w:lang w:val="sk-SK"/>
        </w:rPr>
        <w:t>NASESe</w:t>
      </w:r>
      <w:proofErr w:type="spellEnd"/>
      <w:r w:rsidR="00F17CFB" w:rsidRPr="00D06241">
        <w:rPr>
          <w:rFonts w:asciiTheme="majorHAnsi" w:hAnsiTheme="majorHAnsi"/>
          <w:lang w:val="sk-SK"/>
        </w:rPr>
        <w:t xml:space="preserve"> – čo je v priamom rozpore s obsahom postúpenia.</w:t>
      </w:r>
    </w:p>
    <w:p w14:paraId="69A85A0F" w14:textId="02360F93" w:rsidR="0000220D" w:rsidRPr="00D06241" w:rsidRDefault="00FE1BBA" w:rsidP="00F876A8">
      <w:pPr>
        <w:spacing w:after="60" w:line="276" w:lineRule="auto"/>
        <w:ind w:firstLine="709"/>
        <w:jc w:val="both"/>
        <w:rPr>
          <w:rFonts w:asciiTheme="majorHAnsi" w:hAnsiTheme="majorHAnsi"/>
          <w:lang w:val="sk-SK"/>
        </w:rPr>
      </w:pPr>
      <w:r w:rsidRPr="00D06241">
        <w:rPr>
          <w:rFonts w:asciiTheme="majorHAnsi" w:hAnsiTheme="majorHAnsi"/>
          <w:lang w:val="sk-SK"/>
        </w:rPr>
        <w:t xml:space="preserve">Na účely tohto dokumentu preto nemá význam na </w:t>
      </w:r>
      <w:proofErr w:type="spellStart"/>
      <w:r w:rsidRPr="00D06241">
        <w:rPr>
          <w:rFonts w:asciiTheme="majorHAnsi" w:hAnsiTheme="majorHAnsi"/>
          <w:lang w:val="sk-SK"/>
        </w:rPr>
        <w:t>sublicenčnú</w:t>
      </w:r>
      <w:proofErr w:type="spellEnd"/>
      <w:r w:rsidRPr="00D06241">
        <w:rPr>
          <w:rFonts w:asciiTheme="majorHAnsi" w:hAnsiTheme="majorHAnsi"/>
          <w:lang w:val="sk-SK"/>
        </w:rPr>
        <w:t xml:space="preserve"> zmluvu medzi DEUS a NASES prihliadať</w:t>
      </w:r>
      <w:r w:rsidR="00F17CFB" w:rsidRPr="00D06241">
        <w:rPr>
          <w:rFonts w:asciiTheme="majorHAnsi" w:hAnsiTheme="majorHAnsi"/>
          <w:lang w:val="sk-SK"/>
        </w:rPr>
        <w:t xml:space="preserve"> vzhľadom na vyššie uvedené pochybnosti o jej platnosti</w:t>
      </w:r>
      <w:r w:rsidRPr="00D06241">
        <w:rPr>
          <w:rFonts w:asciiTheme="majorHAnsi" w:hAnsiTheme="majorHAnsi"/>
          <w:lang w:val="sk-SK"/>
        </w:rPr>
        <w:t>.</w:t>
      </w:r>
    </w:p>
    <w:p w14:paraId="74E21A02" w14:textId="77777777" w:rsidR="000F6583" w:rsidRPr="00D06241" w:rsidRDefault="000F6583" w:rsidP="00A2330C">
      <w:pPr>
        <w:spacing w:after="60" w:line="276" w:lineRule="auto"/>
        <w:jc w:val="both"/>
        <w:rPr>
          <w:rFonts w:asciiTheme="majorHAnsi" w:hAnsiTheme="majorHAnsi"/>
          <w:lang w:val="sk-SK"/>
        </w:rPr>
      </w:pPr>
    </w:p>
    <w:p w14:paraId="5857B3BC" w14:textId="38255B1D" w:rsidR="00AB1329" w:rsidRPr="00D06241" w:rsidRDefault="00AB1329" w:rsidP="00A2330C">
      <w:pPr>
        <w:pStyle w:val="Heading2"/>
        <w:spacing w:after="60" w:line="276" w:lineRule="auto"/>
        <w:ind w:left="709" w:hanging="578"/>
        <w:rPr>
          <w:szCs w:val="24"/>
        </w:rPr>
      </w:pPr>
      <w:r w:rsidRPr="00D06241">
        <w:rPr>
          <w:szCs w:val="24"/>
        </w:rPr>
        <w:lastRenderedPageBreak/>
        <w:t>Kroky potrebné k realizácii Alternatívy 1</w:t>
      </w:r>
    </w:p>
    <w:p w14:paraId="35A974C6" w14:textId="77777777" w:rsidR="00AC70DA" w:rsidRPr="00D06241" w:rsidRDefault="00AC70DA" w:rsidP="00AC70DA">
      <w:pPr>
        <w:spacing w:after="60" w:line="276" w:lineRule="auto"/>
        <w:ind w:firstLine="709"/>
        <w:jc w:val="both"/>
        <w:rPr>
          <w:rFonts w:asciiTheme="majorHAnsi" w:hAnsiTheme="majorHAnsi"/>
          <w:lang w:val="sk-SK"/>
        </w:rPr>
      </w:pPr>
      <w:r w:rsidRPr="00D06241">
        <w:rPr>
          <w:rFonts w:asciiTheme="majorHAnsi" w:hAnsiTheme="majorHAnsi"/>
          <w:lang w:val="sk-SK"/>
        </w:rPr>
        <w:t>Vo vzťahu k spôsobu, akým bol Dodatok uzavretý, a teda riešenie v Projekte nadobudnuté, považujeme za nevyhnutné upozorniť na nasledovnú skutočnosť, ktorá má význam vo vzťahu k Alternatíve 1.</w:t>
      </w:r>
    </w:p>
    <w:p w14:paraId="6D6088FC" w14:textId="77777777" w:rsidR="001E3943" w:rsidRPr="00D06241" w:rsidRDefault="00AC70DA" w:rsidP="00AC70DA">
      <w:pPr>
        <w:spacing w:after="60" w:line="276" w:lineRule="auto"/>
        <w:ind w:firstLine="709"/>
        <w:jc w:val="both"/>
        <w:rPr>
          <w:rFonts w:asciiTheme="majorHAnsi" w:hAnsiTheme="majorHAnsi"/>
          <w:lang w:val="sk-SK"/>
        </w:rPr>
      </w:pPr>
      <w:r w:rsidRPr="00D06241">
        <w:rPr>
          <w:rFonts w:asciiTheme="majorHAnsi" w:hAnsiTheme="majorHAnsi"/>
          <w:lang w:val="sk-SK"/>
        </w:rPr>
        <w:t xml:space="preserve">Dodatok bol uzatvorený k existujúcej Zmluve na IS DCOM a bez verejného obstarávania, keďže sa na jeho uzavretie použili ustanovenia § 18 zákona č. 343/2015 Z.z. o verejnom obstarávaní a o zmene a doplnení niektorých zákonov v znení neskorších predpisov (ďalej len „ZVO“) o zmene zmluvy počas jej trvania. </w:t>
      </w:r>
    </w:p>
    <w:p w14:paraId="5D7F96C5" w14:textId="77777777" w:rsidR="001E3943" w:rsidRPr="00D06241" w:rsidRDefault="00AC70DA" w:rsidP="00AC70DA">
      <w:pPr>
        <w:spacing w:after="60" w:line="276" w:lineRule="auto"/>
        <w:ind w:firstLine="709"/>
        <w:jc w:val="both"/>
        <w:rPr>
          <w:rFonts w:asciiTheme="majorHAnsi" w:hAnsiTheme="majorHAnsi"/>
          <w:lang w:val="sk-SK"/>
        </w:rPr>
      </w:pPr>
      <w:r w:rsidRPr="00D06241">
        <w:rPr>
          <w:rFonts w:asciiTheme="majorHAnsi" w:hAnsiTheme="majorHAnsi"/>
          <w:lang w:val="sk-SK"/>
        </w:rPr>
        <w:t xml:space="preserve">Samotný tento postup pre potreby združenia DEUS nie je predmetom </w:t>
      </w:r>
      <w:r w:rsidR="001E3943" w:rsidRPr="00D06241">
        <w:rPr>
          <w:rFonts w:asciiTheme="majorHAnsi" w:hAnsiTheme="majorHAnsi"/>
          <w:lang w:val="sk-SK"/>
        </w:rPr>
        <w:t>posúdenia v tomto dokumente a nie je ani našim úmyslom ho spochybňovať.</w:t>
      </w:r>
      <w:r w:rsidRPr="00D06241">
        <w:rPr>
          <w:rFonts w:asciiTheme="majorHAnsi" w:hAnsiTheme="majorHAnsi"/>
          <w:lang w:val="sk-SK"/>
        </w:rPr>
        <w:t xml:space="preserve"> Je však potrebné si uvedomiť, že tento postup mohol DEUS využiť len vo vzťahu k predmetu Zmluvy na IS DCOM, ktorej sa Dodatok týkal. Inými slovami, </w:t>
      </w:r>
      <w:r w:rsidR="001E3943" w:rsidRPr="00D06241">
        <w:rPr>
          <w:rFonts w:asciiTheme="majorHAnsi" w:hAnsiTheme="majorHAnsi"/>
          <w:lang w:val="sk-SK"/>
        </w:rPr>
        <w:t xml:space="preserve">mohol </w:t>
      </w:r>
      <w:r w:rsidRPr="00D06241">
        <w:rPr>
          <w:rFonts w:asciiTheme="majorHAnsi" w:hAnsiTheme="majorHAnsi"/>
          <w:lang w:val="sk-SK"/>
        </w:rPr>
        <w:t xml:space="preserve">nadobudnúť Dodatkom plnenia len a práve pre potreby IS DCOM a v rozsahu Zmluvy o IS DCOM. Ak by napríklad NASES chcel nadobudnúť rovnaké plnenie, rovnaké riešenie v Projekte, nemohol by tento postup využiť, keďže zo Zmluvy o IS DCOM nie je oprávnený a nie je zmluvnou stranou. </w:t>
      </w:r>
    </w:p>
    <w:p w14:paraId="40F1AF77" w14:textId="7A686DD4" w:rsidR="00AC70DA" w:rsidRPr="00D06241" w:rsidRDefault="00AC70DA" w:rsidP="00AC70DA">
      <w:pPr>
        <w:spacing w:after="60" w:line="276" w:lineRule="auto"/>
        <w:ind w:firstLine="709"/>
        <w:jc w:val="both"/>
        <w:rPr>
          <w:rFonts w:asciiTheme="majorHAnsi" w:hAnsiTheme="majorHAnsi"/>
          <w:lang w:val="sk-SK"/>
        </w:rPr>
      </w:pPr>
      <w:r w:rsidRPr="00D06241">
        <w:rPr>
          <w:rFonts w:asciiTheme="majorHAnsi" w:hAnsiTheme="majorHAnsi"/>
          <w:lang w:val="sk-SK"/>
        </w:rPr>
        <w:t>V prípade, ak DEUS takto nadobudnuté plnenie „odovzdá“ na užívanie NASESu</w:t>
      </w:r>
      <w:r w:rsidR="001E3943" w:rsidRPr="00D06241">
        <w:rPr>
          <w:rFonts w:asciiTheme="majorHAnsi" w:hAnsiTheme="majorHAnsi"/>
          <w:lang w:val="sk-SK"/>
        </w:rPr>
        <w:t xml:space="preserve"> a nebude ho sám využívať</w:t>
      </w:r>
      <w:r w:rsidRPr="00D06241">
        <w:rPr>
          <w:rFonts w:asciiTheme="majorHAnsi" w:hAnsiTheme="majorHAnsi"/>
          <w:lang w:val="sk-SK"/>
        </w:rPr>
        <w:t>, z povahy veci tým NASES získa riešenie na účely, využiteľné nielen v pomeroch IS DCOM ale primárne v pomeroch ÚPVS. Inými slovami, získa plnenie, ktoré bude môcť využiť na iný účel, než predpokladala Zmluva o IS DCOM, Dodatkom ku ktorej bolo plnenie nadobudnuté. De facto tým vznikne na strane NASES nie zanedbateľné riziko obídenia pravidiel verejného obstarávania, keďže v každom inom prípade by takéto plnenie musel verejne obstarať (alebo nadobudnúť na základe zmluvného vzťahu, ktorého je stranou), čo v tomto prípade nebude musieť.</w:t>
      </w:r>
    </w:p>
    <w:p w14:paraId="3BFEB66E" w14:textId="34A4C2E5" w:rsidR="00AC70DA" w:rsidRPr="00D06241" w:rsidRDefault="00AC70DA" w:rsidP="00D02051">
      <w:pPr>
        <w:spacing w:after="60" w:line="276" w:lineRule="auto"/>
        <w:ind w:firstLine="709"/>
        <w:jc w:val="both"/>
        <w:rPr>
          <w:rFonts w:asciiTheme="majorHAnsi" w:hAnsiTheme="majorHAnsi"/>
          <w:lang w:val="sk-SK"/>
        </w:rPr>
      </w:pPr>
      <w:r w:rsidRPr="00D06241">
        <w:rPr>
          <w:rFonts w:asciiTheme="majorHAnsi" w:hAnsiTheme="majorHAnsi"/>
          <w:lang w:val="sk-SK"/>
        </w:rPr>
        <w:t>Nižšie uvedené kroky, ako aj všeobecne voľba tejto alternatívy je podľa nášho názoru primárne podmienená rozhodnutím o akceptovaní vyššie uvedeného rizika.</w:t>
      </w:r>
    </w:p>
    <w:p w14:paraId="7C9AD019" w14:textId="77777777" w:rsidR="00AC70DA" w:rsidRPr="00D06241" w:rsidRDefault="00AC70DA" w:rsidP="00D02051">
      <w:pPr>
        <w:spacing w:after="60" w:line="276" w:lineRule="auto"/>
        <w:ind w:firstLine="709"/>
        <w:jc w:val="both"/>
        <w:rPr>
          <w:rFonts w:asciiTheme="majorHAnsi" w:hAnsiTheme="majorHAnsi"/>
          <w:lang w:val="sk-SK"/>
        </w:rPr>
      </w:pPr>
    </w:p>
    <w:p w14:paraId="0C254280" w14:textId="3B5C7F5E" w:rsidR="00AB1329" w:rsidRPr="00D06241" w:rsidRDefault="00D02051" w:rsidP="00D02051">
      <w:pPr>
        <w:spacing w:after="60" w:line="276" w:lineRule="auto"/>
        <w:ind w:firstLine="709"/>
        <w:jc w:val="both"/>
        <w:rPr>
          <w:rFonts w:asciiTheme="majorHAnsi" w:hAnsiTheme="majorHAnsi"/>
          <w:lang w:val="sk-SK"/>
        </w:rPr>
      </w:pPr>
      <w:r w:rsidRPr="00D06241">
        <w:rPr>
          <w:rFonts w:asciiTheme="majorHAnsi" w:hAnsiTheme="majorHAnsi"/>
          <w:lang w:val="sk-SK"/>
        </w:rPr>
        <w:t>Dodatok upravuje v čl. XII dva spôsoby, akými môže riešenie v Projekte „prejsť na NASES“, pričom ak Alternatíva 1 znamená, že NASES „riešenie nasadí do svojej infraštruktúry a bude ho riadne prevádzkovať a poskytovať ako svoju natívnu službu“, potom zrejme neprichádza do úvahy postup, kde DEUS dodáva</w:t>
      </w:r>
      <w:r w:rsidR="00004E9D" w:rsidRPr="00D06241">
        <w:rPr>
          <w:rFonts w:asciiTheme="majorHAnsi" w:hAnsiTheme="majorHAnsi"/>
          <w:lang w:val="sk-SK"/>
        </w:rPr>
        <w:t>, resp.</w:t>
      </w:r>
      <w:r w:rsidRPr="00D06241">
        <w:rPr>
          <w:rFonts w:asciiTheme="majorHAnsi" w:hAnsiTheme="majorHAnsi"/>
          <w:lang w:val="sk-SK"/>
        </w:rPr>
        <w:t xml:space="preserve"> poskytuje plnenia NASESu a zostáva len možnosť podľa čl. XII bod 12.2. </w:t>
      </w:r>
      <w:proofErr w:type="spellStart"/>
      <w:r w:rsidRPr="00D06241">
        <w:rPr>
          <w:rFonts w:asciiTheme="majorHAnsi" w:hAnsiTheme="majorHAnsi"/>
          <w:lang w:val="sk-SK"/>
        </w:rPr>
        <w:t>sub</w:t>
      </w:r>
      <w:proofErr w:type="spellEnd"/>
      <w:r w:rsidRPr="00D06241">
        <w:rPr>
          <w:rFonts w:asciiTheme="majorHAnsi" w:hAnsiTheme="majorHAnsi"/>
          <w:lang w:val="sk-SK"/>
        </w:rPr>
        <w:t xml:space="preserve"> 12.2.2. – teda prevod práv a povinností podľa Dodatku z DEUS na NASES. </w:t>
      </w:r>
    </w:p>
    <w:p w14:paraId="35F5EA4B" w14:textId="4BFA336E" w:rsidR="00AE4C32" w:rsidRPr="00D06241" w:rsidRDefault="000B477C" w:rsidP="00D02051">
      <w:pPr>
        <w:spacing w:after="60" w:line="276" w:lineRule="auto"/>
        <w:ind w:firstLine="709"/>
        <w:jc w:val="both"/>
        <w:rPr>
          <w:rFonts w:asciiTheme="majorHAnsi" w:hAnsiTheme="majorHAnsi"/>
          <w:lang w:val="sk-SK"/>
        </w:rPr>
      </w:pPr>
      <w:r w:rsidRPr="00D06241">
        <w:rPr>
          <w:rFonts w:asciiTheme="majorHAnsi" w:hAnsiTheme="majorHAnsi"/>
          <w:lang w:val="sk-SK"/>
        </w:rPr>
        <w:t xml:space="preserve">Keďže tento variant predstavuje, ako sa v Dodatku uvádza, prevod „všetkých“ práv a povinností, NASES by musel vstúpiť do postavenia </w:t>
      </w:r>
      <w:proofErr w:type="spellStart"/>
      <w:r w:rsidRPr="00D06241">
        <w:rPr>
          <w:rFonts w:asciiTheme="majorHAnsi" w:hAnsiTheme="majorHAnsi"/>
          <w:lang w:val="sk-SK"/>
        </w:rPr>
        <w:t>DEUSu</w:t>
      </w:r>
      <w:proofErr w:type="spellEnd"/>
      <w:r w:rsidRPr="00D06241">
        <w:rPr>
          <w:rFonts w:asciiTheme="majorHAnsi" w:hAnsiTheme="majorHAnsi"/>
          <w:lang w:val="sk-SK"/>
        </w:rPr>
        <w:t xml:space="preserve"> v celom Dodatku</w:t>
      </w:r>
      <w:r w:rsidR="005C5230" w:rsidRPr="00D06241">
        <w:rPr>
          <w:rFonts w:asciiTheme="majorHAnsi" w:hAnsiTheme="majorHAnsi"/>
          <w:lang w:val="sk-SK"/>
        </w:rPr>
        <w:t xml:space="preserve"> – teda vrátane povinností úhrady za plnenia, poskytované Dodávateľom</w:t>
      </w:r>
      <w:r w:rsidRPr="00D06241">
        <w:rPr>
          <w:rFonts w:asciiTheme="majorHAnsi" w:hAnsiTheme="majorHAnsi"/>
          <w:lang w:val="sk-SK"/>
        </w:rPr>
        <w:t xml:space="preserve">. Otázkou </w:t>
      </w:r>
      <w:r w:rsidR="005C5230" w:rsidRPr="00D06241">
        <w:rPr>
          <w:rFonts w:asciiTheme="majorHAnsi" w:hAnsiTheme="majorHAnsi"/>
          <w:lang w:val="sk-SK"/>
        </w:rPr>
        <w:t>zostáva</w:t>
      </w:r>
      <w:r w:rsidRPr="00D06241">
        <w:rPr>
          <w:rFonts w:asciiTheme="majorHAnsi" w:hAnsiTheme="majorHAnsi"/>
          <w:lang w:val="sk-SK"/>
        </w:rPr>
        <w:t>, ako by sa uplatňovali ustanovenia Zmluvy o IS DCOM, ktoré sa dodatkom nemenili, pričom sa, samozrejme, na zmluvný vzťah založený Dodatkom vzťahujú</w:t>
      </w:r>
      <w:r w:rsidR="00AE4C32" w:rsidRPr="00D06241">
        <w:rPr>
          <w:rFonts w:asciiTheme="majorHAnsi" w:hAnsiTheme="majorHAnsi"/>
          <w:lang w:val="sk-SK"/>
        </w:rPr>
        <w:t xml:space="preserve"> – ide najmä o licenčné </w:t>
      </w:r>
      <w:proofErr w:type="spellStart"/>
      <w:r w:rsidR="00AE4C32" w:rsidRPr="00D06241">
        <w:rPr>
          <w:rFonts w:asciiTheme="majorHAnsi" w:hAnsiTheme="majorHAnsi"/>
          <w:lang w:val="sk-SK"/>
        </w:rPr>
        <w:t>ujednania</w:t>
      </w:r>
      <w:proofErr w:type="spellEnd"/>
      <w:r w:rsidR="00AE4C32" w:rsidRPr="00D06241">
        <w:rPr>
          <w:rFonts w:asciiTheme="majorHAnsi" w:hAnsiTheme="majorHAnsi"/>
          <w:lang w:val="sk-SK"/>
        </w:rPr>
        <w:t xml:space="preserve"> k zmenám v IS DCOM</w:t>
      </w:r>
      <w:r w:rsidRPr="00D06241">
        <w:rPr>
          <w:rFonts w:asciiTheme="majorHAnsi" w:hAnsiTheme="majorHAnsi"/>
          <w:lang w:val="sk-SK"/>
        </w:rPr>
        <w:t>.</w:t>
      </w:r>
      <w:r w:rsidR="005C5230" w:rsidRPr="00D06241">
        <w:rPr>
          <w:rFonts w:asciiTheme="majorHAnsi" w:hAnsiTheme="majorHAnsi"/>
          <w:lang w:val="sk-SK"/>
        </w:rPr>
        <w:t xml:space="preserve"> Súhlas na používanie riešenia (zmeny v IS DCOM) je síce DEUS oprávnený udeliť sublicenciou NASESu, otázkou však je, k čomu bude sublicenciou udeľovať DEUS práva. Ak totiž NASES vstúpi do práv a povinností </w:t>
      </w:r>
      <w:proofErr w:type="spellStart"/>
      <w:r w:rsidR="005C5230" w:rsidRPr="00D06241">
        <w:rPr>
          <w:rFonts w:asciiTheme="majorHAnsi" w:hAnsiTheme="majorHAnsi"/>
          <w:lang w:val="sk-SK"/>
        </w:rPr>
        <w:t>DEUSu</w:t>
      </w:r>
      <w:proofErr w:type="spellEnd"/>
      <w:r w:rsidR="005C5230" w:rsidRPr="00D06241">
        <w:rPr>
          <w:rFonts w:asciiTheme="majorHAnsi" w:hAnsiTheme="majorHAnsi"/>
          <w:lang w:val="sk-SK"/>
        </w:rPr>
        <w:t xml:space="preserve"> plnenie (zmeny v IS DCOM a integrácia na IS </w:t>
      </w:r>
      <w:r w:rsidR="005C5230" w:rsidRPr="00D06241">
        <w:rPr>
          <w:rFonts w:asciiTheme="majorHAnsi" w:hAnsiTheme="majorHAnsi"/>
          <w:lang w:val="sk-SK"/>
        </w:rPr>
        <w:lastRenderedPageBreak/>
        <w:t xml:space="preserve">NASESu) sa bude poskytovať priamo NASESu a nie </w:t>
      </w:r>
      <w:proofErr w:type="spellStart"/>
      <w:r w:rsidR="005C5230" w:rsidRPr="00D06241">
        <w:rPr>
          <w:rFonts w:asciiTheme="majorHAnsi" w:hAnsiTheme="majorHAnsi"/>
          <w:lang w:val="sk-SK"/>
        </w:rPr>
        <w:t>DEUSu</w:t>
      </w:r>
      <w:proofErr w:type="spellEnd"/>
      <w:r w:rsidR="00EE2414" w:rsidRPr="00D06241">
        <w:rPr>
          <w:rFonts w:asciiTheme="majorHAnsi" w:hAnsiTheme="majorHAnsi"/>
          <w:lang w:val="sk-SK"/>
        </w:rPr>
        <w:t xml:space="preserve"> a iný prípad udelenia sublicencie (mimo dodávania plnení NASESu, resp. mimo prevodu všetkých práv na NASES) Dodatok neupravuje</w:t>
      </w:r>
      <w:r w:rsidR="005C5230" w:rsidRPr="00D06241">
        <w:rPr>
          <w:rFonts w:asciiTheme="majorHAnsi" w:hAnsiTheme="majorHAnsi"/>
          <w:lang w:val="sk-SK"/>
        </w:rPr>
        <w:t>.</w:t>
      </w:r>
    </w:p>
    <w:p w14:paraId="2834EB2A" w14:textId="31C81E31" w:rsidR="000B477C" w:rsidRPr="00D06241" w:rsidRDefault="004B4674" w:rsidP="00D02051">
      <w:pPr>
        <w:spacing w:after="60" w:line="276" w:lineRule="auto"/>
        <w:ind w:firstLine="709"/>
        <w:jc w:val="both"/>
        <w:rPr>
          <w:rFonts w:asciiTheme="majorHAnsi" w:hAnsiTheme="majorHAnsi"/>
          <w:lang w:val="sk-SK"/>
        </w:rPr>
      </w:pPr>
      <w:r w:rsidRPr="00D06241">
        <w:rPr>
          <w:rFonts w:asciiTheme="majorHAnsi" w:hAnsiTheme="majorHAnsi"/>
          <w:lang w:val="sk-SK"/>
        </w:rPr>
        <w:t>Z</w:t>
      </w:r>
      <w:r w:rsidR="00AE4C32" w:rsidRPr="00D06241">
        <w:rPr>
          <w:rFonts w:asciiTheme="majorHAnsi" w:hAnsiTheme="majorHAnsi"/>
          <w:lang w:val="sk-SK"/>
        </w:rPr>
        <w:t xml:space="preserve">ostáva tiež otázkou, či predmet plnenia, ako je vymedzený, je možné po postúpení </w:t>
      </w:r>
      <w:r w:rsidR="00EE2414" w:rsidRPr="00D06241">
        <w:rPr>
          <w:rFonts w:asciiTheme="majorHAnsi" w:hAnsiTheme="majorHAnsi"/>
          <w:lang w:val="sk-SK"/>
        </w:rPr>
        <w:t xml:space="preserve">z vecného hľadiska riadne </w:t>
      </w:r>
      <w:r w:rsidR="00AE4C32" w:rsidRPr="00D06241">
        <w:rPr>
          <w:rFonts w:asciiTheme="majorHAnsi" w:hAnsiTheme="majorHAnsi"/>
          <w:lang w:val="sk-SK"/>
        </w:rPr>
        <w:t>poskytovať NASES</w:t>
      </w:r>
      <w:r w:rsidR="00DD4DB2" w:rsidRPr="00D06241">
        <w:rPr>
          <w:rFonts w:asciiTheme="majorHAnsi" w:hAnsiTheme="majorHAnsi"/>
          <w:lang w:val="sk-SK"/>
        </w:rPr>
        <w:t>u</w:t>
      </w:r>
      <w:r w:rsidR="00AE4C32" w:rsidRPr="00D06241">
        <w:rPr>
          <w:rFonts w:asciiTheme="majorHAnsi" w:hAnsiTheme="majorHAnsi"/>
          <w:lang w:val="sk-SK"/>
        </w:rPr>
        <w:t xml:space="preserve">. Predmetom plnenia </w:t>
      </w:r>
      <w:r w:rsidR="00221D11" w:rsidRPr="00D06241">
        <w:rPr>
          <w:rFonts w:asciiTheme="majorHAnsi" w:hAnsiTheme="majorHAnsi"/>
          <w:lang w:val="sk-SK"/>
        </w:rPr>
        <w:t>sú</w:t>
      </w:r>
      <w:r w:rsidR="00AE4C32" w:rsidRPr="00D06241">
        <w:rPr>
          <w:rFonts w:asciiTheme="majorHAnsi" w:hAnsiTheme="majorHAnsi"/>
          <w:lang w:val="sk-SK"/>
        </w:rPr>
        <w:t xml:space="preserve"> totiž (i) zmeny IS DCOM tak, aby bol IS DCOM schopný poskytovať autentifikačné a autorizačné služby a (ii) úprava systémov na strane NASES len v rozsahu implementácie zmien IS DCOM. Predmet zmluvy sa prevodom práv nezmení, čiže aj ak by bol oprávneným z Dodatku NASES, stále by bolo predmetom Dodatku dodanie zmien IS DCOM tak, aby práve IS DCOM mohol vykonávať autentifikáciu a autorizáciu. Je možné, že v technickej rovine sa situácia javí inak, ale z právneho hľadiska sa predmet plnenia javí naformulovaný tak, že je vylúčené, aby sa vykladal ako dodanie plnenia, ktor</w:t>
      </w:r>
      <w:r w:rsidR="00221D11" w:rsidRPr="00D06241">
        <w:rPr>
          <w:rFonts w:asciiTheme="majorHAnsi" w:hAnsiTheme="majorHAnsi"/>
          <w:lang w:val="sk-SK"/>
        </w:rPr>
        <w:t>é prevádzkuje</w:t>
      </w:r>
      <w:r w:rsidR="00AE4C32" w:rsidRPr="00D06241">
        <w:rPr>
          <w:rFonts w:asciiTheme="majorHAnsi" w:hAnsiTheme="majorHAnsi"/>
          <w:lang w:val="sk-SK"/>
        </w:rPr>
        <w:t xml:space="preserve"> NASES</w:t>
      </w:r>
      <w:r w:rsidR="00221D11" w:rsidRPr="00D06241">
        <w:rPr>
          <w:rFonts w:asciiTheme="majorHAnsi" w:hAnsiTheme="majorHAnsi"/>
          <w:lang w:val="sk-SK"/>
        </w:rPr>
        <w:t xml:space="preserve"> na svojej infraštruktúre</w:t>
      </w:r>
      <w:r w:rsidR="00AE4C32" w:rsidRPr="00D06241">
        <w:rPr>
          <w:rFonts w:asciiTheme="majorHAnsi" w:hAnsiTheme="majorHAnsi"/>
          <w:lang w:val="sk-SK"/>
        </w:rPr>
        <w:t xml:space="preserve"> a ktoré je možné používať „bez väzby“ na IS DCOM. Inými slovami, javí sa, že predmet plnenia </w:t>
      </w:r>
      <w:r w:rsidR="00BF5127" w:rsidRPr="00D06241">
        <w:rPr>
          <w:rFonts w:asciiTheme="majorHAnsi" w:hAnsiTheme="majorHAnsi"/>
          <w:lang w:val="sk-SK"/>
        </w:rPr>
        <w:t>Dodatku, ako je dnes nastavený,</w:t>
      </w:r>
      <w:r w:rsidR="00AE4C32" w:rsidRPr="00D06241">
        <w:rPr>
          <w:rFonts w:asciiTheme="majorHAnsi" w:hAnsiTheme="majorHAnsi"/>
          <w:lang w:val="sk-SK"/>
        </w:rPr>
        <w:t xml:space="preserve"> </w:t>
      </w:r>
      <w:r w:rsidR="00AE4C32" w:rsidRPr="00D06241">
        <w:rPr>
          <w:rFonts w:asciiTheme="majorHAnsi" w:hAnsiTheme="majorHAnsi"/>
          <w:i/>
          <w:iCs/>
          <w:lang w:val="sk-SK"/>
        </w:rPr>
        <w:t xml:space="preserve">de </w:t>
      </w:r>
      <w:proofErr w:type="spellStart"/>
      <w:r w:rsidR="00BF5127" w:rsidRPr="00D06241">
        <w:rPr>
          <w:rFonts w:asciiTheme="majorHAnsi" w:hAnsiTheme="majorHAnsi"/>
          <w:i/>
          <w:iCs/>
          <w:lang w:val="sk-SK"/>
        </w:rPr>
        <w:t>iure</w:t>
      </w:r>
      <w:proofErr w:type="spellEnd"/>
      <w:r w:rsidR="00AE4C32" w:rsidRPr="00D06241">
        <w:rPr>
          <w:rFonts w:asciiTheme="majorHAnsi" w:hAnsiTheme="majorHAnsi"/>
          <w:lang w:val="sk-SK"/>
        </w:rPr>
        <w:t xml:space="preserve"> vylučuje alternatívu 1</w:t>
      </w:r>
      <w:r w:rsidR="00E523F2" w:rsidRPr="00D06241">
        <w:rPr>
          <w:rFonts w:asciiTheme="majorHAnsi" w:hAnsiTheme="majorHAnsi"/>
          <w:lang w:val="sk-SK"/>
        </w:rPr>
        <w:t xml:space="preserve"> – každopádne v tomto prípade ide viac o technické a skutkové posúdenie, než posúdenie právne, preto na to len upozorňujeme.</w:t>
      </w:r>
    </w:p>
    <w:p w14:paraId="53457813" w14:textId="77777777" w:rsidR="00F001F9" w:rsidRPr="00D06241" w:rsidRDefault="00F001F9" w:rsidP="00D02051">
      <w:pPr>
        <w:spacing w:after="60" w:line="276" w:lineRule="auto"/>
        <w:ind w:firstLine="709"/>
        <w:jc w:val="both"/>
        <w:rPr>
          <w:rFonts w:asciiTheme="majorHAnsi" w:hAnsiTheme="majorHAnsi"/>
          <w:lang w:val="sk-SK"/>
        </w:rPr>
      </w:pPr>
    </w:p>
    <w:p w14:paraId="5DABE174" w14:textId="17651A40" w:rsidR="00E43497" w:rsidRPr="00D06241" w:rsidRDefault="002243DD" w:rsidP="00D02051">
      <w:pPr>
        <w:spacing w:after="60" w:line="276" w:lineRule="auto"/>
        <w:ind w:firstLine="709"/>
        <w:jc w:val="both"/>
        <w:rPr>
          <w:rFonts w:asciiTheme="majorHAnsi" w:hAnsiTheme="majorHAnsi"/>
          <w:lang w:val="sk-SK"/>
        </w:rPr>
      </w:pPr>
      <w:r w:rsidRPr="00D06241">
        <w:rPr>
          <w:rFonts w:asciiTheme="majorHAnsi" w:hAnsiTheme="majorHAnsi"/>
          <w:lang w:val="sk-SK"/>
        </w:rPr>
        <w:t>Ak by sa zvolil model „prevod všetkých práv a povinností z Dodatku“ na NASES</w:t>
      </w:r>
      <w:r w:rsidRPr="00D06241">
        <w:rPr>
          <w:rFonts w:asciiTheme="majorHAnsi" w:hAnsiTheme="majorHAnsi"/>
          <w:lang w:val="sk-SK"/>
        </w:rPr>
        <w:t>, tak z</w:t>
      </w:r>
      <w:r w:rsidR="005C5230" w:rsidRPr="00D06241">
        <w:rPr>
          <w:rFonts w:asciiTheme="majorHAnsi" w:hAnsiTheme="majorHAnsi"/>
          <w:lang w:val="sk-SK"/>
        </w:rPr>
        <w:t xml:space="preserve">astávame názor, že vyššie uvedené pochybnosti vo vzťahu k zmluvnému usporiadaniu </w:t>
      </w:r>
      <w:r w:rsidR="00B64BC0">
        <w:rPr>
          <w:rFonts w:asciiTheme="majorHAnsi" w:hAnsiTheme="majorHAnsi"/>
          <w:lang w:val="sk-SK"/>
        </w:rPr>
        <w:t xml:space="preserve">je vo veľkej miere </w:t>
      </w:r>
      <w:r w:rsidR="005C5230" w:rsidRPr="00D06241">
        <w:rPr>
          <w:rFonts w:asciiTheme="majorHAnsi" w:hAnsiTheme="majorHAnsi"/>
          <w:lang w:val="sk-SK"/>
        </w:rPr>
        <w:t xml:space="preserve">možné riešiť na zmluvnej báze. </w:t>
      </w:r>
      <w:r w:rsidRPr="00D06241">
        <w:rPr>
          <w:rFonts w:asciiTheme="majorHAnsi" w:hAnsiTheme="majorHAnsi"/>
          <w:lang w:val="sk-SK"/>
        </w:rPr>
        <w:t xml:space="preserve">Na tento účel </w:t>
      </w:r>
      <w:r w:rsidR="00E43497" w:rsidRPr="00D06241">
        <w:rPr>
          <w:rFonts w:asciiTheme="majorHAnsi" w:hAnsiTheme="majorHAnsi"/>
          <w:lang w:val="sk-SK"/>
        </w:rPr>
        <w:t xml:space="preserve">je možné </w:t>
      </w:r>
      <w:r w:rsidR="00A7703C" w:rsidRPr="00D06241">
        <w:rPr>
          <w:rFonts w:asciiTheme="majorHAnsi" w:hAnsiTheme="majorHAnsi"/>
          <w:lang w:val="sk-SK"/>
        </w:rPr>
        <w:t>konštatovať</w:t>
      </w:r>
      <w:r w:rsidR="000D25FD" w:rsidRPr="00D06241">
        <w:rPr>
          <w:rFonts w:asciiTheme="majorHAnsi" w:hAnsiTheme="majorHAnsi"/>
          <w:lang w:val="sk-SK"/>
        </w:rPr>
        <w:t xml:space="preserve"> najmä nasledovné:</w:t>
      </w:r>
    </w:p>
    <w:p w14:paraId="74DFA9DD" w14:textId="77777777" w:rsidR="00B64BC0" w:rsidRDefault="00D06241" w:rsidP="00E43497">
      <w:pPr>
        <w:pStyle w:val="ListParagraph"/>
        <w:numPr>
          <w:ilvl w:val="0"/>
          <w:numId w:val="5"/>
        </w:numPr>
        <w:spacing w:after="60"/>
        <w:ind w:left="709"/>
        <w:jc w:val="both"/>
        <w:rPr>
          <w:rFonts w:asciiTheme="majorHAnsi" w:hAnsiTheme="majorHAnsi"/>
          <w:sz w:val="24"/>
          <w:szCs w:val="24"/>
        </w:rPr>
      </w:pPr>
      <w:r w:rsidRPr="00D06241">
        <w:rPr>
          <w:rFonts w:asciiTheme="majorHAnsi" w:hAnsiTheme="majorHAnsi"/>
          <w:sz w:val="24"/>
          <w:szCs w:val="24"/>
        </w:rPr>
        <w:t>d</w:t>
      </w:r>
      <w:r w:rsidR="000D25FD" w:rsidRPr="00D06241">
        <w:rPr>
          <w:rFonts w:asciiTheme="majorHAnsi" w:hAnsiTheme="majorHAnsi"/>
          <w:sz w:val="24"/>
          <w:szCs w:val="24"/>
        </w:rPr>
        <w:t xml:space="preserve">ohoda o „prevode práv a povinností“ by </w:t>
      </w:r>
      <w:r w:rsidR="00B64BC0">
        <w:rPr>
          <w:rFonts w:asciiTheme="majorHAnsi" w:hAnsiTheme="majorHAnsi"/>
          <w:sz w:val="24"/>
          <w:szCs w:val="24"/>
        </w:rPr>
        <w:t>mohla byť</w:t>
      </w:r>
      <w:r w:rsidR="000D25FD" w:rsidRPr="00D06241">
        <w:rPr>
          <w:rFonts w:asciiTheme="majorHAnsi" w:hAnsiTheme="majorHAnsi"/>
          <w:sz w:val="24"/>
          <w:szCs w:val="24"/>
        </w:rPr>
        <w:t xml:space="preserve"> uzatvorená ako trojstranná dohoda, medzi DEUS, Dodávateľom a NASES, pričom </w:t>
      </w:r>
    </w:p>
    <w:p w14:paraId="430CF4CB" w14:textId="1C2225B1" w:rsidR="00E43497" w:rsidRPr="00D06241" w:rsidRDefault="000D25FD" w:rsidP="00B64BC0">
      <w:pPr>
        <w:pStyle w:val="ListParagraph"/>
        <w:numPr>
          <w:ilvl w:val="1"/>
          <w:numId w:val="5"/>
        </w:numPr>
        <w:spacing w:after="60"/>
        <w:ind w:left="1080"/>
        <w:jc w:val="both"/>
        <w:rPr>
          <w:rFonts w:asciiTheme="majorHAnsi" w:hAnsiTheme="majorHAnsi"/>
          <w:sz w:val="24"/>
          <w:szCs w:val="24"/>
        </w:rPr>
      </w:pPr>
      <w:r w:rsidRPr="00D06241">
        <w:rPr>
          <w:rFonts w:asciiTheme="majorHAnsi" w:hAnsiTheme="majorHAnsi"/>
          <w:sz w:val="24"/>
          <w:szCs w:val="24"/>
        </w:rPr>
        <w:t>z hľadiska Dodávateľa by išlo primárne o vyjadrenie súhlasu s obsahom dohody</w:t>
      </w:r>
      <w:r w:rsidR="004E20D9">
        <w:rPr>
          <w:rFonts w:asciiTheme="majorHAnsi" w:hAnsiTheme="majorHAnsi"/>
          <w:sz w:val="24"/>
          <w:szCs w:val="24"/>
        </w:rPr>
        <w:t>,</w:t>
      </w:r>
    </w:p>
    <w:p w14:paraId="108B9186" w14:textId="7D3B9278" w:rsidR="00A7703C" w:rsidRPr="00D06241" w:rsidRDefault="00D06241" w:rsidP="00A7703C">
      <w:pPr>
        <w:pStyle w:val="ListParagraph"/>
        <w:numPr>
          <w:ilvl w:val="1"/>
          <w:numId w:val="5"/>
        </w:numPr>
        <w:spacing w:after="60"/>
        <w:ind w:left="1080"/>
        <w:jc w:val="both"/>
        <w:rPr>
          <w:rFonts w:asciiTheme="majorHAnsi" w:hAnsiTheme="majorHAnsi"/>
          <w:sz w:val="24"/>
          <w:szCs w:val="24"/>
        </w:rPr>
      </w:pPr>
      <w:r w:rsidRPr="00D06241">
        <w:rPr>
          <w:rFonts w:asciiTheme="majorHAnsi" w:hAnsiTheme="majorHAnsi"/>
          <w:sz w:val="24"/>
          <w:szCs w:val="24"/>
        </w:rPr>
        <w:t>n</w:t>
      </w:r>
      <w:r w:rsidR="000D25FD" w:rsidRPr="00D06241">
        <w:rPr>
          <w:rFonts w:asciiTheme="majorHAnsi" w:hAnsiTheme="majorHAnsi"/>
          <w:sz w:val="24"/>
          <w:szCs w:val="24"/>
        </w:rPr>
        <w:t>a účely jednotlivých „práv a povinností“ bude potrebné dodržať zákonom ustanovené náležitosti spojené s postúpením pohľadávky, prevzatím dlhu, resp. ďalších „práv a povinností“, ako ich pri zmene v obsahu záväzkov, resp. v osobe veriteľa a dlžníka upravujú súkromnoprávne predpisy,</w:t>
      </w:r>
    </w:p>
    <w:p w14:paraId="70D82F45" w14:textId="04E48295" w:rsidR="00D06241" w:rsidRPr="00D06241" w:rsidRDefault="00D06241" w:rsidP="00D06241">
      <w:pPr>
        <w:pStyle w:val="ListParagraph"/>
        <w:numPr>
          <w:ilvl w:val="1"/>
          <w:numId w:val="5"/>
        </w:numPr>
        <w:spacing w:after="60"/>
        <w:ind w:left="1080"/>
        <w:jc w:val="both"/>
        <w:rPr>
          <w:rFonts w:asciiTheme="majorHAnsi" w:hAnsiTheme="majorHAnsi"/>
          <w:sz w:val="24"/>
          <w:szCs w:val="24"/>
        </w:rPr>
      </w:pPr>
      <w:r w:rsidRPr="00D06241">
        <w:rPr>
          <w:rFonts w:asciiTheme="majorHAnsi" w:hAnsiTheme="majorHAnsi"/>
          <w:sz w:val="24"/>
          <w:szCs w:val="24"/>
        </w:rPr>
        <w:t>n</w:t>
      </w:r>
      <w:r w:rsidR="00F927E8" w:rsidRPr="00D06241">
        <w:rPr>
          <w:rFonts w:asciiTheme="majorHAnsi" w:hAnsiTheme="majorHAnsi"/>
          <w:sz w:val="24"/>
          <w:szCs w:val="24"/>
        </w:rPr>
        <w:t xml:space="preserve">a odstránenie pochybností je možné odporučiť aj explicitné vyjadrenie skutočnosti, že s „prevodom práv a povinností“ z Dodatku </w:t>
      </w:r>
      <w:r w:rsidR="004E20D9">
        <w:rPr>
          <w:rFonts w:asciiTheme="majorHAnsi" w:hAnsiTheme="majorHAnsi"/>
          <w:sz w:val="24"/>
          <w:szCs w:val="24"/>
        </w:rPr>
        <w:t xml:space="preserve">sú </w:t>
      </w:r>
      <w:r w:rsidR="00F927E8" w:rsidRPr="00D06241">
        <w:rPr>
          <w:rFonts w:asciiTheme="majorHAnsi" w:hAnsiTheme="majorHAnsi"/>
          <w:sz w:val="24"/>
          <w:szCs w:val="24"/>
        </w:rPr>
        <w:t>zároveň v prislúchajúcej časti „prevádzané</w:t>
      </w:r>
      <w:r w:rsidR="004E20D9">
        <w:rPr>
          <w:rFonts w:asciiTheme="majorHAnsi" w:hAnsiTheme="majorHAnsi"/>
          <w:sz w:val="24"/>
          <w:szCs w:val="24"/>
        </w:rPr>
        <w:t>“</w:t>
      </w:r>
      <w:r w:rsidR="00F927E8" w:rsidRPr="00D06241">
        <w:rPr>
          <w:rFonts w:asciiTheme="majorHAnsi" w:hAnsiTheme="majorHAnsi"/>
          <w:sz w:val="24"/>
          <w:szCs w:val="24"/>
        </w:rPr>
        <w:t xml:space="preserve"> práva a povinnosti aj zo Zmluvy o IS DCOM, ktoré s tým súvisia,</w:t>
      </w:r>
    </w:p>
    <w:p w14:paraId="1510C826" w14:textId="28AC03B1" w:rsidR="00D06241" w:rsidRPr="00135B89" w:rsidRDefault="00D06241" w:rsidP="00EB2751">
      <w:pPr>
        <w:pStyle w:val="ListParagraph"/>
        <w:numPr>
          <w:ilvl w:val="1"/>
          <w:numId w:val="5"/>
        </w:numPr>
        <w:spacing w:after="60"/>
        <w:ind w:left="1080"/>
        <w:jc w:val="both"/>
        <w:rPr>
          <w:rFonts w:asciiTheme="majorHAnsi" w:hAnsiTheme="majorHAnsi"/>
          <w:sz w:val="24"/>
          <w:szCs w:val="24"/>
        </w:rPr>
      </w:pPr>
      <w:r w:rsidRPr="00135B89">
        <w:rPr>
          <w:rFonts w:asciiTheme="majorHAnsi" w:hAnsiTheme="majorHAnsi"/>
          <w:sz w:val="24"/>
          <w:szCs w:val="24"/>
        </w:rPr>
        <w:t>keďže súčasťou plnenia z Dodatku je riešenie, kedy autentifikačné a autorizačné služby poskytuje IS DCOM a implementačné práce smerom k systémom NASES</w:t>
      </w:r>
      <w:r w:rsidRPr="00135B89">
        <w:rPr>
          <w:rFonts w:asciiTheme="majorHAnsi" w:hAnsiTheme="majorHAnsi"/>
          <w:sz w:val="24"/>
          <w:szCs w:val="24"/>
        </w:rPr>
        <w:t>u</w:t>
      </w:r>
      <w:r w:rsidRPr="00135B89">
        <w:rPr>
          <w:rFonts w:asciiTheme="majorHAnsi" w:hAnsiTheme="majorHAnsi"/>
          <w:sz w:val="24"/>
          <w:szCs w:val="24"/>
        </w:rPr>
        <w:t xml:space="preserve"> sú viazané na implementáciu zmeny IS DCOM, je vhodné v</w:t>
      </w:r>
      <w:r w:rsidRPr="00135B89">
        <w:rPr>
          <w:rFonts w:asciiTheme="majorHAnsi" w:hAnsiTheme="majorHAnsi"/>
          <w:sz w:val="24"/>
          <w:szCs w:val="24"/>
        </w:rPr>
        <w:t xml:space="preserve"> dohode upraviť, že úmyslom </w:t>
      </w:r>
      <w:proofErr w:type="spellStart"/>
      <w:r w:rsidRPr="00135B89">
        <w:rPr>
          <w:rFonts w:asciiTheme="majorHAnsi" w:hAnsiTheme="majorHAnsi"/>
          <w:sz w:val="24"/>
          <w:szCs w:val="24"/>
        </w:rPr>
        <w:t>DEUSu</w:t>
      </w:r>
      <w:proofErr w:type="spellEnd"/>
      <w:r w:rsidRPr="00135B89">
        <w:rPr>
          <w:rFonts w:asciiTheme="majorHAnsi" w:hAnsiTheme="majorHAnsi"/>
          <w:sz w:val="24"/>
          <w:szCs w:val="24"/>
        </w:rPr>
        <w:t xml:space="preserve"> a</w:t>
      </w:r>
      <w:r w:rsidR="00135B89" w:rsidRPr="00135B89">
        <w:rPr>
          <w:rFonts w:asciiTheme="majorHAnsi" w:hAnsiTheme="majorHAnsi"/>
          <w:sz w:val="24"/>
          <w:szCs w:val="24"/>
        </w:rPr>
        <w:t> </w:t>
      </w:r>
      <w:r w:rsidRPr="00135B89">
        <w:rPr>
          <w:rFonts w:asciiTheme="majorHAnsi" w:hAnsiTheme="majorHAnsi"/>
          <w:sz w:val="24"/>
          <w:szCs w:val="24"/>
        </w:rPr>
        <w:t>Dodávateľa</w:t>
      </w:r>
      <w:r w:rsidR="00135B89" w:rsidRPr="00135B89">
        <w:rPr>
          <w:rFonts w:asciiTheme="majorHAnsi" w:hAnsiTheme="majorHAnsi"/>
          <w:sz w:val="24"/>
          <w:szCs w:val="24"/>
        </w:rPr>
        <w:t xml:space="preserve"> (ako to nepriamo vyplýva z čl. XII bod 12.2 </w:t>
      </w:r>
      <w:proofErr w:type="spellStart"/>
      <w:r w:rsidR="00135B89" w:rsidRPr="00135B89">
        <w:rPr>
          <w:rFonts w:asciiTheme="majorHAnsi" w:hAnsiTheme="majorHAnsi"/>
          <w:sz w:val="24"/>
          <w:szCs w:val="24"/>
        </w:rPr>
        <w:t>sub</w:t>
      </w:r>
      <w:proofErr w:type="spellEnd"/>
      <w:r w:rsidR="00135B89" w:rsidRPr="00135B89">
        <w:rPr>
          <w:rFonts w:asciiTheme="majorHAnsi" w:hAnsiTheme="majorHAnsi"/>
          <w:sz w:val="24"/>
          <w:szCs w:val="24"/>
        </w:rPr>
        <w:t xml:space="preserve"> 12.2.2</w:t>
      </w:r>
      <w:r w:rsidRPr="00135B89">
        <w:rPr>
          <w:rFonts w:asciiTheme="majorHAnsi" w:hAnsiTheme="majorHAnsi"/>
          <w:sz w:val="24"/>
          <w:szCs w:val="24"/>
        </w:rPr>
        <w:t xml:space="preserve"> </w:t>
      </w:r>
      <w:r w:rsidR="00135B89" w:rsidRPr="00135B89">
        <w:rPr>
          <w:rFonts w:asciiTheme="majorHAnsi" w:hAnsiTheme="majorHAnsi"/>
          <w:sz w:val="24"/>
          <w:szCs w:val="24"/>
        </w:rPr>
        <w:t xml:space="preserve">Dodatku) bolo pri prevode práv a povinností vnímať predmet plnenia vo vzťahu </w:t>
      </w:r>
      <w:r w:rsidR="00AD1FD0">
        <w:rPr>
          <w:rFonts w:asciiTheme="majorHAnsi" w:hAnsiTheme="majorHAnsi"/>
          <w:sz w:val="24"/>
          <w:szCs w:val="24"/>
        </w:rPr>
        <w:t>k</w:t>
      </w:r>
      <w:r w:rsidR="00135B89" w:rsidRPr="00135B89">
        <w:rPr>
          <w:rFonts w:asciiTheme="majorHAnsi" w:hAnsiTheme="majorHAnsi"/>
          <w:sz w:val="24"/>
          <w:szCs w:val="24"/>
        </w:rPr>
        <w:t xml:space="preserve"> NASES</w:t>
      </w:r>
      <w:r w:rsidR="00AD1FD0">
        <w:rPr>
          <w:rFonts w:asciiTheme="majorHAnsi" w:hAnsiTheme="majorHAnsi"/>
          <w:sz w:val="24"/>
          <w:szCs w:val="24"/>
        </w:rPr>
        <w:t>u</w:t>
      </w:r>
      <w:r w:rsidR="00135B89" w:rsidRPr="00135B89">
        <w:rPr>
          <w:rFonts w:asciiTheme="majorHAnsi" w:hAnsiTheme="majorHAnsi"/>
          <w:sz w:val="24"/>
          <w:szCs w:val="24"/>
        </w:rPr>
        <w:t xml:space="preserve"> a jeho systém</w:t>
      </w:r>
      <w:r w:rsidR="00AD1FD0">
        <w:rPr>
          <w:rFonts w:asciiTheme="majorHAnsi" w:hAnsiTheme="majorHAnsi"/>
          <w:sz w:val="24"/>
          <w:szCs w:val="24"/>
        </w:rPr>
        <w:t>om</w:t>
      </w:r>
      <w:r w:rsidR="00135B89" w:rsidRPr="00135B89">
        <w:rPr>
          <w:rFonts w:asciiTheme="majorHAnsi" w:hAnsiTheme="majorHAnsi"/>
          <w:sz w:val="24"/>
          <w:szCs w:val="24"/>
        </w:rPr>
        <w:t>,</w:t>
      </w:r>
      <w:r w:rsidR="00AD1FD0">
        <w:rPr>
          <w:rFonts w:asciiTheme="majorHAnsi" w:hAnsiTheme="majorHAnsi"/>
          <w:sz w:val="24"/>
          <w:szCs w:val="24"/>
        </w:rPr>
        <w:t xml:space="preserve"> teda vo vzťahu k</w:t>
      </w:r>
      <w:r w:rsidR="00135B89" w:rsidRPr="00135B89">
        <w:rPr>
          <w:rFonts w:asciiTheme="majorHAnsi" w:hAnsiTheme="majorHAnsi"/>
          <w:sz w:val="24"/>
          <w:szCs w:val="24"/>
        </w:rPr>
        <w:t xml:space="preserve"> nadobúdac</w:t>
      </w:r>
      <w:r w:rsidR="00AD1FD0">
        <w:rPr>
          <w:rFonts w:asciiTheme="majorHAnsi" w:hAnsiTheme="majorHAnsi"/>
          <w:sz w:val="24"/>
          <w:szCs w:val="24"/>
        </w:rPr>
        <w:t>iemu</w:t>
      </w:r>
      <w:r w:rsidR="00135B89" w:rsidRPr="00135B89">
        <w:rPr>
          <w:rFonts w:asciiTheme="majorHAnsi" w:hAnsiTheme="majorHAnsi"/>
          <w:sz w:val="24"/>
          <w:szCs w:val="24"/>
        </w:rPr>
        <w:t xml:space="preserve"> subjekt</w:t>
      </w:r>
      <w:r w:rsidR="00AD1FD0">
        <w:rPr>
          <w:rFonts w:asciiTheme="majorHAnsi" w:hAnsiTheme="majorHAnsi"/>
          <w:sz w:val="24"/>
          <w:szCs w:val="24"/>
        </w:rPr>
        <w:t>u</w:t>
      </w:r>
      <w:r w:rsidR="00135B89" w:rsidRPr="00135B89">
        <w:rPr>
          <w:rFonts w:asciiTheme="majorHAnsi" w:hAnsiTheme="majorHAnsi"/>
          <w:sz w:val="24"/>
          <w:szCs w:val="24"/>
        </w:rPr>
        <w:t xml:space="preserve"> a tak predmet plnenia aj dodať (resp. mať istotu, že zo strany Dodávateľa to takým spôsobom dodané bude),</w:t>
      </w:r>
    </w:p>
    <w:p w14:paraId="30B6A3D0" w14:textId="00FC9676" w:rsidR="00A7703C" w:rsidRPr="00D06241" w:rsidRDefault="00D06241" w:rsidP="00E43497">
      <w:pPr>
        <w:pStyle w:val="ListParagraph"/>
        <w:numPr>
          <w:ilvl w:val="0"/>
          <w:numId w:val="5"/>
        </w:numPr>
        <w:spacing w:after="60"/>
        <w:ind w:left="709"/>
        <w:jc w:val="both"/>
        <w:rPr>
          <w:rFonts w:asciiTheme="majorHAnsi" w:hAnsiTheme="majorHAnsi"/>
          <w:sz w:val="24"/>
          <w:szCs w:val="24"/>
        </w:rPr>
      </w:pPr>
      <w:r w:rsidRPr="00D06241">
        <w:rPr>
          <w:rFonts w:asciiTheme="majorHAnsi" w:hAnsiTheme="majorHAnsi"/>
          <w:sz w:val="24"/>
          <w:szCs w:val="24"/>
        </w:rPr>
        <w:lastRenderedPageBreak/>
        <w:t xml:space="preserve">NASES </w:t>
      </w:r>
      <w:r w:rsidR="00A7703C" w:rsidRPr="00D06241">
        <w:rPr>
          <w:rFonts w:asciiTheme="majorHAnsi" w:hAnsiTheme="majorHAnsi"/>
          <w:sz w:val="24"/>
          <w:szCs w:val="24"/>
        </w:rPr>
        <w:t>by sa stal oprávneným k</w:t>
      </w:r>
      <w:r w:rsidRPr="00D06241">
        <w:rPr>
          <w:rFonts w:asciiTheme="majorHAnsi" w:hAnsiTheme="majorHAnsi"/>
          <w:sz w:val="24"/>
          <w:szCs w:val="24"/>
        </w:rPr>
        <w:t xml:space="preserve"> používaniu </w:t>
      </w:r>
      <w:r w:rsidR="00A7703C" w:rsidRPr="00D06241">
        <w:rPr>
          <w:rFonts w:asciiTheme="majorHAnsi" w:hAnsiTheme="majorHAnsi"/>
          <w:sz w:val="24"/>
          <w:szCs w:val="24"/>
        </w:rPr>
        <w:t>ANZU na základe sublicencie podľa Dodatku a k zvyšnej časti diela na základe licencie podľa Dodatku, resp. Zmluvy o IS DCOM,</w:t>
      </w:r>
    </w:p>
    <w:p w14:paraId="28251A91" w14:textId="7FD9D4ED" w:rsidR="00F927E8" w:rsidRPr="00D06241" w:rsidRDefault="00D06241" w:rsidP="00E43497">
      <w:pPr>
        <w:pStyle w:val="ListParagraph"/>
        <w:numPr>
          <w:ilvl w:val="0"/>
          <w:numId w:val="5"/>
        </w:numPr>
        <w:spacing w:after="60"/>
        <w:ind w:left="709"/>
        <w:jc w:val="both"/>
        <w:rPr>
          <w:rFonts w:asciiTheme="majorHAnsi" w:hAnsiTheme="majorHAnsi"/>
          <w:sz w:val="24"/>
          <w:szCs w:val="24"/>
        </w:rPr>
      </w:pPr>
      <w:r w:rsidRPr="00D06241">
        <w:rPr>
          <w:rFonts w:asciiTheme="majorHAnsi" w:hAnsiTheme="majorHAnsi"/>
          <w:sz w:val="24"/>
          <w:szCs w:val="24"/>
        </w:rPr>
        <w:t>NASES by bol zároveň aj odberateľom služieb technickej a prevádzkovej podpory k riešeniu v Projekte,</w:t>
      </w:r>
    </w:p>
    <w:p w14:paraId="557257D2" w14:textId="46DBE201" w:rsidR="00D06241" w:rsidRPr="00D06241" w:rsidRDefault="00D06241" w:rsidP="00E43497">
      <w:pPr>
        <w:pStyle w:val="ListParagraph"/>
        <w:numPr>
          <w:ilvl w:val="0"/>
          <w:numId w:val="5"/>
        </w:numPr>
        <w:spacing w:after="60"/>
        <w:ind w:left="709"/>
        <w:jc w:val="both"/>
        <w:rPr>
          <w:rFonts w:asciiTheme="majorHAnsi" w:hAnsiTheme="majorHAnsi"/>
          <w:sz w:val="24"/>
          <w:szCs w:val="24"/>
        </w:rPr>
      </w:pPr>
      <w:r w:rsidRPr="00D06241">
        <w:rPr>
          <w:rFonts w:asciiTheme="majorHAnsi" w:hAnsiTheme="majorHAnsi"/>
          <w:sz w:val="24"/>
          <w:szCs w:val="24"/>
        </w:rPr>
        <w:t xml:space="preserve">NASES by bol vo vzťahu k úhradám plnení z Dodatku </w:t>
      </w:r>
      <w:r w:rsidR="00CD1CF7" w:rsidRPr="00D06241">
        <w:rPr>
          <w:rFonts w:asciiTheme="majorHAnsi" w:hAnsiTheme="majorHAnsi"/>
          <w:sz w:val="24"/>
          <w:szCs w:val="24"/>
        </w:rPr>
        <w:t xml:space="preserve">povinným </w:t>
      </w:r>
      <w:r w:rsidRPr="00D06241">
        <w:rPr>
          <w:rFonts w:asciiTheme="majorHAnsi" w:hAnsiTheme="majorHAnsi"/>
          <w:sz w:val="24"/>
          <w:szCs w:val="24"/>
        </w:rPr>
        <w:t>v prospech Dodávateľa,</w:t>
      </w:r>
    </w:p>
    <w:p w14:paraId="084F5B01" w14:textId="791313C7" w:rsidR="00D06241" w:rsidRDefault="00D06241" w:rsidP="00E43497">
      <w:pPr>
        <w:pStyle w:val="ListParagraph"/>
        <w:numPr>
          <w:ilvl w:val="0"/>
          <w:numId w:val="5"/>
        </w:numPr>
        <w:spacing w:after="60"/>
        <w:ind w:left="709"/>
        <w:jc w:val="both"/>
        <w:rPr>
          <w:rFonts w:asciiTheme="majorHAnsi" w:hAnsiTheme="majorHAnsi"/>
          <w:sz w:val="24"/>
          <w:szCs w:val="24"/>
        </w:rPr>
      </w:pPr>
      <w:r w:rsidRPr="00D06241">
        <w:rPr>
          <w:rFonts w:asciiTheme="majorHAnsi" w:hAnsiTheme="majorHAnsi"/>
          <w:sz w:val="24"/>
          <w:szCs w:val="24"/>
        </w:rPr>
        <w:t>DEUS by nemal žiadne práva k používaniu riešenia v Projekte,</w:t>
      </w:r>
    </w:p>
    <w:p w14:paraId="6BEAC4E2" w14:textId="36A5B3EA" w:rsidR="00D06241" w:rsidRPr="00D06241" w:rsidRDefault="00D06241" w:rsidP="00E43497">
      <w:pPr>
        <w:pStyle w:val="ListParagraph"/>
        <w:numPr>
          <w:ilvl w:val="0"/>
          <w:numId w:val="5"/>
        </w:numPr>
        <w:spacing w:after="60"/>
        <w:ind w:left="709"/>
        <w:jc w:val="both"/>
        <w:rPr>
          <w:rFonts w:asciiTheme="majorHAnsi" w:hAnsiTheme="majorHAnsi"/>
          <w:sz w:val="24"/>
          <w:szCs w:val="24"/>
        </w:rPr>
      </w:pPr>
      <w:r w:rsidRPr="00D06241">
        <w:rPr>
          <w:rFonts w:asciiTheme="majorHAnsi" w:hAnsiTheme="majorHAnsi"/>
          <w:sz w:val="24"/>
          <w:szCs w:val="24"/>
        </w:rPr>
        <w:t xml:space="preserve">z hľadiska prípadných úprav a zrejme aj služieb servisnej a prevádzkovej podpory budú možnosti NASESu vybrať iného dodávateľa, než je Dodávateľ </w:t>
      </w:r>
      <w:proofErr w:type="spellStart"/>
      <w:r w:rsidRPr="00D06241">
        <w:rPr>
          <w:rFonts w:asciiTheme="majorHAnsi" w:hAnsiTheme="majorHAnsi"/>
          <w:sz w:val="24"/>
          <w:szCs w:val="24"/>
        </w:rPr>
        <w:t>DEUSu</w:t>
      </w:r>
      <w:proofErr w:type="spellEnd"/>
      <w:r w:rsidRPr="00D06241">
        <w:rPr>
          <w:rFonts w:asciiTheme="majorHAnsi" w:hAnsiTheme="majorHAnsi"/>
          <w:sz w:val="24"/>
          <w:szCs w:val="24"/>
        </w:rPr>
        <w:t>, limitované z dôvodu existujúcich autorskoprávnych obmedzení</w:t>
      </w:r>
      <w:r>
        <w:rPr>
          <w:rFonts w:asciiTheme="majorHAnsi" w:hAnsiTheme="majorHAnsi"/>
          <w:sz w:val="24"/>
          <w:szCs w:val="24"/>
        </w:rPr>
        <w:t>,</w:t>
      </w:r>
    </w:p>
    <w:p w14:paraId="5CC5982C" w14:textId="308644FE" w:rsidR="00D06241" w:rsidRPr="00D06241" w:rsidRDefault="00D06241" w:rsidP="00E43497">
      <w:pPr>
        <w:pStyle w:val="ListParagraph"/>
        <w:numPr>
          <w:ilvl w:val="0"/>
          <w:numId w:val="5"/>
        </w:numPr>
        <w:spacing w:after="60"/>
        <w:ind w:left="709"/>
        <w:jc w:val="both"/>
        <w:rPr>
          <w:rFonts w:asciiTheme="majorHAnsi" w:hAnsiTheme="majorHAnsi"/>
          <w:sz w:val="24"/>
          <w:szCs w:val="24"/>
        </w:rPr>
      </w:pPr>
      <w:r w:rsidRPr="00D06241">
        <w:rPr>
          <w:rFonts w:asciiTheme="majorHAnsi" w:hAnsiTheme="majorHAnsi"/>
          <w:sz w:val="24"/>
          <w:szCs w:val="24"/>
        </w:rPr>
        <w:t>rizik</w:t>
      </w:r>
      <w:r w:rsidRPr="00D06241">
        <w:rPr>
          <w:rFonts w:asciiTheme="majorHAnsi" w:hAnsiTheme="majorHAnsi"/>
          <w:sz w:val="24"/>
          <w:szCs w:val="24"/>
        </w:rPr>
        <w:t>o</w:t>
      </w:r>
      <w:r w:rsidRPr="00D06241">
        <w:rPr>
          <w:rFonts w:asciiTheme="majorHAnsi" w:hAnsiTheme="majorHAnsi"/>
          <w:sz w:val="24"/>
          <w:szCs w:val="24"/>
        </w:rPr>
        <w:t xml:space="preserve"> spojené s možným obchádzaním ZVO</w:t>
      </w:r>
      <w:r w:rsidRPr="00D06241">
        <w:rPr>
          <w:rFonts w:asciiTheme="majorHAnsi" w:hAnsiTheme="majorHAnsi"/>
          <w:sz w:val="24"/>
          <w:szCs w:val="24"/>
        </w:rPr>
        <w:t xml:space="preserve"> pri voľbe tohto postupu nadobudnutia riešenia v Projekte by zostalo prítomné.</w:t>
      </w:r>
    </w:p>
    <w:p w14:paraId="204DB121" w14:textId="77777777" w:rsidR="002243DD" w:rsidRPr="00D06241" w:rsidRDefault="002243DD" w:rsidP="00D02051">
      <w:pPr>
        <w:spacing w:after="60" w:line="276" w:lineRule="auto"/>
        <w:ind w:firstLine="709"/>
        <w:jc w:val="both"/>
        <w:rPr>
          <w:rFonts w:asciiTheme="majorHAnsi" w:hAnsiTheme="majorHAnsi"/>
          <w:lang w:val="sk-SK"/>
        </w:rPr>
      </w:pPr>
    </w:p>
    <w:p w14:paraId="33261401" w14:textId="77777777" w:rsidR="00F537F0" w:rsidRDefault="00135B89" w:rsidP="00F537F0">
      <w:pPr>
        <w:spacing w:after="60" w:line="276" w:lineRule="auto"/>
        <w:ind w:firstLine="709"/>
        <w:jc w:val="both"/>
        <w:rPr>
          <w:rFonts w:asciiTheme="majorHAnsi" w:hAnsiTheme="majorHAnsi"/>
          <w:lang w:val="sk-SK"/>
        </w:rPr>
      </w:pPr>
      <w:r>
        <w:rPr>
          <w:rFonts w:asciiTheme="majorHAnsi" w:hAnsiTheme="majorHAnsi"/>
          <w:lang w:val="sk-SK"/>
        </w:rPr>
        <w:t xml:space="preserve">Zastávame názor, že na účely realizácie Alternatívy 1 </w:t>
      </w:r>
      <w:r w:rsidR="00F537F0">
        <w:rPr>
          <w:rFonts w:asciiTheme="majorHAnsi" w:hAnsiTheme="majorHAnsi"/>
          <w:lang w:val="sk-SK"/>
        </w:rPr>
        <w:t>a na minimalizáciu rizika spojeného s predpismi o verejnom obstarávaní je možné odporučiť aj variant, kedy plnenia z Dodatku „zostanú v </w:t>
      </w:r>
      <w:proofErr w:type="spellStart"/>
      <w:r w:rsidR="00F537F0">
        <w:rPr>
          <w:rFonts w:asciiTheme="majorHAnsi" w:hAnsiTheme="majorHAnsi"/>
          <w:lang w:val="sk-SK"/>
        </w:rPr>
        <w:t>DEUSe</w:t>
      </w:r>
      <w:proofErr w:type="spellEnd"/>
      <w:r w:rsidR="00F537F0">
        <w:rPr>
          <w:rFonts w:asciiTheme="majorHAnsi" w:hAnsiTheme="majorHAnsi"/>
          <w:lang w:val="sk-SK"/>
        </w:rPr>
        <w:t>“ a ten ich na svoje účely bude využívať, pričom využívanie pre potreby NASES nebude riešené „prevodom práv a povinností“ ale osobitnou dohodou, ktorá upraví najmä</w:t>
      </w:r>
      <w:r w:rsidR="004B4674" w:rsidRPr="00D06241">
        <w:rPr>
          <w:rFonts w:asciiTheme="majorHAnsi" w:hAnsiTheme="majorHAnsi"/>
          <w:lang w:val="sk-SK"/>
        </w:rPr>
        <w:t xml:space="preserve"> odovzdanie diela, udelenie práv na jeho používanie, záruky a následne aj súčinnosť pri riešení prevádzky a servisu, vrátane aktualizácií diela a odstraňovania incidentov.</w:t>
      </w:r>
      <w:r w:rsidR="00F537F0">
        <w:rPr>
          <w:rFonts w:asciiTheme="majorHAnsi" w:hAnsiTheme="majorHAnsi"/>
          <w:lang w:val="sk-SK"/>
        </w:rPr>
        <w:t xml:space="preserve"> Ako zákonný základ na tento postup je možné použiť napríklad povinnosti NASESu (ako orgánu riadenia) používať už existujúce informačné technológie podľa § 6 ods. 1 písm. c) zákona o ITVS. </w:t>
      </w:r>
    </w:p>
    <w:p w14:paraId="660606AD" w14:textId="0C6D1E02" w:rsidR="004B4674" w:rsidRPr="00D06241" w:rsidRDefault="00F537F0" w:rsidP="00D02051">
      <w:pPr>
        <w:spacing w:after="60" w:line="276" w:lineRule="auto"/>
        <w:ind w:firstLine="709"/>
        <w:jc w:val="both"/>
        <w:rPr>
          <w:rFonts w:asciiTheme="majorHAnsi" w:hAnsiTheme="majorHAnsi"/>
          <w:lang w:val="sk-SK"/>
        </w:rPr>
      </w:pPr>
      <w:r>
        <w:rPr>
          <w:rFonts w:asciiTheme="majorHAnsi" w:hAnsiTheme="majorHAnsi"/>
          <w:lang w:val="sk-SK"/>
        </w:rPr>
        <w:t>Z hľadiska účelu Dodatku, ktorý nesporne počítal s využitím riešenia v Projekte (aj) na strane NASESu, by sa vecne nemenilo nič, avšak DEUS by nebol v pozícii, kedy „nakupoval pre iný subjekt“ spôsobom, s ktorým ZVO nepočíta</w:t>
      </w:r>
      <w:r w:rsidR="00312845">
        <w:rPr>
          <w:rFonts w:asciiTheme="majorHAnsi" w:hAnsiTheme="majorHAnsi"/>
          <w:lang w:val="sk-SK"/>
        </w:rPr>
        <w:t xml:space="preserve">, čo považujeme za podstatnú výhodu. Toto riešenie samozrejme otvára otázku dodatočnej finančnej záťaže pre (zrejme) DEUS, ktorú bude potrebné riešiť. Z hľadiska výsledku však umožní nakladanie s riešením v Projekte spôsobom, ktorý bude výlučne v dispozícii NASES, na jeho infraštruktúre a jeho natívnou službou. V otázke </w:t>
      </w:r>
      <w:r w:rsidR="00312845" w:rsidRPr="00D06241">
        <w:rPr>
          <w:rFonts w:asciiTheme="majorHAnsi" w:hAnsiTheme="majorHAnsi"/>
          <w:lang w:val="sk-SK"/>
        </w:rPr>
        <w:t xml:space="preserve">prípadných úprav a zrejme aj služieb servisnej a prevádzkovej podpory budú možnosti NASESu vybrať iného dodávateľa, než je Dodávateľ </w:t>
      </w:r>
      <w:proofErr w:type="spellStart"/>
      <w:r w:rsidR="00312845" w:rsidRPr="00D06241">
        <w:rPr>
          <w:rFonts w:asciiTheme="majorHAnsi" w:hAnsiTheme="majorHAnsi"/>
          <w:lang w:val="sk-SK"/>
        </w:rPr>
        <w:t>DEUSu</w:t>
      </w:r>
      <w:proofErr w:type="spellEnd"/>
      <w:r w:rsidR="00312845" w:rsidRPr="00D06241">
        <w:rPr>
          <w:rFonts w:asciiTheme="majorHAnsi" w:hAnsiTheme="majorHAnsi"/>
          <w:lang w:val="sk-SK"/>
        </w:rPr>
        <w:t>, limitované z dôvodu existujúcich autorskoprávnych obmedzení</w:t>
      </w:r>
      <w:r w:rsidR="00312845">
        <w:rPr>
          <w:rFonts w:asciiTheme="majorHAnsi" w:hAnsiTheme="majorHAnsi"/>
          <w:lang w:val="sk-SK"/>
        </w:rPr>
        <w:t>.</w:t>
      </w:r>
    </w:p>
    <w:p w14:paraId="57C1EABD" w14:textId="77777777" w:rsidR="00D02051" w:rsidRPr="00D06241" w:rsidRDefault="00D02051" w:rsidP="00D02051">
      <w:pPr>
        <w:spacing w:after="60" w:line="276" w:lineRule="auto"/>
        <w:ind w:firstLine="709"/>
        <w:jc w:val="both"/>
        <w:rPr>
          <w:rFonts w:asciiTheme="majorHAnsi" w:hAnsiTheme="majorHAnsi"/>
          <w:lang w:val="sk-SK"/>
        </w:rPr>
      </w:pPr>
    </w:p>
    <w:p w14:paraId="3124D90F" w14:textId="58E3D9BF" w:rsidR="00A2330C" w:rsidRPr="00D06241" w:rsidRDefault="00AB1329" w:rsidP="00A2330C">
      <w:pPr>
        <w:pStyle w:val="Heading2"/>
        <w:spacing w:after="60" w:line="276" w:lineRule="auto"/>
        <w:ind w:left="709" w:hanging="578"/>
        <w:rPr>
          <w:szCs w:val="24"/>
        </w:rPr>
      </w:pPr>
      <w:r w:rsidRPr="00D06241">
        <w:rPr>
          <w:szCs w:val="24"/>
        </w:rPr>
        <w:t>Kroky potrebné k realizácii Alternatívy 2</w:t>
      </w:r>
    </w:p>
    <w:p w14:paraId="5DFDAFEA" w14:textId="106F0445" w:rsidR="00616B38" w:rsidRDefault="0095784F" w:rsidP="00D0736C">
      <w:pPr>
        <w:spacing w:after="60" w:line="276" w:lineRule="auto"/>
        <w:ind w:firstLine="709"/>
        <w:jc w:val="both"/>
        <w:rPr>
          <w:rFonts w:asciiTheme="majorHAnsi" w:hAnsiTheme="majorHAnsi" w:cs="Times New Roman"/>
          <w:lang w:val="sk-SK"/>
        </w:rPr>
      </w:pPr>
      <w:r w:rsidRPr="00D06241">
        <w:rPr>
          <w:rFonts w:asciiTheme="majorHAnsi" w:hAnsiTheme="majorHAnsi" w:cs="Times New Roman"/>
          <w:lang w:val="sk-SK"/>
        </w:rPr>
        <w:t>Na účel realizácie tejto alternatívy by bolo potrebné uzavrieť dohodu medzi NASES a DEUS v prvom rade o integrácii autentifikačnej časti riešenia na ÚPVS, podľa § 22 ods. 6 ZoEG (v znení novely)</w:t>
      </w:r>
      <w:r w:rsidR="00616B38">
        <w:rPr>
          <w:rFonts w:asciiTheme="majorHAnsi" w:hAnsiTheme="majorHAnsi" w:cs="Times New Roman"/>
          <w:lang w:val="sk-SK"/>
        </w:rPr>
        <w:t xml:space="preserve">. Právny titul na používanie autentifikačného riešenia, prevádzkovaného </w:t>
      </w:r>
      <w:proofErr w:type="spellStart"/>
      <w:r w:rsidR="00616B38">
        <w:rPr>
          <w:rFonts w:asciiTheme="majorHAnsi" w:hAnsiTheme="majorHAnsi" w:cs="Times New Roman"/>
          <w:lang w:val="sk-SK"/>
        </w:rPr>
        <w:t>DEUSom</w:t>
      </w:r>
      <w:proofErr w:type="spellEnd"/>
      <w:r w:rsidR="00616B38">
        <w:rPr>
          <w:rFonts w:asciiTheme="majorHAnsi" w:hAnsiTheme="majorHAnsi" w:cs="Times New Roman"/>
          <w:lang w:val="sk-SK"/>
        </w:rPr>
        <w:t xml:space="preserve">, aj v prostredí ÚPVS je citované ustanovenie ZoEG a na jeho základe </w:t>
      </w:r>
      <w:r w:rsidR="00D43EA0">
        <w:rPr>
          <w:rFonts w:asciiTheme="majorHAnsi" w:hAnsiTheme="majorHAnsi" w:cs="Times New Roman"/>
          <w:lang w:val="sk-SK"/>
        </w:rPr>
        <w:t>dohodnuté podmienky s</w:t>
      </w:r>
      <w:r w:rsidR="00616B38">
        <w:rPr>
          <w:rFonts w:asciiTheme="majorHAnsi" w:hAnsiTheme="majorHAnsi" w:cs="Times New Roman"/>
          <w:lang w:val="sk-SK"/>
        </w:rPr>
        <w:t xml:space="preserve"> </w:t>
      </w:r>
      <w:proofErr w:type="spellStart"/>
      <w:r w:rsidR="00616B38">
        <w:rPr>
          <w:rFonts w:asciiTheme="majorHAnsi" w:hAnsiTheme="majorHAnsi" w:cs="Times New Roman"/>
          <w:lang w:val="sk-SK"/>
        </w:rPr>
        <w:t>NASES</w:t>
      </w:r>
      <w:r w:rsidR="00D43EA0">
        <w:rPr>
          <w:rFonts w:asciiTheme="majorHAnsi" w:hAnsiTheme="majorHAnsi" w:cs="Times New Roman"/>
          <w:lang w:val="sk-SK"/>
        </w:rPr>
        <w:t>om</w:t>
      </w:r>
      <w:proofErr w:type="spellEnd"/>
      <w:r w:rsidR="00616B38">
        <w:rPr>
          <w:rFonts w:asciiTheme="majorHAnsi" w:hAnsiTheme="majorHAnsi" w:cs="Times New Roman"/>
          <w:lang w:val="sk-SK"/>
        </w:rPr>
        <w:t xml:space="preserve">. </w:t>
      </w:r>
      <w:r w:rsidR="00D43EA0">
        <w:rPr>
          <w:rFonts w:asciiTheme="majorHAnsi" w:hAnsiTheme="majorHAnsi" w:cs="Times New Roman"/>
          <w:lang w:val="sk-SK"/>
        </w:rPr>
        <w:t xml:space="preserve">Samotná dohoda by teda bola primárne </w:t>
      </w:r>
      <w:r w:rsidR="00616B38">
        <w:rPr>
          <w:rFonts w:asciiTheme="majorHAnsi" w:hAnsiTheme="majorHAnsi" w:cs="Times New Roman"/>
          <w:lang w:val="sk-SK"/>
        </w:rPr>
        <w:t>technickou dohodou o spôsobe a podmienkach integrácie, resp. iného spôsobu prepojenia informačných systémov, potrebného na realizáciu tejto služby v prostredí ÚPVS.</w:t>
      </w:r>
    </w:p>
    <w:p w14:paraId="0E037CE6" w14:textId="77777777" w:rsidR="00D43EA0" w:rsidRDefault="00D43EA0" w:rsidP="00D0736C">
      <w:pPr>
        <w:spacing w:after="60" w:line="276" w:lineRule="auto"/>
        <w:ind w:firstLine="709"/>
        <w:jc w:val="both"/>
        <w:rPr>
          <w:rFonts w:asciiTheme="majorHAnsi" w:hAnsiTheme="majorHAnsi" w:cs="Times New Roman"/>
          <w:lang w:val="sk-SK"/>
        </w:rPr>
      </w:pPr>
    </w:p>
    <w:p w14:paraId="6867697C" w14:textId="7A3B016A" w:rsidR="004F208B" w:rsidRPr="00D06241" w:rsidRDefault="00D43EA0" w:rsidP="00D0736C">
      <w:pPr>
        <w:spacing w:after="60" w:line="276" w:lineRule="auto"/>
        <w:ind w:firstLine="709"/>
        <w:jc w:val="both"/>
        <w:rPr>
          <w:rFonts w:asciiTheme="majorHAnsi" w:hAnsiTheme="majorHAnsi" w:cs="Times New Roman"/>
          <w:lang w:val="sk-SK"/>
        </w:rPr>
      </w:pPr>
      <w:r>
        <w:rPr>
          <w:rFonts w:asciiTheme="majorHAnsi" w:hAnsiTheme="majorHAnsi" w:cs="Times New Roman"/>
          <w:lang w:val="sk-SK"/>
        </w:rPr>
        <w:lastRenderedPageBreak/>
        <w:t xml:space="preserve">Pokiaľ ide o autorizačnú časť riešenia v Projekt, </w:t>
      </w:r>
      <w:r w:rsidR="007D0ABB">
        <w:rPr>
          <w:rFonts w:asciiTheme="majorHAnsi" w:hAnsiTheme="majorHAnsi" w:cs="Times New Roman"/>
          <w:lang w:val="sk-SK"/>
        </w:rPr>
        <w:t xml:space="preserve">závisí od toho, či sa zvolí riešenie „podpisu klikom“ alebo uznaný spôsob autorizácie, principiálne však nasadenie bude vyžadovať „len“ dohodu na technických podmienkach a spôsobe prepojenia systémov NASES a DEUS, keďže zákonná opora bude vychádzať z § 23 ods. 1 písm. a) </w:t>
      </w:r>
      <w:r w:rsidR="00B21BA4">
        <w:rPr>
          <w:rFonts w:asciiTheme="majorHAnsi" w:hAnsiTheme="majorHAnsi" w:cs="Times New Roman"/>
          <w:lang w:val="sk-SK"/>
        </w:rPr>
        <w:t>druhého</w:t>
      </w:r>
      <w:r w:rsidR="007D0ABB">
        <w:rPr>
          <w:rFonts w:asciiTheme="majorHAnsi" w:hAnsiTheme="majorHAnsi" w:cs="Times New Roman"/>
          <w:lang w:val="sk-SK"/>
        </w:rPr>
        <w:t xml:space="preserve"> bodu ZoEG, resp. z § 6 ods. 1 písm. c) zákona o ITVS.</w:t>
      </w:r>
    </w:p>
    <w:p w14:paraId="6CEAD396" w14:textId="77777777" w:rsidR="00D0736C" w:rsidRPr="00D06241" w:rsidRDefault="00D0736C" w:rsidP="006857DE">
      <w:pPr>
        <w:spacing w:after="60" w:line="276" w:lineRule="auto"/>
        <w:jc w:val="both"/>
        <w:rPr>
          <w:rFonts w:asciiTheme="majorHAnsi" w:hAnsiTheme="majorHAnsi"/>
          <w:lang w:val="sk-SK"/>
        </w:rPr>
      </w:pPr>
    </w:p>
    <w:p w14:paraId="373E9E59" w14:textId="77777777" w:rsidR="00A2330C" w:rsidRPr="00D06241" w:rsidRDefault="00A2330C" w:rsidP="00A2330C">
      <w:pPr>
        <w:pStyle w:val="Heading2"/>
        <w:spacing w:after="60" w:line="276" w:lineRule="auto"/>
        <w:ind w:left="709" w:hanging="578"/>
        <w:rPr>
          <w:szCs w:val="24"/>
        </w:rPr>
      </w:pPr>
      <w:r w:rsidRPr="00D06241">
        <w:rPr>
          <w:szCs w:val="24"/>
        </w:rPr>
        <w:t>Záver</w:t>
      </w:r>
    </w:p>
    <w:p w14:paraId="2AB5CC86" w14:textId="00D2DC54" w:rsidR="00A2330C" w:rsidRPr="00D06241" w:rsidRDefault="00692260" w:rsidP="00C24ACA">
      <w:pPr>
        <w:spacing w:after="60" w:line="276" w:lineRule="auto"/>
        <w:ind w:left="709"/>
        <w:jc w:val="both"/>
        <w:rPr>
          <w:rFonts w:asciiTheme="majorHAnsi" w:hAnsiTheme="majorHAnsi" w:cs="Times New Roman"/>
          <w:lang w:val="sk-SK"/>
        </w:rPr>
      </w:pPr>
      <w:r w:rsidRPr="00D06241">
        <w:rPr>
          <w:rFonts w:asciiTheme="majorHAnsi" w:hAnsiTheme="majorHAnsi" w:cs="Times New Roman"/>
          <w:lang w:val="sk-SK"/>
        </w:rPr>
        <w:t>Na základe vyššie uvedeného zastávame názor, že</w:t>
      </w:r>
    </w:p>
    <w:p w14:paraId="3C4117E5" w14:textId="1D4EBC95" w:rsidR="00692260" w:rsidRPr="00D06241" w:rsidRDefault="002768CB" w:rsidP="00D02051">
      <w:pPr>
        <w:pStyle w:val="ListParagraph"/>
        <w:numPr>
          <w:ilvl w:val="0"/>
          <w:numId w:val="13"/>
        </w:numPr>
        <w:spacing w:after="60"/>
        <w:ind w:left="720"/>
        <w:jc w:val="both"/>
        <w:rPr>
          <w:rFonts w:asciiTheme="majorHAnsi" w:hAnsiTheme="majorHAnsi" w:cs="Times New Roman"/>
          <w:sz w:val="24"/>
          <w:szCs w:val="24"/>
        </w:rPr>
      </w:pPr>
      <w:r w:rsidRPr="00D06241">
        <w:rPr>
          <w:rFonts w:asciiTheme="majorHAnsi" w:hAnsiTheme="majorHAnsi" w:cs="Times New Roman"/>
          <w:sz w:val="24"/>
          <w:szCs w:val="24"/>
        </w:rPr>
        <w:t xml:space="preserve">Nasadenie riešenia v Projekte do prevádzky do konca roku 2019 je z právneho hľadiska možné, keďže </w:t>
      </w:r>
      <w:r w:rsidR="00F6020C" w:rsidRPr="00D06241">
        <w:rPr>
          <w:rFonts w:asciiTheme="majorHAnsi" w:hAnsiTheme="majorHAnsi" w:cs="Times New Roman"/>
          <w:sz w:val="24"/>
          <w:szCs w:val="24"/>
        </w:rPr>
        <w:t>existuje</w:t>
      </w:r>
      <w:r w:rsidRPr="00D06241">
        <w:rPr>
          <w:rFonts w:asciiTheme="majorHAnsi" w:hAnsiTheme="majorHAnsi" w:cs="Times New Roman"/>
          <w:sz w:val="24"/>
          <w:szCs w:val="24"/>
        </w:rPr>
        <w:t xml:space="preserve"> zákonná opora</w:t>
      </w:r>
      <w:r w:rsidR="00F6020C" w:rsidRPr="00D06241">
        <w:rPr>
          <w:rFonts w:asciiTheme="majorHAnsi" w:hAnsiTheme="majorHAnsi" w:cs="Times New Roman"/>
          <w:sz w:val="24"/>
          <w:szCs w:val="24"/>
        </w:rPr>
        <w:t xml:space="preserve"> opora pre prevádzku riešenia v Projekte v oboch alternatívach</w:t>
      </w:r>
      <w:r w:rsidR="00692260" w:rsidRPr="00D06241">
        <w:rPr>
          <w:rFonts w:asciiTheme="majorHAnsi" w:hAnsiTheme="majorHAnsi" w:cs="Times New Roman"/>
          <w:sz w:val="24"/>
          <w:szCs w:val="24"/>
        </w:rPr>
        <w:t>,</w:t>
      </w:r>
    </w:p>
    <w:p w14:paraId="204868C3" w14:textId="00187F8F" w:rsidR="00D51242" w:rsidRPr="00D51242" w:rsidRDefault="002528F0" w:rsidP="00D51242">
      <w:pPr>
        <w:pStyle w:val="ListParagraph"/>
        <w:numPr>
          <w:ilvl w:val="0"/>
          <w:numId w:val="13"/>
        </w:numPr>
        <w:spacing w:after="60"/>
        <w:ind w:left="720"/>
        <w:jc w:val="both"/>
        <w:rPr>
          <w:rFonts w:asciiTheme="majorHAnsi" w:hAnsiTheme="majorHAnsi" w:cs="Times New Roman"/>
          <w:sz w:val="24"/>
          <w:szCs w:val="24"/>
        </w:rPr>
      </w:pPr>
      <w:r w:rsidRPr="00D06241">
        <w:rPr>
          <w:rFonts w:asciiTheme="majorHAnsi" w:hAnsiTheme="majorHAnsi" w:cs="Times New Roman"/>
          <w:sz w:val="24"/>
          <w:szCs w:val="24"/>
        </w:rPr>
        <w:t xml:space="preserve">Rovnako je z právneho hľadiska možné využitie riešenia, ktoré obstaral DEUS, a to či už v alternatíve 1 alebo v alternatíve 2, </w:t>
      </w:r>
      <w:r w:rsidR="00367E45" w:rsidRPr="00D06241">
        <w:rPr>
          <w:rFonts w:asciiTheme="majorHAnsi" w:hAnsiTheme="majorHAnsi" w:cs="Times New Roman"/>
          <w:sz w:val="24"/>
          <w:szCs w:val="24"/>
        </w:rPr>
        <w:t xml:space="preserve">pričom </w:t>
      </w:r>
      <w:r w:rsidR="00494A88" w:rsidRPr="00D06241">
        <w:rPr>
          <w:rFonts w:asciiTheme="majorHAnsi" w:hAnsiTheme="majorHAnsi" w:cs="Times New Roman"/>
          <w:sz w:val="24"/>
          <w:szCs w:val="24"/>
        </w:rPr>
        <w:t xml:space="preserve">však </w:t>
      </w:r>
      <w:r w:rsidR="00367E45" w:rsidRPr="00D06241">
        <w:rPr>
          <w:rFonts w:asciiTheme="majorHAnsi" w:hAnsiTheme="majorHAnsi" w:cs="Times New Roman"/>
          <w:sz w:val="24"/>
          <w:szCs w:val="24"/>
        </w:rPr>
        <w:t xml:space="preserve">v alternatíve 1 </w:t>
      </w:r>
      <w:r w:rsidR="00367E45" w:rsidRPr="00D51242">
        <w:rPr>
          <w:rFonts w:asciiTheme="majorHAnsi" w:hAnsiTheme="majorHAnsi" w:cs="Times New Roman"/>
          <w:sz w:val="24"/>
          <w:szCs w:val="24"/>
        </w:rPr>
        <w:t xml:space="preserve">je potrebné vnímať </w:t>
      </w:r>
      <w:r w:rsidR="00C15EAA" w:rsidRPr="00D51242">
        <w:rPr>
          <w:rFonts w:asciiTheme="majorHAnsi" w:hAnsiTheme="majorHAnsi" w:cs="Times New Roman"/>
          <w:sz w:val="24"/>
          <w:szCs w:val="24"/>
        </w:rPr>
        <w:t xml:space="preserve">najmä </w:t>
      </w:r>
      <w:r w:rsidR="00367E45" w:rsidRPr="00D51242">
        <w:rPr>
          <w:rFonts w:asciiTheme="majorHAnsi" w:hAnsiTheme="majorHAnsi" w:cs="Times New Roman"/>
          <w:sz w:val="24"/>
          <w:szCs w:val="24"/>
        </w:rPr>
        <w:t>riziko, spojené so spôsobom obstarania riešenia</w:t>
      </w:r>
      <w:r w:rsidR="00E77422" w:rsidRPr="00D51242">
        <w:rPr>
          <w:rFonts w:asciiTheme="majorHAnsi" w:hAnsiTheme="majorHAnsi" w:cs="Times New Roman"/>
          <w:sz w:val="24"/>
          <w:szCs w:val="24"/>
        </w:rPr>
        <w:t>, ako ho popisujeme vyššie</w:t>
      </w:r>
      <w:r w:rsidR="00D51242">
        <w:rPr>
          <w:rFonts w:asciiTheme="majorHAnsi" w:hAnsiTheme="majorHAnsi" w:cs="Times New Roman"/>
          <w:sz w:val="24"/>
          <w:szCs w:val="24"/>
        </w:rPr>
        <w:t>,</w:t>
      </w:r>
    </w:p>
    <w:p w14:paraId="15A468A8" w14:textId="4D6D32FE" w:rsidR="007C446B" w:rsidRPr="00D51242" w:rsidRDefault="00D02051" w:rsidP="005034B9">
      <w:pPr>
        <w:pStyle w:val="ListParagraph"/>
        <w:numPr>
          <w:ilvl w:val="0"/>
          <w:numId w:val="13"/>
        </w:numPr>
        <w:spacing w:after="60"/>
        <w:ind w:left="720"/>
        <w:jc w:val="both"/>
        <w:rPr>
          <w:rFonts w:asciiTheme="majorHAnsi" w:hAnsiTheme="majorHAnsi" w:cs="Times New Roman"/>
          <w:sz w:val="24"/>
          <w:szCs w:val="24"/>
        </w:rPr>
      </w:pPr>
      <w:r w:rsidRPr="00D51242">
        <w:rPr>
          <w:rFonts w:asciiTheme="majorHAnsi" w:hAnsiTheme="majorHAnsi" w:cs="Times New Roman"/>
          <w:sz w:val="24"/>
          <w:szCs w:val="24"/>
        </w:rPr>
        <w:t>Odhliadnuc od rizika vo vzťahu k predpisom o verejnom obstarávaní zastávame názor, že Alternatíva 1 je z hľadiska úpravy právnych, resp. zmluvných vzťahov náročnejšia, než Alternatíva 2</w:t>
      </w:r>
      <w:r w:rsidR="007C446B" w:rsidRPr="00D51242">
        <w:rPr>
          <w:rFonts w:asciiTheme="majorHAnsi" w:hAnsiTheme="majorHAnsi" w:cs="Times New Roman"/>
          <w:sz w:val="24"/>
          <w:szCs w:val="24"/>
        </w:rPr>
        <w:t>,</w:t>
      </w:r>
    </w:p>
    <w:p w14:paraId="590924E9" w14:textId="109E34CE" w:rsidR="00D04DEB" w:rsidRPr="00D06241" w:rsidRDefault="007C446B" w:rsidP="00692260">
      <w:pPr>
        <w:pStyle w:val="ListParagraph"/>
        <w:numPr>
          <w:ilvl w:val="0"/>
          <w:numId w:val="13"/>
        </w:numPr>
        <w:spacing w:after="60"/>
        <w:ind w:left="720"/>
        <w:jc w:val="both"/>
        <w:rPr>
          <w:rFonts w:asciiTheme="majorHAnsi" w:hAnsiTheme="majorHAnsi" w:cs="Times New Roman"/>
          <w:sz w:val="24"/>
          <w:szCs w:val="24"/>
        </w:rPr>
      </w:pPr>
      <w:r w:rsidRPr="00D06241">
        <w:rPr>
          <w:rFonts w:asciiTheme="majorHAnsi" w:hAnsiTheme="majorHAnsi" w:cs="Times New Roman"/>
          <w:sz w:val="24"/>
          <w:szCs w:val="24"/>
        </w:rPr>
        <w:t>Celkovo je možné konštatovať, že voľba Alternatívy 1 nie je komplikovanejšia, či problematická z hľadiska možnosti NASESu zabezpečovať realizáciu Projektu a prevádzkovať projektové riešenie, ale z hľadiska spôsobu, akým bolo riešenie právne nadobudnuté</w:t>
      </w:r>
      <w:r w:rsidR="00494A88" w:rsidRPr="00D06241">
        <w:rPr>
          <w:rFonts w:asciiTheme="majorHAnsi" w:hAnsiTheme="majorHAnsi" w:cs="Times New Roman"/>
          <w:sz w:val="24"/>
          <w:szCs w:val="24"/>
        </w:rPr>
        <w:t xml:space="preserve"> a s tým súvisiacej potreby úpravy zmluvných vzťahov</w:t>
      </w:r>
      <w:r w:rsidRPr="00D06241">
        <w:rPr>
          <w:rFonts w:asciiTheme="majorHAnsi" w:hAnsiTheme="majorHAnsi" w:cs="Times New Roman"/>
          <w:sz w:val="24"/>
          <w:szCs w:val="24"/>
        </w:rPr>
        <w:t>.</w:t>
      </w:r>
    </w:p>
    <w:p w14:paraId="4B88DE07" w14:textId="77777777" w:rsidR="00C24ACA" w:rsidRPr="00D06241" w:rsidRDefault="00C24ACA" w:rsidP="00C24ACA">
      <w:pPr>
        <w:spacing w:after="60" w:line="276" w:lineRule="auto"/>
        <w:ind w:left="709"/>
        <w:jc w:val="both"/>
        <w:rPr>
          <w:rFonts w:asciiTheme="majorHAnsi" w:hAnsiTheme="majorHAnsi"/>
          <w:lang w:val="sk-SK"/>
        </w:rPr>
      </w:pPr>
    </w:p>
    <w:p w14:paraId="559E3F52" w14:textId="77777777" w:rsidR="00717854" w:rsidRPr="00D06241" w:rsidRDefault="00717854" w:rsidP="00A2330C">
      <w:pPr>
        <w:spacing w:after="60" w:line="276" w:lineRule="auto"/>
        <w:ind w:left="360"/>
        <w:jc w:val="both"/>
        <w:rPr>
          <w:rFonts w:asciiTheme="majorHAnsi" w:hAnsiTheme="majorHAnsi"/>
          <w:lang w:val="sk-SK"/>
        </w:rPr>
      </w:pPr>
    </w:p>
    <w:p w14:paraId="0E33246F" w14:textId="7D463155" w:rsidR="00A2330C" w:rsidRDefault="00A2330C" w:rsidP="00A2330C">
      <w:pPr>
        <w:spacing w:after="60" w:line="276" w:lineRule="auto"/>
        <w:ind w:left="360"/>
        <w:jc w:val="both"/>
        <w:rPr>
          <w:rFonts w:asciiTheme="majorHAnsi" w:hAnsiTheme="majorHAnsi"/>
          <w:lang w:val="sk-SK"/>
        </w:rPr>
      </w:pPr>
    </w:p>
    <w:p w14:paraId="08DF7987" w14:textId="77777777" w:rsidR="00A432AE" w:rsidRPr="00D06241" w:rsidRDefault="00A432AE" w:rsidP="00A2330C">
      <w:pPr>
        <w:spacing w:after="60" w:line="276" w:lineRule="auto"/>
        <w:ind w:left="360"/>
        <w:jc w:val="both"/>
        <w:rPr>
          <w:rFonts w:asciiTheme="majorHAnsi" w:hAnsiTheme="majorHAnsi"/>
          <w:lang w:val="sk-SK"/>
        </w:rPr>
      </w:pPr>
      <w:bookmarkStart w:id="0" w:name="_GoBack"/>
      <w:bookmarkEnd w:id="0"/>
    </w:p>
    <w:p w14:paraId="5B0977BC" w14:textId="77777777" w:rsidR="00A2330C" w:rsidRPr="00D06241" w:rsidRDefault="00A2330C" w:rsidP="00A2330C">
      <w:pPr>
        <w:spacing w:after="60" w:line="276" w:lineRule="auto"/>
        <w:ind w:left="709"/>
        <w:jc w:val="both"/>
        <w:rPr>
          <w:rFonts w:asciiTheme="majorHAnsi" w:hAnsiTheme="majorHAnsi"/>
          <w:lang w:val="sk-SK"/>
        </w:rPr>
      </w:pPr>
      <w:r w:rsidRPr="00D06241">
        <w:rPr>
          <w:rFonts w:asciiTheme="majorHAnsi" w:hAnsiTheme="majorHAnsi"/>
          <w:lang w:val="sk-SK"/>
        </w:rPr>
        <w:t>Marek Kalavský</w:t>
      </w:r>
    </w:p>
    <w:p w14:paraId="15435718" w14:textId="77777777" w:rsidR="00A2330C" w:rsidRPr="00D06241" w:rsidRDefault="00A2330C" w:rsidP="00A2330C">
      <w:pPr>
        <w:spacing w:after="60" w:line="276" w:lineRule="auto"/>
        <w:ind w:left="709"/>
        <w:jc w:val="both"/>
        <w:rPr>
          <w:rFonts w:asciiTheme="majorHAnsi" w:hAnsiTheme="majorHAnsi"/>
          <w:lang w:val="sk-SK"/>
        </w:rPr>
      </w:pPr>
      <w:r w:rsidRPr="00D06241">
        <w:rPr>
          <w:rFonts w:asciiTheme="majorHAnsi" w:hAnsiTheme="majorHAnsi"/>
          <w:lang w:val="sk-SK"/>
        </w:rPr>
        <w:t>advokát a konateľ</w:t>
      </w:r>
    </w:p>
    <w:p w14:paraId="480C5FA4" w14:textId="1F2E7D93" w:rsidR="00206308" w:rsidRPr="00D06241" w:rsidRDefault="00A2330C" w:rsidP="00F6020C">
      <w:pPr>
        <w:spacing w:after="60" w:line="276" w:lineRule="auto"/>
        <w:rPr>
          <w:rFonts w:asciiTheme="majorHAnsi" w:hAnsiTheme="majorHAnsi" w:cstheme="majorHAnsi"/>
        </w:rPr>
      </w:pPr>
      <w:r w:rsidRPr="00D06241">
        <w:rPr>
          <w:rFonts w:asciiTheme="majorHAnsi" w:hAnsiTheme="majorHAnsi"/>
          <w:lang w:val="sk-SK"/>
        </w:rPr>
        <w:tab/>
        <w:t>De minimis, spol. s r. o.</w:t>
      </w:r>
    </w:p>
    <w:sectPr w:rsidR="00206308" w:rsidRPr="00D06241" w:rsidSect="00AC126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C74C6" w14:textId="77777777" w:rsidR="001C0BE5" w:rsidRDefault="001C0BE5" w:rsidP="003D7E1C">
      <w:r>
        <w:separator/>
      </w:r>
    </w:p>
  </w:endnote>
  <w:endnote w:type="continuationSeparator" w:id="0">
    <w:p w14:paraId="21448145" w14:textId="77777777" w:rsidR="001C0BE5" w:rsidRDefault="001C0BE5" w:rsidP="003D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54BAE" w14:textId="77777777" w:rsidR="001C0BE5" w:rsidRDefault="001C0BE5" w:rsidP="003D7E1C">
      <w:r>
        <w:separator/>
      </w:r>
    </w:p>
  </w:footnote>
  <w:footnote w:type="continuationSeparator" w:id="0">
    <w:p w14:paraId="67C429FB" w14:textId="77777777" w:rsidR="001C0BE5" w:rsidRDefault="001C0BE5" w:rsidP="003D7E1C">
      <w:r>
        <w:continuationSeparator/>
      </w:r>
    </w:p>
  </w:footnote>
  <w:footnote w:id="1">
    <w:p w14:paraId="5215BC2A" w14:textId="4226B676" w:rsidR="00D02051" w:rsidRPr="003D51AD" w:rsidRDefault="00D02051" w:rsidP="003D51AD">
      <w:pPr>
        <w:pStyle w:val="NormalWeb"/>
        <w:rPr>
          <w:rFonts w:asciiTheme="minorHAnsi" w:hAnsiTheme="minorHAnsi"/>
          <w:sz w:val="16"/>
          <w:szCs w:val="16"/>
          <w:lang w:val="sk-SK"/>
        </w:rPr>
      </w:pPr>
      <w:r w:rsidRPr="003D51AD">
        <w:rPr>
          <w:rStyle w:val="FootnoteReference"/>
          <w:rFonts w:asciiTheme="minorHAnsi" w:hAnsiTheme="minorHAnsi"/>
          <w:sz w:val="16"/>
          <w:szCs w:val="16"/>
          <w:lang w:val="sk-SK"/>
        </w:rPr>
        <w:footnoteRef/>
      </w:r>
      <w:r w:rsidRPr="003D51AD">
        <w:rPr>
          <w:rFonts w:asciiTheme="minorHAnsi" w:hAnsiTheme="minorHAnsi"/>
          <w:sz w:val="16"/>
          <w:szCs w:val="16"/>
          <w:lang w:val="sk-SK"/>
        </w:rPr>
        <w:t xml:space="preserve"> </w:t>
      </w:r>
      <w:r>
        <w:rPr>
          <w:rFonts w:asciiTheme="minorHAnsi" w:hAnsiTheme="minorHAnsi"/>
          <w:sz w:val="16"/>
          <w:szCs w:val="16"/>
          <w:lang w:val="sk-SK"/>
        </w:rPr>
        <w:t>„</w:t>
      </w:r>
      <w:r w:rsidRPr="003D51AD">
        <w:rPr>
          <w:rFonts w:asciiTheme="minorHAnsi" w:hAnsiTheme="minorHAnsi" w:cs="Calibri Light"/>
          <w:sz w:val="16"/>
          <w:szCs w:val="16"/>
          <w:lang w:val="sk-SK"/>
        </w:rPr>
        <w:t xml:space="preserve">Stanovisko NASES k návrhom odbornej verejnosti k téme mobilnej autentifikácie a autorizácie”. </w:t>
      </w:r>
      <w:r w:rsidRPr="003D51AD">
        <w:rPr>
          <w:rFonts w:asciiTheme="minorHAnsi" w:hAnsiTheme="minorHAnsi"/>
          <w:sz w:val="16"/>
          <w:szCs w:val="16"/>
          <w:lang w:val="sk-SK"/>
        </w:rPr>
        <w:t xml:space="preserve">Dostupné na </w:t>
      </w:r>
      <w:hyperlink r:id="rId1" w:history="1">
        <w:r w:rsidRPr="003D51AD">
          <w:rPr>
            <w:rStyle w:val="Hyperlink"/>
            <w:rFonts w:asciiTheme="minorHAnsi" w:hAnsiTheme="minorHAnsi"/>
            <w:color w:val="auto"/>
            <w:sz w:val="16"/>
            <w:szCs w:val="16"/>
            <w:lang w:val="sk-SK"/>
          </w:rPr>
          <w:t>https://bit.ly/2vJBNV4</w:t>
        </w:r>
      </w:hyperlink>
      <w:r w:rsidRPr="003D51AD">
        <w:rPr>
          <w:rFonts w:asciiTheme="minorHAnsi" w:hAnsiTheme="minorHAnsi"/>
          <w:sz w:val="16"/>
          <w:szCs w:val="16"/>
          <w:lang w:val="sk-S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532"/>
    <w:multiLevelType w:val="hybridMultilevel"/>
    <w:tmpl w:val="88B05EBA"/>
    <w:lvl w:ilvl="0" w:tplc="CD1A134C">
      <w:start w:val="2"/>
      <w:numFmt w:val="bullet"/>
      <w:lvlText w:val="-"/>
      <w:lvlJc w:val="left"/>
      <w:pPr>
        <w:ind w:left="1069" w:hanging="360"/>
      </w:pPr>
      <w:rPr>
        <w:rFonts w:ascii="Calibri Light" w:eastAsiaTheme="minorHAnsi"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54D0549"/>
    <w:multiLevelType w:val="hybridMultilevel"/>
    <w:tmpl w:val="854EA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506F2"/>
    <w:multiLevelType w:val="hybridMultilevel"/>
    <w:tmpl w:val="783E5C1C"/>
    <w:lvl w:ilvl="0" w:tplc="5D3E867A">
      <w:start w:val="2"/>
      <w:numFmt w:val="bullet"/>
      <w:lvlText w:val="-"/>
      <w:lvlJc w:val="left"/>
      <w:pPr>
        <w:ind w:left="1068" w:hanging="360"/>
      </w:pPr>
      <w:rPr>
        <w:rFonts w:ascii="Calibri Light" w:eastAsiaTheme="minorHAnsi" w:hAnsi="Calibri Light" w:cs="Calibri Light"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C651E9B"/>
    <w:multiLevelType w:val="hybridMultilevel"/>
    <w:tmpl w:val="4D9A800A"/>
    <w:lvl w:ilvl="0" w:tplc="96F23616">
      <w:start w:val="1"/>
      <w:numFmt w:val="upperRoman"/>
      <w:pStyle w:val="Heading2"/>
      <w:lvlText w:val="%1."/>
      <w:lvlJc w:val="right"/>
      <w:pPr>
        <w:ind w:left="720" w:hanging="360"/>
      </w:pPr>
    </w:lvl>
    <w:lvl w:ilvl="1" w:tplc="A6E87FBC">
      <w:start w:val="1"/>
      <w:numFmt w:val="lowerRoman"/>
      <w:lvlText w:val="(%2)"/>
      <w:lvlJc w:val="left"/>
      <w:pPr>
        <w:ind w:left="2080" w:hanging="10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75FC1"/>
    <w:multiLevelType w:val="hybridMultilevel"/>
    <w:tmpl w:val="309E87B2"/>
    <w:lvl w:ilvl="0" w:tplc="B8BA2FF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15:restartNumberingAfterBreak="0">
    <w:nsid w:val="26BF142D"/>
    <w:multiLevelType w:val="hybridMultilevel"/>
    <w:tmpl w:val="760636DA"/>
    <w:lvl w:ilvl="0" w:tplc="04090001">
      <w:start w:val="1"/>
      <w:numFmt w:val="bullet"/>
      <w:lvlText w:val=""/>
      <w:lvlJc w:val="left"/>
      <w:pPr>
        <w:ind w:left="2200" w:hanging="360"/>
      </w:pPr>
      <w:rPr>
        <w:rFonts w:ascii="Symbol" w:hAnsi="Symbol" w:hint="default"/>
      </w:rPr>
    </w:lvl>
    <w:lvl w:ilvl="1" w:tplc="04090003">
      <w:start w:val="1"/>
      <w:numFmt w:val="bullet"/>
      <w:lvlText w:val="o"/>
      <w:lvlJc w:val="left"/>
      <w:pPr>
        <w:ind w:left="2920" w:hanging="360"/>
      </w:pPr>
      <w:rPr>
        <w:rFonts w:ascii="Courier New" w:hAnsi="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6" w15:restartNumberingAfterBreak="0">
    <w:nsid w:val="2AE129AE"/>
    <w:multiLevelType w:val="hybridMultilevel"/>
    <w:tmpl w:val="B07ADD6C"/>
    <w:lvl w:ilvl="0" w:tplc="1FF09E76">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35357704"/>
    <w:multiLevelType w:val="hybridMultilevel"/>
    <w:tmpl w:val="9E7813D2"/>
    <w:lvl w:ilvl="0" w:tplc="13E21164">
      <w:start w:val="1"/>
      <w:numFmt w:val="bullet"/>
      <w:lvlText w:val="-"/>
      <w:lvlJc w:val="left"/>
      <w:pPr>
        <w:ind w:left="1069" w:hanging="360"/>
      </w:pPr>
      <w:rPr>
        <w:rFonts w:ascii="Calibri Light" w:eastAsiaTheme="minorHAnsi"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3F70DC4"/>
    <w:multiLevelType w:val="hybridMultilevel"/>
    <w:tmpl w:val="7E5C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828A4"/>
    <w:multiLevelType w:val="hybridMultilevel"/>
    <w:tmpl w:val="2DEACD5E"/>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273BC4"/>
    <w:multiLevelType w:val="hybridMultilevel"/>
    <w:tmpl w:val="06BC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A42C9"/>
    <w:multiLevelType w:val="hybridMultilevel"/>
    <w:tmpl w:val="98661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F1110"/>
    <w:multiLevelType w:val="hybridMultilevel"/>
    <w:tmpl w:val="862497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7B356B38"/>
    <w:multiLevelType w:val="hybridMultilevel"/>
    <w:tmpl w:val="3770406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7CB34531"/>
    <w:multiLevelType w:val="hybridMultilevel"/>
    <w:tmpl w:val="AAAAF1A4"/>
    <w:lvl w:ilvl="0" w:tplc="2FA658EC">
      <w:start w:val="2"/>
      <w:numFmt w:val="bullet"/>
      <w:lvlText w:val="-"/>
      <w:lvlJc w:val="left"/>
      <w:pPr>
        <w:ind w:left="1069" w:hanging="360"/>
      </w:pPr>
      <w:rPr>
        <w:rFonts w:ascii="Calibri Light" w:eastAsiaTheme="minorHAnsi"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5"/>
  </w:num>
  <w:num w:numId="6">
    <w:abstractNumId w:val="10"/>
  </w:num>
  <w:num w:numId="7">
    <w:abstractNumId w:val="11"/>
  </w:num>
  <w:num w:numId="8">
    <w:abstractNumId w:val="9"/>
  </w:num>
  <w:num w:numId="9">
    <w:abstractNumId w:val="13"/>
  </w:num>
  <w:num w:numId="10">
    <w:abstractNumId w:val="1"/>
  </w:num>
  <w:num w:numId="11">
    <w:abstractNumId w:val="7"/>
  </w:num>
  <w:num w:numId="12">
    <w:abstractNumId w:val="3"/>
  </w:num>
  <w:num w:numId="13">
    <w:abstractNumId w:val="12"/>
  </w:num>
  <w:num w:numId="14">
    <w:abstractNumId w:val="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EE"/>
    <w:rsid w:val="0000220D"/>
    <w:rsid w:val="00002B2C"/>
    <w:rsid w:val="00002D07"/>
    <w:rsid w:val="00002F03"/>
    <w:rsid w:val="00004E9D"/>
    <w:rsid w:val="000237FF"/>
    <w:rsid w:val="00044A09"/>
    <w:rsid w:val="000462EE"/>
    <w:rsid w:val="000473C8"/>
    <w:rsid w:val="00054702"/>
    <w:rsid w:val="00077775"/>
    <w:rsid w:val="000B477C"/>
    <w:rsid w:val="000C44D3"/>
    <w:rsid w:val="000C6A4B"/>
    <w:rsid w:val="000D25FD"/>
    <w:rsid w:val="000D6638"/>
    <w:rsid w:val="000E53F9"/>
    <w:rsid w:val="000F6583"/>
    <w:rsid w:val="00135B89"/>
    <w:rsid w:val="001378C1"/>
    <w:rsid w:val="00143BF1"/>
    <w:rsid w:val="00171B88"/>
    <w:rsid w:val="00185FD1"/>
    <w:rsid w:val="001862CC"/>
    <w:rsid w:val="00197EB7"/>
    <w:rsid w:val="001B17DB"/>
    <w:rsid w:val="001C086F"/>
    <w:rsid w:val="001C0BE5"/>
    <w:rsid w:val="001D416D"/>
    <w:rsid w:val="001E3943"/>
    <w:rsid w:val="00204157"/>
    <w:rsid w:val="00206308"/>
    <w:rsid w:val="00220415"/>
    <w:rsid w:val="00221D11"/>
    <w:rsid w:val="002243DD"/>
    <w:rsid w:val="00250909"/>
    <w:rsid w:val="002528F0"/>
    <w:rsid w:val="0026552C"/>
    <w:rsid w:val="0027676A"/>
    <w:rsid w:val="002768CB"/>
    <w:rsid w:val="0029082D"/>
    <w:rsid w:val="00296286"/>
    <w:rsid w:val="00297CF3"/>
    <w:rsid w:val="002B1E57"/>
    <w:rsid w:val="002B63F1"/>
    <w:rsid w:val="002E3E49"/>
    <w:rsid w:val="002F0946"/>
    <w:rsid w:val="00312845"/>
    <w:rsid w:val="00320064"/>
    <w:rsid w:val="003243EE"/>
    <w:rsid w:val="00337E07"/>
    <w:rsid w:val="00345353"/>
    <w:rsid w:val="00347929"/>
    <w:rsid w:val="003544EB"/>
    <w:rsid w:val="00356B35"/>
    <w:rsid w:val="00364FAB"/>
    <w:rsid w:val="00367E45"/>
    <w:rsid w:val="00367ECA"/>
    <w:rsid w:val="00371421"/>
    <w:rsid w:val="00371437"/>
    <w:rsid w:val="003832A2"/>
    <w:rsid w:val="00390576"/>
    <w:rsid w:val="003A4450"/>
    <w:rsid w:val="003D51AD"/>
    <w:rsid w:val="003D7BA1"/>
    <w:rsid w:val="003D7E1C"/>
    <w:rsid w:val="003E16BE"/>
    <w:rsid w:val="003F74AD"/>
    <w:rsid w:val="00400047"/>
    <w:rsid w:val="00406131"/>
    <w:rsid w:val="00413E27"/>
    <w:rsid w:val="00417786"/>
    <w:rsid w:val="00424BB7"/>
    <w:rsid w:val="00442702"/>
    <w:rsid w:val="00447913"/>
    <w:rsid w:val="004511ED"/>
    <w:rsid w:val="0045406F"/>
    <w:rsid w:val="004555BE"/>
    <w:rsid w:val="0046691C"/>
    <w:rsid w:val="004916C7"/>
    <w:rsid w:val="00491E67"/>
    <w:rsid w:val="0049354E"/>
    <w:rsid w:val="0049486E"/>
    <w:rsid w:val="00494A88"/>
    <w:rsid w:val="00495522"/>
    <w:rsid w:val="004A2EE1"/>
    <w:rsid w:val="004B4674"/>
    <w:rsid w:val="004D4E9D"/>
    <w:rsid w:val="004E14CF"/>
    <w:rsid w:val="004E20D9"/>
    <w:rsid w:val="004F208B"/>
    <w:rsid w:val="004F50B6"/>
    <w:rsid w:val="005049C8"/>
    <w:rsid w:val="00516124"/>
    <w:rsid w:val="0051672B"/>
    <w:rsid w:val="00524FD1"/>
    <w:rsid w:val="00532BE1"/>
    <w:rsid w:val="005472BF"/>
    <w:rsid w:val="00572936"/>
    <w:rsid w:val="00572F04"/>
    <w:rsid w:val="0057707D"/>
    <w:rsid w:val="005805B4"/>
    <w:rsid w:val="00591DEE"/>
    <w:rsid w:val="00596E10"/>
    <w:rsid w:val="005A6866"/>
    <w:rsid w:val="005B29A0"/>
    <w:rsid w:val="005B43FF"/>
    <w:rsid w:val="005C300F"/>
    <w:rsid w:val="005C5230"/>
    <w:rsid w:val="005F08DD"/>
    <w:rsid w:val="005F7967"/>
    <w:rsid w:val="00605749"/>
    <w:rsid w:val="00616B38"/>
    <w:rsid w:val="00624628"/>
    <w:rsid w:val="00643E5C"/>
    <w:rsid w:val="006638F4"/>
    <w:rsid w:val="00671987"/>
    <w:rsid w:val="00675BC5"/>
    <w:rsid w:val="006857DE"/>
    <w:rsid w:val="00692260"/>
    <w:rsid w:val="00692714"/>
    <w:rsid w:val="006B0EC0"/>
    <w:rsid w:val="006B10D6"/>
    <w:rsid w:val="006B2A01"/>
    <w:rsid w:val="00710C32"/>
    <w:rsid w:val="00716930"/>
    <w:rsid w:val="00717854"/>
    <w:rsid w:val="00725834"/>
    <w:rsid w:val="007373E4"/>
    <w:rsid w:val="00747C1E"/>
    <w:rsid w:val="007533BF"/>
    <w:rsid w:val="00755B64"/>
    <w:rsid w:val="007709B6"/>
    <w:rsid w:val="0078014C"/>
    <w:rsid w:val="00796A37"/>
    <w:rsid w:val="0079708F"/>
    <w:rsid w:val="007A2F1D"/>
    <w:rsid w:val="007A4F39"/>
    <w:rsid w:val="007B3BEE"/>
    <w:rsid w:val="007C3070"/>
    <w:rsid w:val="007C3A99"/>
    <w:rsid w:val="007C446B"/>
    <w:rsid w:val="007D0ABB"/>
    <w:rsid w:val="007D1BFF"/>
    <w:rsid w:val="007D2DFF"/>
    <w:rsid w:val="007E634B"/>
    <w:rsid w:val="007E719D"/>
    <w:rsid w:val="007F2B76"/>
    <w:rsid w:val="007F77DC"/>
    <w:rsid w:val="00802A33"/>
    <w:rsid w:val="00805973"/>
    <w:rsid w:val="008310D5"/>
    <w:rsid w:val="0083524C"/>
    <w:rsid w:val="0084621B"/>
    <w:rsid w:val="0085052B"/>
    <w:rsid w:val="00857A86"/>
    <w:rsid w:val="00872AC5"/>
    <w:rsid w:val="00885F55"/>
    <w:rsid w:val="008A3B22"/>
    <w:rsid w:val="008F42FB"/>
    <w:rsid w:val="00920D2F"/>
    <w:rsid w:val="00924485"/>
    <w:rsid w:val="00932068"/>
    <w:rsid w:val="00954760"/>
    <w:rsid w:val="0095784F"/>
    <w:rsid w:val="009962C5"/>
    <w:rsid w:val="009C593A"/>
    <w:rsid w:val="009C638A"/>
    <w:rsid w:val="009E4ED4"/>
    <w:rsid w:val="00A00FD3"/>
    <w:rsid w:val="00A2330C"/>
    <w:rsid w:val="00A26561"/>
    <w:rsid w:val="00A26C6A"/>
    <w:rsid w:val="00A3427D"/>
    <w:rsid w:val="00A42A76"/>
    <w:rsid w:val="00A42FC7"/>
    <w:rsid w:val="00A432AE"/>
    <w:rsid w:val="00A55AC5"/>
    <w:rsid w:val="00A57BA8"/>
    <w:rsid w:val="00A71656"/>
    <w:rsid w:val="00A7703C"/>
    <w:rsid w:val="00A872DA"/>
    <w:rsid w:val="00A914A5"/>
    <w:rsid w:val="00A95EC0"/>
    <w:rsid w:val="00A963E7"/>
    <w:rsid w:val="00AA0606"/>
    <w:rsid w:val="00AA3EBD"/>
    <w:rsid w:val="00AB1329"/>
    <w:rsid w:val="00AB1D61"/>
    <w:rsid w:val="00AC1260"/>
    <w:rsid w:val="00AC3D53"/>
    <w:rsid w:val="00AC608B"/>
    <w:rsid w:val="00AC70DA"/>
    <w:rsid w:val="00AD1FD0"/>
    <w:rsid w:val="00AD465F"/>
    <w:rsid w:val="00AE4C32"/>
    <w:rsid w:val="00AF08CC"/>
    <w:rsid w:val="00AF5B3E"/>
    <w:rsid w:val="00B204C2"/>
    <w:rsid w:val="00B21BA4"/>
    <w:rsid w:val="00B43D76"/>
    <w:rsid w:val="00B456AD"/>
    <w:rsid w:val="00B517D1"/>
    <w:rsid w:val="00B64BC0"/>
    <w:rsid w:val="00B66A20"/>
    <w:rsid w:val="00B9634B"/>
    <w:rsid w:val="00BA15EC"/>
    <w:rsid w:val="00BB2A55"/>
    <w:rsid w:val="00BB469A"/>
    <w:rsid w:val="00BE172C"/>
    <w:rsid w:val="00BE743E"/>
    <w:rsid w:val="00BF1207"/>
    <w:rsid w:val="00BF5127"/>
    <w:rsid w:val="00BF5FF6"/>
    <w:rsid w:val="00C04F44"/>
    <w:rsid w:val="00C126D3"/>
    <w:rsid w:val="00C15EAA"/>
    <w:rsid w:val="00C24ACA"/>
    <w:rsid w:val="00C26547"/>
    <w:rsid w:val="00C31BF3"/>
    <w:rsid w:val="00C36EB9"/>
    <w:rsid w:val="00C429E6"/>
    <w:rsid w:val="00C46278"/>
    <w:rsid w:val="00C53501"/>
    <w:rsid w:val="00C53634"/>
    <w:rsid w:val="00C56B32"/>
    <w:rsid w:val="00C63265"/>
    <w:rsid w:val="00C6400C"/>
    <w:rsid w:val="00C6553B"/>
    <w:rsid w:val="00C6728B"/>
    <w:rsid w:val="00C75DD5"/>
    <w:rsid w:val="00CA249A"/>
    <w:rsid w:val="00CA30C3"/>
    <w:rsid w:val="00CB042F"/>
    <w:rsid w:val="00CD1CF7"/>
    <w:rsid w:val="00CF06C9"/>
    <w:rsid w:val="00D02051"/>
    <w:rsid w:val="00D049EA"/>
    <w:rsid w:val="00D04DEB"/>
    <w:rsid w:val="00D05421"/>
    <w:rsid w:val="00D06241"/>
    <w:rsid w:val="00D0736C"/>
    <w:rsid w:val="00D11350"/>
    <w:rsid w:val="00D31EA0"/>
    <w:rsid w:val="00D43EA0"/>
    <w:rsid w:val="00D51242"/>
    <w:rsid w:val="00D53350"/>
    <w:rsid w:val="00D6574D"/>
    <w:rsid w:val="00D6746C"/>
    <w:rsid w:val="00D85716"/>
    <w:rsid w:val="00DD4DB2"/>
    <w:rsid w:val="00DE4669"/>
    <w:rsid w:val="00DF5159"/>
    <w:rsid w:val="00E115E3"/>
    <w:rsid w:val="00E16B94"/>
    <w:rsid w:val="00E3614F"/>
    <w:rsid w:val="00E43497"/>
    <w:rsid w:val="00E523F2"/>
    <w:rsid w:val="00E64E6B"/>
    <w:rsid w:val="00E6614C"/>
    <w:rsid w:val="00E70A16"/>
    <w:rsid w:val="00E7158C"/>
    <w:rsid w:val="00E77422"/>
    <w:rsid w:val="00EA66C5"/>
    <w:rsid w:val="00EA690B"/>
    <w:rsid w:val="00EA706B"/>
    <w:rsid w:val="00EC1F20"/>
    <w:rsid w:val="00EC414D"/>
    <w:rsid w:val="00EE1FEB"/>
    <w:rsid w:val="00EE2414"/>
    <w:rsid w:val="00EE43B1"/>
    <w:rsid w:val="00EF0534"/>
    <w:rsid w:val="00EF4E67"/>
    <w:rsid w:val="00F001F9"/>
    <w:rsid w:val="00F07AE6"/>
    <w:rsid w:val="00F17CFB"/>
    <w:rsid w:val="00F21FDA"/>
    <w:rsid w:val="00F266D2"/>
    <w:rsid w:val="00F3070C"/>
    <w:rsid w:val="00F5120A"/>
    <w:rsid w:val="00F52D17"/>
    <w:rsid w:val="00F52E96"/>
    <w:rsid w:val="00F537F0"/>
    <w:rsid w:val="00F6020C"/>
    <w:rsid w:val="00F66AA7"/>
    <w:rsid w:val="00F67AEF"/>
    <w:rsid w:val="00F74513"/>
    <w:rsid w:val="00F77C02"/>
    <w:rsid w:val="00F876A8"/>
    <w:rsid w:val="00F913C6"/>
    <w:rsid w:val="00F927E8"/>
    <w:rsid w:val="00FA2BC8"/>
    <w:rsid w:val="00FB708B"/>
    <w:rsid w:val="00FE1BBA"/>
    <w:rsid w:val="00FE50E1"/>
    <w:rsid w:val="00FF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C1670"/>
  <w15:chartTrackingRefBased/>
  <w15:docId w15:val="{30A81D30-4303-0145-A5B4-1A80100C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2330C"/>
    <w:pPr>
      <w:keepNext/>
      <w:keepLines/>
      <w:numPr>
        <w:numId w:val="1"/>
      </w:numPr>
      <w:tabs>
        <w:tab w:val="left" w:pos="0"/>
      </w:tabs>
      <w:spacing w:before="60"/>
      <w:jc w:val="both"/>
      <w:outlineLvl w:val="1"/>
    </w:pPr>
    <w:rPr>
      <w:rFonts w:asciiTheme="majorHAnsi" w:eastAsiaTheme="majorEastAsia" w:hAnsiTheme="majorHAnsi" w:cstheme="majorBidi"/>
      <w:b/>
      <w:bCs/>
      <w:color w:val="44546A" w:themeColor="text2"/>
      <w:szCs w:val="26"/>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30C"/>
    <w:rPr>
      <w:rFonts w:asciiTheme="majorHAnsi" w:eastAsiaTheme="majorEastAsia" w:hAnsiTheme="majorHAnsi" w:cstheme="majorBidi"/>
      <w:b/>
      <w:bCs/>
      <w:color w:val="44546A" w:themeColor="text2"/>
      <w:szCs w:val="26"/>
      <w:lang w:val="sk-SK"/>
    </w:rPr>
  </w:style>
  <w:style w:type="paragraph" w:styleId="Title">
    <w:name w:val="Title"/>
    <w:basedOn w:val="Normal"/>
    <w:next w:val="Normal"/>
    <w:link w:val="TitleChar"/>
    <w:uiPriority w:val="10"/>
    <w:qFormat/>
    <w:rsid w:val="00A2330C"/>
    <w:pPr>
      <w:pBdr>
        <w:bottom w:val="single" w:sz="8" w:space="4" w:color="4472C4" w:themeColor="accent1"/>
      </w:pBdr>
      <w:spacing w:after="300"/>
      <w:contextualSpacing/>
    </w:pPr>
    <w:rPr>
      <w:rFonts w:asciiTheme="majorHAnsi" w:eastAsiaTheme="majorEastAsia" w:hAnsiTheme="majorHAnsi" w:cstheme="majorBidi"/>
      <w:b/>
      <w:color w:val="44546A" w:themeColor="text2"/>
      <w:spacing w:val="5"/>
      <w:kern w:val="28"/>
      <w:lang w:val="sk-SK"/>
    </w:rPr>
  </w:style>
  <w:style w:type="character" w:customStyle="1" w:styleId="TitleChar">
    <w:name w:val="Title Char"/>
    <w:basedOn w:val="DefaultParagraphFont"/>
    <w:link w:val="Title"/>
    <w:uiPriority w:val="10"/>
    <w:rsid w:val="00A2330C"/>
    <w:rPr>
      <w:rFonts w:asciiTheme="majorHAnsi" w:eastAsiaTheme="majorEastAsia" w:hAnsiTheme="majorHAnsi" w:cstheme="majorBidi"/>
      <w:b/>
      <w:color w:val="44546A" w:themeColor="text2"/>
      <w:spacing w:val="5"/>
      <w:kern w:val="28"/>
      <w:lang w:val="sk-SK"/>
    </w:rPr>
  </w:style>
  <w:style w:type="paragraph" w:styleId="ListParagraph">
    <w:name w:val="List Paragraph"/>
    <w:basedOn w:val="Normal"/>
    <w:uiPriority w:val="34"/>
    <w:qFormat/>
    <w:rsid w:val="00A2330C"/>
    <w:pPr>
      <w:spacing w:after="200" w:line="276" w:lineRule="auto"/>
      <w:ind w:left="720"/>
      <w:contextualSpacing/>
    </w:pPr>
    <w:rPr>
      <w:sz w:val="22"/>
      <w:szCs w:val="22"/>
      <w:lang w:val="sk-SK"/>
    </w:rPr>
  </w:style>
  <w:style w:type="paragraph" w:styleId="FootnoteText">
    <w:name w:val="footnote text"/>
    <w:basedOn w:val="Normal"/>
    <w:link w:val="FootnoteTextChar"/>
    <w:uiPriority w:val="99"/>
    <w:semiHidden/>
    <w:unhideWhenUsed/>
    <w:rsid w:val="003D7E1C"/>
    <w:rPr>
      <w:sz w:val="20"/>
      <w:szCs w:val="20"/>
    </w:rPr>
  </w:style>
  <w:style w:type="character" w:customStyle="1" w:styleId="FootnoteTextChar">
    <w:name w:val="Footnote Text Char"/>
    <w:basedOn w:val="DefaultParagraphFont"/>
    <w:link w:val="FootnoteText"/>
    <w:uiPriority w:val="99"/>
    <w:semiHidden/>
    <w:rsid w:val="003D7E1C"/>
    <w:rPr>
      <w:sz w:val="20"/>
      <w:szCs w:val="20"/>
    </w:rPr>
  </w:style>
  <w:style w:type="character" w:styleId="FootnoteReference">
    <w:name w:val="footnote reference"/>
    <w:basedOn w:val="DefaultParagraphFont"/>
    <w:uiPriority w:val="99"/>
    <w:semiHidden/>
    <w:unhideWhenUsed/>
    <w:rsid w:val="003D7E1C"/>
    <w:rPr>
      <w:vertAlign w:val="superscript"/>
    </w:rPr>
  </w:style>
  <w:style w:type="character" w:styleId="Hyperlink">
    <w:name w:val="Hyperlink"/>
    <w:basedOn w:val="DefaultParagraphFont"/>
    <w:uiPriority w:val="99"/>
    <w:unhideWhenUsed/>
    <w:rsid w:val="00C6553B"/>
    <w:rPr>
      <w:color w:val="0000FF"/>
      <w:u w:val="single"/>
    </w:rPr>
  </w:style>
  <w:style w:type="character" w:customStyle="1" w:styleId="apple-converted-space">
    <w:name w:val="apple-converted-space"/>
    <w:basedOn w:val="DefaultParagraphFont"/>
    <w:rsid w:val="00C6553B"/>
  </w:style>
  <w:style w:type="character" w:styleId="UnresolvedMention">
    <w:name w:val="Unresolved Mention"/>
    <w:basedOn w:val="DefaultParagraphFont"/>
    <w:uiPriority w:val="99"/>
    <w:semiHidden/>
    <w:unhideWhenUsed/>
    <w:rsid w:val="003D51AD"/>
    <w:rPr>
      <w:color w:val="605E5C"/>
      <w:shd w:val="clear" w:color="auto" w:fill="E1DFDD"/>
    </w:rPr>
  </w:style>
  <w:style w:type="paragraph" w:styleId="NormalWeb">
    <w:name w:val="Normal (Web)"/>
    <w:basedOn w:val="Normal"/>
    <w:uiPriority w:val="99"/>
    <w:unhideWhenUsed/>
    <w:rsid w:val="003D51A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8685">
      <w:bodyDiv w:val="1"/>
      <w:marLeft w:val="0"/>
      <w:marRight w:val="0"/>
      <w:marTop w:val="0"/>
      <w:marBottom w:val="0"/>
      <w:divBdr>
        <w:top w:val="none" w:sz="0" w:space="0" w:color="auto"/>
        <w:left w:val="none" w:sz="0" w:space="0" w:color="auto"/>
        <w:bottom w:val="none" w:sz="0" w:space="0" w:color="auto"/>
        <w:right w:val="none" w:sz="0" w:space="0" w:color="auto"/>
      </w:divBdr>
    </w:div>
    <w:div w:id="1448429411">
      <w:bodyDiv w:val="1"/>
      <w:marLeft w:val="0"/>
      <w:marRight w:val="0"/>
      <w:marTop w:val="0"/>
      <w:marBottom w:val="0"/>
      <w:divBdr>
        <w:top w:val="none" w:sz="0" w:space="0" w:color="auto"/>
        <w:left w:val="none" w:sz="0" w:space="0" w:color="auto"/>
        <w:bottom w:val="none" w:sz="0" w:space="0" w:color="auto"/>
        <w:right w:val="none" w:sz="0" w:space="0" w:color="auto"/>
      </w:divBdr>
      <w:divsChild>
        <w:div w:id="495267967">
          <w:marLeft w:val="0"/>
          <w:marRight w:val="0"/>
          <w:marTop w:val="0"/>
          <w:marBottom w:val="0"/>
          <w:divBdr>
            <w:top w:val="none" w:sz="0" w:space="0" w:color="auto"/>
            <w:left w:val="none" w:sz="0" w:space="0" w:color="auto"/>
            <w:bottom w:val="none" w:sz="0" w:space="0" w:color="auto"/>
            <w:right w:val="none" w:sz="0" w:space="0" w:color="auto"/>
          </w:divBdr>
        </w:div>
        <w:div w:id="214196674">
          <w:marLeft w:val="0"/>
          <w:marRight w:val="0"/>
          <w:marTop w:val="0"/>
          <w:marBottom w:val="0"/>
          <w:divBdr>
            <w:top w:val="none" w:sz="0" w:space="0" w:color="auto"/>
            <w:left w:val="none" w:sz="0" w:space="0" w:color="auto"/>
            <w:bottom w:val="none" w:sz="0" w:space="0" w:color="auto"/>
            <w:right w:val="none" w:sz="0" w:space="0" w:color="auto"/>
          </w:divBdr>
        </w:div>
        <w:div w:id="1952282198">
          <w:marLeft w:val="0"/>
          <w:marRight w:val="0"/>
          <w:marTop w:val="0"/>
          <w:marBottom w:val="0"/>
          <w:divBdr>
            <w:top w:val="none" w:sz="0" w:space="0" w:color="auto"/>
            <w:left w:val="none" w:sz="0" w:space="0" w:color="auto"/>
            <w:bottom w:val="none" w:sz="0" w:space="0" w:color="auto"/>
            <w:right w:val="none" w:sz="0" w:space="0" w:color="auto"/>
          </w:divBdr>
        </w:div>
        <w:div w:id="2008360498">
          <w:marLeft w:val="0"/>
          <w:marRight w:val="0"/>
          <w:marTop w:val="0"/>
          <w:marBottom w:val="0"/>
          <w:divBdr>
            <w:top w:val="none" w:sz="0" w:space="0" w:color="auto"/>
            <w:left w:val="none" w:sz="0" w:space="0" w:color="auto"/>
            <w:bottom w:val="none" w:sz="0" w:space="0" w:color="auto"/>
            <w:right w:val="none" w:sz="0" w:space="0" w:color="auto"/>
          </w:divBdr>
        </w:div>
        <w:div w:id="1346059439">
          <w:marLeft w:val="0"/>
          <w:marRight w:val="0"/>
          <w:marTop w:val="0"/>
          <w:marBottom w:val="0"/>
          <w:divBdr>
            <w:top w:val="none" w:sz="0" w:space="0" w:color="auto"/>
            <w:left w:val="none" w:sz="0" w:space="0" w:color="auto"/>
            <w:bottom w:val="none" w:sz="0" w:space="0" w:color="auto"/>
            <w:right w:val="none" w:sz="0" w:space="0" w:color="auto"/>
          </w:divBdr>
        </w:div>
        <w:div w:id="387001095">
          <w:marLeft w:val="0"/>
          <w:marRight w:val="0"/>
          <w:marTop w:val="0"/>
          <w:marBottom w:val="0"/>
          <w:divBdr>
            <w:top w:val="none" w:sz="0" w:space="0" w:color="auto"/>
            <w:left w:val="none" w:sz="0" w:space="0" w:color="auto"/>
            <w:bottom w:val="none" w:sz="0" w:space="0" w:color="auto"/>
            <w:right w:val="none" w:sz="0" w:space="0" w:color="auto"/>
          </w:divBdr>
        </w:div>
        <w:div w:id="1208640838">
          <w:marLeft w:val="0"/>
          <w:marRight w:val="0"/>
          <w:marTop w:val="0"/>
          <w:marBottom w:val="0"/>
          <w:divBdr>
            <w:top w:val="none" w:sz="0" w:space="0" w:color="auto"/>
            <w:left w:val="none" w:sz="0" w:space="0" w:color="auto"/>
            <w:bottom w:val="none" w:sz="0" w:space="0" w:color="auto"/>
            <w:right w:val="none" w:sz="0" w:space="0" w:color="auto"/>
          </w:divBdr>
        </w:div>
        <w:div w:id="1193110251">
          <w:marLeft w:val="0"/>
          <w:marRight w:val="0"/>
          <w:marTop w:val="0"/>
          <w:marBottom w:val="0"/>
          <w:divBdr>
            <w:top w:val="none" w:sz="0" w:space="0" w:color="auto"/>
            <w:left w:val="none" w:sz="0" w:space="0" w:color="auto"/>
            <w:bottom w:val="none" w:sz="0" w:space="0" w:color="auto"/>
            <w:right w:val="none" w:sz="0" w:space="0" w:color="auto"/>
          </w:divBdr>
        </w:div>
        <w:div w:id="1944922435">
          <w:marLeft w:val="0"/>
          <w:marRight w:val="0"/>
          <w:marTop w:val="0"/>
          <w:marBottom w:val="0"/>
          <w:divBdr>
            <w:top w:val="none" w:sz="0" w:space="0" w:color="auto"/>
            <w:left w:val="none" w:sz="0" w:space="0" w:color="auto"/>
            <w:bottom w:val="none" w:sz="0" w:space="0" w:color="auto"/>
            <w:right w:val="none" w:sz="0" w:space="0" w:color="auto"/>
          </w:divBdr>
        </w:div>
        <w:div w:id="1962303388">
          <w:marLeft w:val="0"/>
          <w:marRight w:val="0"/>
          <w:marTop w:val="0"/>
          <w:marBottom w:val="0"/>
          <w:divBdr>
            <w:top w:val="none" w:sz="0" w:space="0" w:color="auto"/>
            <w:left w:val="none" w:sz="0" w:space="0" w:color="auto"/>
            <w:bottom w:val="none" w:sz="0" w:space="0" w:color="auto"/>
            <w:right w:val="none" w:sz="0" w:space="0" w:color="auto"/>
          </w:divBdr>
        </w:div>
        <w:div w:id="236093065">
          <w:marLeft w:val="0"/>
          <w:marRight w:val="0"/>
          <w:marTop w:val="0"/>
          <w:marBottom w:val="0"/>
          <w:divBdr>
            <w:top w:val="none" w:sz="0" w:space="0" w:color="auto"/>
            <w:left w:val="none" w:sz="0" w:space="0" w:color="auto"/>
            <w:bottom w:val="none" w:sz="0" w:space="0" w:color="auto"/>
            <w:right w:val="none" w:sz="0" w:space="0" w:color="auto"/>
          </w:divBdr>
        </w:div>
        <w:div w:id="2057771735">
          <w:marLeft w:val="0"/>
          <w:marRight w:val="0"/>
          <w:marTop w:val="0"/>
          <w:marBottom w:val="0"/>
          <w:divBdr>
            <w:top w:val="none" w:sz="0" w:space="0" w:color="auto"/>
            <w:left w:val="none" w:sz="0" w:space="0" w:color="auto"/>
            <w:bottom w:val="none" w:sz="0" w:space="0" w:color="auto"/>
            <w:right w:val="none" w:sz="0" w:space="0" w:color="auto"/>
          </w:divBdr>
        </w:div>
        <w:div w:id="1118060779">
          <w:marLeft w:val="0"/>
          <w:marRight w:val="0"/>
          <w:marTop w:val="0"/>
          <w:marBottom w:val="0"/>
          <w:divBdr>
            <w:top w:val="none" w:sz="0" w:space="0" w:color="auto"/>
            <w:left w:val="none" w:sz="0" w:space="0" w:color="auto"/>
            <w:bottom w:val="none" w:sz="0" w:space="0" w:color="auto"/>
            <w:right w:val="none" w:sz="0" w:space="0" w:color="auto"/>
          </w:divBdr>
        </w:div>
        <w:div w:id="509221137">
          <w:marLeft w:val="0"/>
          <w:marRight w:val="0"/>
          <w:marTop w:val="0"/>
          <w:marBottom w:val="0"/>
          <w:divBdr>
            <w:top w:val="none" w:sz="0" w:space="0" w:color="auto"/>
            <w:left w:val="none" w:sz="0" w:space="0" w:color="auto"/>
            <w:bottom w:val="none" w:sz="0" w:space="0" w:color="auto"/>
            <w:right w:val="none" w:sz="0" w:space="0" w:color="auto"/>
          </w:divBdr>
        </w:div>
        <w:div w:id="1135222110">
          <w:marLeft w:val="0"/>
          <w:marRight w:val="0"/>
          <w:marTop w:val="0"/>
          <w:marBottom w:val="0"/>
          <w:divBdr>
            <w:top w:val="none" w:sz="0" w:space="0" w:color="auto"/>
            <w:left w:val="none" w:sz="0" w:space="0" w:color="auto"/>
            <w:bottom w:val="none" w:sz="0" w:space="0" w:color="auto"/>
            <w:right w:val="none" w:sz="0" w:space="0" w:color="auto"/>
          </w:divBdr>
        </w:div>
        <w:div w:id="872227232">
          <w:marLeft w:val="0"/>
          <w:marRight w:val="0"/>
          <w:marTop w:val="0"/>
          <w:marBottom w:val="0"/>
          <w:divBdr>
            <w:top w:val="none" w:sz="0" w:space="0" w:color="auto"/>
            <w:left w:val="none" w:sz="0" w:space="0" w:color="auto"/>
            <w:bottom w:val="none" w:sz="0" w:space="0" w:color="auto"/>
            <w:right w:val="none" w:sz="0" w:space="0" w:color="auto"/>
          </w:divBdr>
        </w:div>
        <w:div w:id="2111774775">
          <w:marLeft w:val="0"/>
          <w:marRight w:val="0"/>
          <w:marTop w:val="0"/>
          <w:marBottom w:val="0"/>
          <w:divBdr>
            <w:top w:val="none" w:sz="0" w:space="0" w:color="auto"/>
            <w:left w:val="none" w:sz="0" w:space="0" w:color="auto"/>
            <w:bottom w:val="none" w:sz="0" w:space="0" w:color="auto"/>
            <w:right w:val="none" w:sz="0" w:space="0" w:color="auto"/>
          </w:divBdr>
        </w:div>
        <w:div w:id="1628392435">
          <w:marLeft w:val="0"/>
          <w:marRight w:val="0"/>
          <w:marTop w:val="0"/>
          <w:marBottom w:val="0"/>
          <w:divBdr>
            <w:top w:val="none" w:sz="0" w:space="0" w:color="auto"/>
            <w:left w:val="none" w:sz="0" w:space="0" w:color="auto"/>
            <w:bottom w:val="none" w:sz="0" w:space="0" w:color="auto"/>
            <w:right w:val="none" w:sz="0" w:space="0" w:color="auto"/>
          </w:divBdr>
        </w:div>
        <w:div w:id="944535266">
          <w:marLeft w:val="0"/>
          <w:marRight w:val="0"/>
          <w:marTop w:val="0"/>
          <w:marBottom w:val="0"/>
          <w:divBdr>
            <w:top w:val="none" w:sz="0" w:space="0" w:color="auto"/>
            <w:left w:val="none" w:sz="0" w:space="0" w:color="auto"/>
            <w:bottom w:val="none" w:sz="0" w:space="0" w:color="auto"/>
            <w:right w:val="none" w:sz="0" w:space="0" w:color="auto"/>
          </w:divBdr>
        </w:div>
      </w:divsChild>
    </w:div>
    <w:div w:id="1509829914">
      <w:bodyDiv w:val="1"/>
      <w:marLeft w:val="0"/>
      <w:marRight w:val="0"/>
      <w:marTop w:val="0"/>
      <w:marBottom w:val="0"/>
      <w:divBdr>
        <w:top w:val="none" w:sz="0" w:space="0" w:color="auto"/>
        <w:left w:val="none" w:sz="0" w:space="0" w:color="auto"/>
        <w:bottom w:val="none" w:sz="0" w:space="0" w:color="auto"/>
        <w:right w:val="none" w:sz="0" w:space="0" w:color="auto"/>
      </w:divBdr>
    </w:div>
    <w:div w:id="1569733029">
      <w:bodyDiv w:val="1"/>
      <w:marLeft w:val="0"/>
      <w:marRight w:val="0"/>
      <w:marTop w:val="0"/>
      <w:marBottom w:val="0"/>
      <w:divBdr>
        <w:top w:val="none" w:sz="0" w:space="0" w:color="auto"/>
        <w:left w:val="none" w:sz="0" w:space="0" w:color="auto"/>
        <w:bottom w:val="none" w:sz="0" w:space="0" w:color="auto"/>
        <w:right w:val="none" w:sz="0" w:space="0" w:color="auto"/>
      </w:divBdr>
    </w:div>
    <w:div w:id="1839734465">
      <w:bodyDiv w:val="1"/>
      <w:marLeft w:val="0"/>
      <w:marRight w:val="0"/>
      <w:marTop w:val="0"/>
      <w:marBottom w:val="0"/>
      <w:divBdr>
        <w:top w:val="none" w:sz="0" w:space="0" w:color="auto"/>
        <w:left w:val="none" w:sz="0" w:space="0" w:color="auto"/>
        <w:bottom w:val="none" w:sz="0" w:space="0" w:color="auto"/>
        <w:right w:val="none" w:sz="0" w:space="0" w:color="auto"/>
      </w:divBdr>
      <w:divsChild>
        <w:div w:id="1687514760">
          <w:marLeft w:val="0"/>
          <w:marRight w:val="0"/>
          <w:marTop w:val="0"/>
          <w:marBottom w:val="0"/>
          <w:divBdr>
            <w:top w:val="none" w:sz="0" w:space="0" w:color="auto"/>
            <w:left w:val="none" w:sz="0" w:space="0" w:color="auto"/>
            <w:bottom w:val="none" w:sz="0" w:space="0" w:color="auto"/>
            <w:right w:val="none" w:sz="0" w:space="0" w:color="auto"/>
          </w:divBdr>
          <w:divsChild>
            <w:div w:id="1009798659">
              <w:marLeft w:val="0"/>
              <w:marRight w:val="0"/>
              <w:marTop w:val="0"/>
              <w:marBottom w:val="0"/>
              <w:divBdr>
                <w:top w:val="none" w:sz="0" w:space="0" w:color="auto"/>
                <w:left w:val="none" w:sz="0" w:space="0" w:color="auto"/>
                <w:bottom w:val="none" w:sz="0" w:space="0" w:color="auto"/>
                <w:right w:val="none" w:sz="0" w:space="0" w:color="auto"/>
              </w:divBdr>
              <w:divsChild>
                <w:div w:id="12750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it.ly/2vJBN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D13F-09E6-1843-A35F-6B92582F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2926</Words>
  <Characters>17586</Characters>
  <Application>Microsoft Office Word</Application>
  <DocSecurity>0</DocSecurity>
  <Lines>308</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Kalavsky</dc:creator>
  <cp:keywords/>
  <dc:description/>
  <cp:lastModifiedBy>Marek Kalavsky</cp:lastModifiedBy>
  <cp:revision>27</cp:revision>
  <dcterms:created xsi:type="dcterms:W3CDTF">2019-05-10T07:43:00Z</dcterms:created>
  <dcterms:modified xsi:type="dcterms:W3CDTF">2019-05-10T11:21:00Z</dcterms:modified>
  <cp:category/>
</cp:coreProperties>
</file>