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1D81" w14:textId="3191719A" w:rsidR="00390460" w:rsidRDefault="00390460" w:rsidP="000901A8">
      <w:pPr>
        <w:jc w:val="right"/>
      </w:pPr>
    </w:p>
    <w:tbl>
      <w:tblPr>
        <w:tblStyle w:val="TableGrid"/>
        <w:tblW w:w="9949" w:type="dxa"/>
        <w:tblInd w:w="-318" w:type="dxa"/>
        <w:tblLook w:val="04A0" w:firstRow="1" w:lastRow="0" w:firstColumn="1" w:lastColumn="0" w:noHBand="0" w:noVBand="1"/>
      </w:tblPr>
      <w:tblGrid>
        <w:gridCol w:w="2344"/>
        <w:gridCol w:w="1043"/>
        <w:gridCol w:w="6717"/>
      </w:tblGrid>
      <w:tr w:rsidR="009733B7" w:rsidRPr="009733B7" w14:paraId="27D25470" w14:textId="77777777" w:rsidTr="00462082">
        <w:trPr>
          <w:trHeight w:val="416"/>
        </w:trPr>
        <w:tc>
          <w:tcPr>
            <w:tcW w:w="9949" w:type="dxa"/>
            <w:gridSpan w:val="3"/>
            <w:shd w:val="clear" w:color="auto" w:fill="5F497A"/>
            <w:vAlign w:val="center"/>
          </w:tcPr>
          <w:p w14:paraId="3F7C8A4C" w14:textId="77777777" w:rsidR="009733B7" w:rsidRPr="009733B7" w:rsidRDefault="009733B7" w:rsidP="009733B7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b/>
                <w:color w:val="FFFFFF"/>
                <w:sz w:val="36"/>
                <w:szCs w:val="36"/>
                <w:lang w:eastAsia="sk-SK"/>
              </w:rPr>
              <w:t>Test štátnej pomoci</w:t>
            </w:r>
          </w:p>
        </w:tc>
      </w:tr>
      <w:tr w:rsidR="009733B7" w:rsidRPr="009733B7" w14:paraId="22D1E30B" w14:textId="77777777" w:rsidTr="008A3291">
        <w:trPr>
          <w:trHeight w:val="414"/>
        </w:trPr>
        <w:tc>
          <w:tcPr>
            <w:tcW w:w="2843" w:type="dxa"/>
            <w:tcBorders>
              <w:bottom w:val="single" w:sz="4" w:space="0" w:color="auto"/>
            </w:tcBorders>
          </w:tcPr>
          <w:p w14:paraId="4AFE0376" w14:textId="77777777" w:rsidR="009733B7" w:rsidRPr="009733B7" w:rsidRDefault="009733B7" w:rsidP="009733B7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>Operačný program:</w:t>
            </w:r>
          </w:p>
        </w:tc>
        <w:tc>
          <w:tcPr>
            <w:tcW w:w="7106" w:type="dxa"/>
            <w:gridSpan w:val="2"/>
            <w:tcBorders>
              <w:bottom w:val="single" w:sz="4" w:space="0" w:color="auto"/>
            </w:tcBorders>
          </w:tcPr>
          <w:p w14:paraId="0DD7973E" w14:textId="4F406F8E" w:rsidR="009733B7" w:rsidRPr="009733B7" w:rsidRDefault="0000056C" w:rsidP="009733B7">
            <w:pPr>
              <w:tabs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Integrovaná infraštruktúra</w:t>
            </w:r>
          </w:p>
        </w:tc>
      </w:tr>
      <w:tr w:rsidR="00471501" w:rsidRPr="009733B7" w14:paraId="0E6004EE" w14:textId="77777777" w:rsidTr="008A3291">
        <w:trPr>
          <w:trHeight w:val="412"/>
        </w:trPr>
        <w:tc>
          <w:tcPr>
            <w:tcW w:w="2843" w:type="dxa"/>
            <w:shd w:val="clear" w:color="auto" w:fill="auto"/>
          </w:tcPr>
          <w:p w14:paraId="5FAF7137" w14:textId="14A9E98B" w:rsidR="00471501" w:rsidRDefault="00471501" w:rsidP="009733B7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Prioritná os</w:t>
            </w:r>
          </w:p>
        </w:tc>
        <w:tc>
          <w:tcPr>
            <w:tcW w:w="7106" w:type="dxa"/>
            <w:gridSpan w:val="2"/>
            <w:shd w:val="clear" w:color="auto" w:fill="auto"/>
          </w:tcPr>
          <w:p w14:paraId="689745DC" w14:textId="148A10C8" w:rsidR="00471501" w:rsidRDefault="00B75569" w:rsidP="009733B7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7.</w:t>
            </w:r>
            <w:r w:rsidR="00471501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Informačná spoločnosť</w:t>
            </w:r>
          </w:p>
        </w:tc>
      </w:tr>
      <w:tr w:rsidR="00471501" w:rsidRPr="009733B7" w14:paraId="4144EEFF" w14:textId="77777777" w:rsidTr="008A3291">
        <w:trPr>
          <w:trHeight w:val="412"/>
        </w:trPr>
        <w:tc>
          <w:tcPr>
            <w:tcW w:w="2843" w:type="dxa"/>
            <w:shd w:val="clear" w:color="auto" w:fill="auto"/>
          </w:tcPr>
          <w:p w14:paraId="4DE3B869" w14:textId="305944F2" w:rsidR="00471501" w:rsidRDefault="00471501" w:rsidP="009733B7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Kód výzvy</w:t>
            </w:r>
          </w:p>
        </w:tc>
        <w:tc>
          <w:tcPr>
            <w:tcW w:w="7106" w:type="dxa"/>
            <w:gridSpan w:val="2"/>
            <w:shd w:val="clear" w:color="auto" w:fill="auto"/>
          </w:tcPr>
          <w:p w14:paraId="34266D89" w14:textId="0A438BBE" w:rsidR="00471501" w:rsidRDefault="006A659D" w:rsidP="0006703D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N/A</w:t>
            </w:r>
          </w:p>
        </w:tc>
      </w:tr>
      <w:tr w:rsidR="002E5EAE" w:rsidRPr="009733B7" w14:paraId="2A600700" w14:textId="77777777" w:rsidTr="008A3291">
        <w:trPr>
          <w:trHeight w:val="412"/>
        </w:trPr>
        <w:tc>
          <w:tcPr>
            <w:tcW w:w="2843" w:type="dxa"/>
            <w:shd w:val="clear" w:color="auto" w:fill="auto"/>
          </w:tcPr>
          <w:p w14:paraId="255F4FE7" w14:textId="1DAE22F6" w:rsidR="002E5EAE" w:rsidRPr="009733B7" w:rsidRDefault="008A3291" w:rsidP="008A3291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Názov ž</w:t>
            </w:r>
            <w:r w:rsidR="002E5EAE">
              <w:rPr>
                <w:rFonts w:ascii="Times New Roman" w:eastAsia="Times New Roman" w:hAnsi="Times New Roman" w:cs="Times New Roman"/>
                <w:sz w:val="24"/>
                <w:lang w:eastAsia="sk-SK"/>
              </w:rPr>
              <w:t>iadateľ</w:t>
            </w: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a</w:t>
            </w:r>
            <w:r w:rsidR="00471501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a jeho právna forma</w:t>
            </w:r>
          </w:p>
        </w:tc>
        <w:tc>
          <w:tcPr>
            <w:tcW w:w="7106" w:type="dxa"/>
            <w:gridSpan w:val="2"/>
            <w:shd w:val="clear" w:color="auto" w:fill="auto"/>
          </w:tcPr>
          <w:p w14:paraId="01571CA9" w14:textId="1A7F2EF7" w:rsidR="002E5EAE" w:rsidRDefault="00C33E2F" w:rsidP="009733B7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Ministerstvo investícií, regionálneho rozvoja a informatizácie SR</w:t>
            </w:r>
            <w:r w:rsidR="00B269EA">
              <w:rPr>
                <w:rFonts w:ascii="Times New Roman" w:eastAsia="Times New Roman" w:hAnsi="Times New Roman" w:cs="Times New Roman"/>
                <w:sz w:val="24"/>
                <w:lang w:eastAsia="sk-SK"/>
              </w:rPr>
              <w:t>, ústredný orgán štátnej správy</w:t>
            </w:r>
            <w:r w:rsidR="007046CF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- žiadateľ</w:t>
            </w:r>
          </w:p>
          <w:p w14:paraId="548917B9" w14:textId="3D4696D4" w:rsidR="00ED649E" w:rsidRDefault="00B269EA" w:rsidP="009733B7">
            <w:pPr>
              <w:tabs>
                <w:tab w:val="left" w:pos="1695"/>
              </w:tabs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Národná koalícia pre digitálne zručnosti a povolania SR, záujmové združenie právnických osôb</w:t>
            </w:r>
            <w:r w:rsidR="007046CF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- partner</w:t>
            </w:r>
          </w:p>
        </w:tc>
      </w:tr>
      <w:tr w:rsidR="00471501" w:rsidRPr="009733B7" w14:paraId="0ED210B6" w14:textId="77777777" w:rsidTr="008A3291">
        <w:tc>
          <w:tcPr>
            <w:tcW w:w="2843" w:type="dxa"/>
            <w:shd w:val="clear" w:color="auto" w:fill="B2A1C7"/>
          </w:tcPr>
          <w:p w14:paraId="17FA9E5B" w14:textId="77777777" w:rsidR="002E5EAE" w:rsidRPr="009733B7" w:rsidRDefault="002E5EAE" w:rsidP="002E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Kontrolná otázka</w:t>
            </w:r>
          </w:p>
        </w:tc>
        <w:tc>
          <w:tcPr>
            <w:tcW w:w="1043" w:type="dxa"/>
            <w:shd w:val="clear" w:color="auto" w:fill="B2A1C7"/>
          </w:tcPr>
          <w:p w14:paraId="0499BE69" w14:textId="77777777" w:rsidR="002E5EAE" w:rsidRPr="009733B7" w:rsidRDefault="002E5EAE" w:rsidP="002E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A/N/NA</w:t>
            </w:r>
          </w:p>
        </w:tc>
        <w:tc>
          <w:tcPr>
            <w:tcW w:w="6063" w:type="dxa"/>
            <w:shd w:val="clear" w:color="auto" w:fill="B2A1C7"/>
          </w:tcPr>
          <w:p w14:paraId="192A8236" w14:textId="77777777" w:rsidR="002E5EAE" w:rsidRPr="009733B7" w:rsidRDefault="002E5EAE" w:rsidP="002E5EA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Bližšia špecifikácia odpovede</w:t>
            </w:r>
          </w:p>
        </w:tc>
      </w:tr>
      <w:tr w:rsidR="002E5EAE" w:rsidRPr="009733B7" w14:paraId="100761C6" w14:textId="77777777" w:rsidTr="00462082">
        <w:tc>
          <w:tcPr>
            <w:tcW w:w="9949" w:type="dxa"/>
            <w:gridSpan w:val="3"/>
            <w:shd w:val="clear" w:color="auto" w:fill="auto"/>
          </w:tcPr>
          <w:p w14:paraId="2BD7C759" w14:textId="77777777" w:rsidR="002E5EAE" w:rsidRPr="009733B7" w:rsidRDefault="002E5EAE" w:rsidP="002E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471501" w:rsidRPr="009733B7" w14:paraId="0D815F89" w14:textId="77777777" w:rsidTr="008A3291">
        <w:tc>
          <w:tcPr>
            <w:tcW w:w="2843" w:type="dxa"/>
            <w:shd w:val="clear" w:color="auto" w:fill="E5DFEC"/>
          </w:tcPr>
          <w:p w14:paraId="063EA480" w14:textId="4EC2F9DE" w:rsidR="002E5EAE" w:rsidRPr="009733B7" w:rsidRDefault="002E5EAE" w:rsidP="007B35A5">
            <w:pPr>
              <w:ind w:left="248" w:hanging="248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>1. Je možné aktivity</w:t>
            </w:r>
            <w:r w:rsidR="00471501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projektu</w:t>
            </w:r>
            <w:r w:rsidR="005275F0">
              <w:rPr>
                <w:rFonts w:ascii="Times New Roman" w:eastAsia="Times New Roman" w:hAnsi="Times New Roman" w:cs="Times New Roman"/>
                <w:sz w:val="24"/>
                <w:lang w:eastAsia="sk-SK"/>
              </w:rPr>
              <w:t>,</w:t>
            </w: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</w:t>
            </w:r>
            <w:r w:rsidR="005275F0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alebo činnosti </w:t>
            </w:r>
            <w:r w:rsidR="007B35A5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podporené projektom, ktoré žiadateľ vykonáva  alebo plánuje vykonávať </w:t>
            </w: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>kvalifikovať ako činnosti  „nehospodárskeho“ charakteru v zmysle pravidiel štátnej pomoci?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lang w:eastAsia="sk-SK"/>
              </w:rPr>
              <w:footnoteReference w:id="1"/>
            </w:r>
            <w:r w:rsidR="00471501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</w:t>
            </w:r>
            <w:r w:rsidR="00471501">
              <w:rPr>
                <w:rStyle w:val="FootnoteReference"/>
                <w:rFonts w:ascii="Times New Roman" w:eastAsia="Times New Roman" w:hAnsi="Times New Roman" w:cs="Times New Roman"/>
                <w:sz w:val="24"/>
                <w:lang w:eastAsia="sk-SK"/>
              </w:rPr>
              <w:footnoteReference w:id="2"/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sk-SK"/>
            </w:rPr>
            <w:id w:val="230592265"/>
            <w:placeholder>
              <w:docPart w:val="968AD790684745E59EB7744075C7B614"/>
            </w:placeholder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43" w:type="dxa"/>
              </w:tcPr>
              <w:p w14:paraId="2C39857D" w14:textId="186AD5AE" w:rsidR="002E5EAE" w:rsidRPr="009733B7" w:rsidRDefault="00C33E2F" w:rsidP="002E5EAE">
                <w:pPr>
                  <w:rPr>
                    <w:rFonts w:ascii="Times New Roman" w:eastAsia="Times New Roman" w:hAnsi="Times New Roman" w:cs="Times New Roman"/>
                    <w:sz w:val="24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lang w:eastAsia="sk-SK"/>
                  </w:rPr>
                  <w:t>áno</w:t>
                </w:r>
              </w:p>
            </w:tc>
          </w:sdtContent>
        </w:sdt>
        <w:tc>
          <w:tcPr>
            <w:tcW w:w="6063" w:type="dxa"/>
          </w:tcPr>
          <w:p w14:paraId="057E2975" w14:textId="61DDFB35" w:rsidR="00C43335" w:rsidRPr="00C43335" w:rsidRDefault="00C43335" w:rsidP="00C4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 xml:space="preserve">Prijímateľom projektu je </w:t>
            </w:r>
            <w:r w:rsidRPr="00C433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  <w:bdr w:val="nil"/>
              </w:rPr>
              <w:t>MIRRI SR</w:t>
            </w: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>. V zmysle § 10 zákona č. 575/2001 Z. z. o organizácii činnosti vlády a organizácii ústrednej štátnej správy v znení neskorších predpisov je MIRRI SR ústredným orgánom štátnej správy pre oblasť informatizácie spoločnosti, zabezpečuje centrálne riadenie informatizácie spoločnosti a tvorbu politiky jednotného digitálneho trhu, centrálnu architektúru integrovaného informačného systému verejnej správy a koordináciu plnenia úloh v oblasti informatizácie spoločnosti. V zmysle štatútu ministerstva, MIRRI SR okrem iného:</w:t>
            </w:r>
          </w:p>
          <w:p w14:paraId="5409210E" w14:textId="77777777" w:rsidR="00C43335" w:rsidRPr="00C43335" w:rsidRDefault="00C43335" w:rsidP="00C43335">
            <w:pPr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vypracováva politiku jednotného digitálneho trhu a koordinuje implementáciu európskej digitálnej stratégie, ako aj inovatívnych a </w:t>
            </w:r>
            <w:proofErr w:type="spellStart"/>
            <w:r w:rsidRPr="00C43335">
              <w:rPr>
                <w:rFonts w:ascii="Times New Roman" w:hAnsi="Times New Roman" w:cs="Times New Roman"/>
                <w:sz w:val="24"/>
                <w:szCs w:val="24"/>
              </w:rPr>
              <w:t>disruptívnych</w:t>
            </w:r>
            <w:proofErr w:type="spellEnd"/>
            <w:r w:rsidRPr="00C43335">
              <w:rPr>
                <w:rFonts w:ascii="Times New Roman" w:hAnsi="Times New Roman" w:cs="Times New Roman"/>
                <w:sz w:val="24"/>
                <w:szCs w:val="24"/>
              </w:rPr>
              <w:t xml:space="preserve"> technológií,</w:t>
            </w:r>
          </w:p>
          <w:p w14:paraId="7D45EEB9" w14:textId="77777777" w:rsidR="00C43335" w:rsidRPr="00C43335" w:rsidRDefault="00C43335" w:rsidP="00C43335">
            <w:pPr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ab/>
              <w:t>vypracováva a implementuje národné stratégie pre jednotný digitálny trh a digitálnu</w:t>
            </w:r>
          </w:p>
          <w:p w14:paraId="7EE42AD6" w14:textId="77777777" w:rsidR="00C43335" w:rsidRPr="00C43335" w:rsidRDefault="00C43335" w:rsidP="00C43335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>transformáciu, vrátane opatrení na zlepšenie výkonnostného postavenia Slovenskej republiky v kľúčových medzinárodných indikátoroch,</w:t>
            </w:r>
          </w:p>
          <w:p w14:paraId="124C48DC" w14:textId="77777777" w:rsidR="00C43335" w:rsidRPr="00C43335" w:rsidRDefault="00C43335" w:rsidP="00C43335">
            <w:pPr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ab/>
              <w:t>pripravuje, koordinuje a implementuje politiku digitálnej ekonomiky a spoločnosti,</w:t>
            </w:r>
          </w:p>
          <w:p w14:paraId="1393CFCE" w14:textId="77777777" w:rsidR="00C43335" w:rsidRPr="00C43335" w:rsidRDefault="00C43335" w:rsidP="00C43335">
            <w:pPr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ab/>
              <w:t>koordinuje tvorbu politík a opatrení v oblasti zmierňovania negatívnych dopadov technológii a digitalizácie na spoločnosť,</w:t>
            </w:r>
          </w:p>
          <w:p w14:paraId="2897C7F0" w14:textId="77777777" w:rsidR="00C43335" w:rsidRPr="00C43335" w:rsidRDefault="00C43335" w:rsidP="00C43335">
            <w:pPr>
              <w:ind w:left="426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43335">
              <w:rPr>
                <w:rFonts w:ascii="Times New Roman" w:hAnsi="Times New Roman" w:cs="Times New Roman"/>
                <w:sz w:val="24"/>
                <w:szCs w:val="24"/>
              </w:rPr>
              <w:tab/>
              <w:t>koordinuje plnenie úloh v oblasti informatizácie spoločnosti a politiky jednotného digitálneho trhu, analyzuje a hodnotí dosahované výsledky a navrhuje opatrenia na riešenie aktuálnych otázok.</w:t>
            </w:r>
          </w:p>
          <w:p w14:paraId="2C2E40F1" w14:textId="77777777" w:rsidR="00C43335" w:rsidRDefault="00C43335" w:rsidP="00C43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265B387F" w14:textId="5D89E6DA" w:rsidR="006A659D" w:rsidRPr="006A659D" w:rsidRDefault="00B0307D" w:rsidP="00C43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  <w:r w:rsidR="006A659D"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ieľom projektu je vznik platformy – informačného systému verejnej správy, ktorého správcom bude Ministerstvo investícií, regionálneho rozvoja a informatizácie SR (ďalej len “MIRRI SR”), ktoré je zároveň prijímateľom finančných prostriedkov. Podľa </w:t>
            </w:r>
            <w:proofErr w:type="spellStart"/>
            <w:r w:rsidR="006A659D"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únijného</w:t>
            </w:r>
            <w:proofErr w:type="spellEnd"/>
            <w:r w:rsidR="006A659D"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práva aktivity súvisiace s výkonom verejnej moci sú </w:t>
            </w:r>
            <w:r w:rsidR="006A659D"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považované za aktivity nehospodárskeho charakteru. V tejto súvislosti uvádzame, že výsledkom projektu bude </w:t>
            </w:r>
            <w:r w:rsidR="006A659D" w:rsidRPr="00B0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informačný systém verejnej správy, ktorý bude vytvorený v súlade so zákonom č. 305/2013 Z. z. o elektronickej podobe výkonu pôsobnosti orgánov verejnej moci a o zmene a doplnení niektorých zákonov (zákon o e-</w:t>
            </w:r>
            <w:proofErr w:type="spellStart"/>
            <w:r w:rsidR="006A659D" w:rsidRPr="00B0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Governmente</w:t>
            </w:r>
            <w:proofErr w:type="spellEnd"/>
            <w:r w:rsidR="006A659D" w:rsidRPr="00B03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), a ktorého vznik, prevádzka a ďalší rozvoj sa budú riadiť zákonom č. 95/2019 Z. z. o informačných technológiách vo verejnej správe a o zmene a doplnení niektorých zákonov. MIRRI SR ako prijímateľ projektu bude zároveň správcom predmetného informačného systému verejnej správy</w:t>
            </w:r>
            <w:r w:rsidR="006A659D"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pričom podľa § 2 ods. (4) Informačným systémom verejnej správy je informačný systém v pôsobnosti správcu podporujúci služby verejnej správy, služby vo verejnom záujme alebo verejné služby. </w:t>
            </w:r>
            <w:r w:rsidR="00424884"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MIRRI SR</w:t>
            </w:r>
            <w:r w:rsidR="004E5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plánuje</w:t>
            </w:r>
            <w:r w:rsidR="004248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A659D" w:rsidRPr="004E5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súlade</w:t>
            </w:r>
            <w:r w:rsidR="00FB110F" w:rsidRPr="004E5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 zákonom č. 95/2019 prevádzkovateľom tohto informačného systému</w:t>
            </w:r>
            <w:r w:rsidR="004E5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určiť Národnú koalíciu </w:t>
            </w:r>
            <w:r w:rsidR="004E5F90" w:rsidRPr="00C43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 digitálne zručnosti a povolania Slovenskej republiky</w:t>
            </w:r>
            <w:r w:rsidR="00FB110F" w:rsidRPr="004E5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="006A659D" w:rsidRPr="004E5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to na základe určenia správcu systému (MIRRI SR) v súlade s § 2 ods. (6) vyššie uvedeného zákona.</w:t>
            </w:r>
          </w:p>
          <w:p w14:paraId="1493363B" w14:textId="77777777" w:rsidR="006A659D" w:rsidRPr="006A659D" w:rsidRDefault="006A659D" w:rsidP="00C43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Ďalej vo vzťahu k danému projektu je potrebné definovať, nasledovné skutočnosti:</w:t>
            </w:r>
          </w:p>
          <w:p w14:paraId="6E9443F5" w14:textId="1CF13C55" w:rsidR="006A659D" w:rsidRPr="006A659D" w:rsidRDefault="006A659D" w:rsidP="00C43335">
            <w:pPr>
              <w:pStyle w:val="ListParagraph"/>
              <w:numPr>
                <w:ilvl w:val="0"/>
                <w:numId w:val="2"/>
              </w:numPr>
              <w:ind w:left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Primárnym cieľom informačného systému verejnej správy, ktorý vznikne vďaka projektu je realizovať testovanie a zisťovanie úrovne digitálnych zručností cieľových skupín projektu a na základe toho adaptovať a realizovať politiky v oblasti informatizácie spoločnosti a tvorby politiky jednotného digitálneho trhu, za ktoré v zmysle § 10 ods. (d) zákona č. 575/2001 Z. z. o organizácii činnosti vlády a organizácii ústrednej štátnej správy zodpovedá MIRRI SR. </w:t>
            </w:r>
          </w:p>
          <w:p w14:paraId="48FFF5A1" w14:textId="6DA457ED" w:rsidR="006A659D" w:rsidRPr="006A659D" w:rsidRDefault="006A659D" w:rsidP="00C43335">
            <w:pPr>
              <w:pStyle w:val="ListParagraph"/>
              <w:numPr>
                <w:ilvl w:val="0"/>
                <w:numId w:val="2"/>
              </w:numPr>
              <w:ind w:left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Vytvorený informačný systém verejnej správy zároveň umožní bezplatný prístup k vzdelávaciemu obsahu a vzdelávacím kurzom tretích strán na základe princípu nediskriminácie.</w:t>
            </w:r>
          </w:p>
          <w:p w14:paraId="1E7F036C" w14:textId="54CE1123" w:rsidR="006A659D" w:rsidRPr="006A659D" w:rsidRDefault="006A659D" w:rsidP="00C43335">
            <w:pPr>
              <w:pStyle w:val="ListParagraph"/>
              <w:numPr>
                <w:ilvl w:val="0"/>
                <w:numId w:val="2"/>
              </w:numPr>
              <w:ind w:left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Cieľovou skupinou projektu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výlučne občania SR a v prípade ak sa to z hľadiska súladu s pravidlami v oblasti štátnej pomoci ukáže ako potrebné, je možné prístup k samotným funkcionalitám obmedziť na IP adresy lokalizované na území Slovenskej republiky, prípadne inými vhodnými softvérovými alebo technickými prostriedkami.</w:t>
            </w:r>
          </w:p>
          <w:p w14:paraId="09B30939" w14:textId="196AAADA" w:rsidR="006A659D" w:rsidRPr="006A659D" w:rsidRDefault="006A659D" w:rsidP="00C43335">
            <w:pPr>
              <w:pStyle w:val="ListParagraph"/>
              <w:numPr>
                <w:ilvl w:val="0"/>
                <w:numId w:val="2"/>
              </w:numPr>
              <w:ind w:left="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Informačný systém bude prostredníctvom otvoreného zdrojového kódu poskytnutý na použitie akýmkoľvek tretím stranám za dodržania pravidiel EUPL. Informačný systém nebude využívaný na komerčné účely.</w:t>
            </w:r>
          </w:p>
          <w:p w14:paraId="34759205" w14:textId="77777777" w:rsidR="006A659D" w:rsidRPr="006A659D" w:rsidRDefault="006A659D" w:rsidP="00C43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D6F9A24" w14:textId="77777777" w:rsidR="006A659D" w:rsidRPr="006A659D" w:rsidRDefault="006A659D" w:rsidP="00C43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 pohľadu preukázania súladu s rozhodnutím Komisie SA.34402 – 2015/C (ex 2015/NN) pre podnik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Hochschul-Informations-System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GmbH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resp. s rozsudkom súdneho dvora v prípade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Compass-Datenbank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GmbH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sme toho názoru, že vyššie uvedené informácie preukazujú, že ide o nehospodársku činnosť „zber údajov, ktoré sa použijú na verejné účely” a zároveň chceme poukázať na podstatný rozdiel oproti rozhodnutiu SA.34402 a Rozsudku C-138/11, a teda </w:t>
            </w:r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že správcom a “majiteľom” informačného systému verejnej správy, ktorý vznikne v rámci projektu bude MIRRI SR ako orgán verejnej moci, ktorý bude tento informačný systém využívať na plnenie svojich úloh v súlade s tzv. kompetenčným zákonom. Riešenie je postavené na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open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source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Zdrojový kód, vytvorený počas zhotovenia nového ISVS, bude otvorený v súlade s licenčnými podmienkami verejnej softvérovej licencie Európskej únie podľa osobitného predpisu  a to v rozsahu , v akom zverejnenie tohto kódu nemôže byť zneužité na činnosť smerujúcu k narušeniu alebo k zničeniu informačného systému. Keďže riešenie bude postavené na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open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source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SW (preferovaný je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Moodle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), ktorý môže byť licencovaný na základe zlučiteľnej licencie (napr. GNU General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Public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License</w:t>
            </w:r>
            <w:proofErr w:type="spellEnd"/>
            <w:r w:rsidRPr="006A65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(GPL) v. 2, v. 3,), ďalšie rozširovanie alebo poskytovanie sa môže uskutočniť podľa podmienok takejto zlučiteľnej licencie. </w:t>
            </w:r>
          </w:p>
          <w:p w14:paraId="5D792620" w14:textId="77777777" w:rsidR="006A659D" w:rsidRPr="006A659D" w:rsidRDefault="006A659D" w:rsidP="00C43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BB88BAB" w14:textId="2C29301C" w:rsidR="006A659D" w:rsidRPr="00F646FE" w:rsidRDefault="006A659D" w:rsidP="00F64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Zároveň údaje obsiahnuté v databáze nového ISVS budú sprístupnené verejnosti, a to prostredníctvom novej aplikačnej služby, ktorá umožn</w:t>
            </w:r>
            <w:r w:rsidR="00446A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</w:t>
            </w:r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zverejňovanie výstupných údajov v otvorenom strojovo čitateľnom formáte (napr. formát XML (štandard XML 1.0), JSON (štandard ECMA-404), CSV). Zároveň riešenie bude umožňovať implementáciu GDPR smernice, najmä však v oblastiach: súhlas so spracovaním osobných údajov v zmysle všetkých účelov a spôsobov, s ktorými sa bude s dátami narábať počas celého ich životného cyklu a to aj vrátane spracovania na štatistické použitie pri plánovaní politík, zmazanie dát po odvolaní súhlasu a obmedzenie spracovania. V tomto ohľade máme teda za to, že projekt je plne v súlade s rozhodnutím SA.34402, ktoré definuje činnosť spočívajúcu v správe a sprístupňovaní verejnosti takto zhromaždených údajov, a to buď prostredníctvom jednoduchého nahliadnutia, alebo poskytnutia výpisu v súlade s uplatniteľnými vnútroštátnymi predpismi za nehospodársku činnosť.</w:t>
            </w:r>
          </w:p>
          <w:p w14:paraId="75E2B08A" w14:textId="77777777" w:rsidR="007C7E9F" w:rsidRPr="00F646FE" w:rsidRDefault="007C7E9F" w:rsidP="00F64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5C2CEB9" w14:textId="090F72F4" w:rsidR="002E5EAE" w:rsidRPr="00747279" w:rsidRDefault="00C43335" w:rsidP="00F64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projekte bude s MIRRI SR ako </w:t>
            </w:r>
            <w:r w:rsidR="00ED649E"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partner projektu</w:t>
            </w:r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spolupracovať Národná koalícia pre digitálne zručnosti a povolania Slovenskej republiky. Národná koalícia pre digitálne zručnosti a povolania Slovenskej republiky je záujmové združenie právnických osôb vytvorené Ministerstvom financií SR a IT Asociáciou Slovenska. Národná koalícia pre digitálne zručnosti a povolania Slovenskej republiky (https://ives.minv.sk/rez/registre/pages/detailzzpo.aspx?id=224997) vzniklo dňa 9.12.2019 predovšetkým na podporu a zabezpečovanie činnosti a aktivít iniciatívy Digitálnej koalície, pre posilnenie digitálnych zručností u všetkých skupín obyvateľstva (široká verejnosť, podnikateľský sektor, verejná sprava a samospráva) a pre podporu a zabezpečovanie činnosti a aktivít iniciatívy Európskej komisie s názvom </w:t>
            </w:r>
            <w:proofErr w:type="spellStart"/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Digital</w:t>
            </w:r>
            <w:proofErr w:type="spellEnd"/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Skills</w:t>
            </w:r>
            <w:proofErr w:type="spellEnd"/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Jobs</w:t>
            </w:r>
            <w:proofErr w:type="spellEnd"/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Coalition</w:t>
            </w:r>
            <w:proofErr w:type="spellEnd"/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(https://ec.europa.eu/digital-single-market/en/digital-skills-and-</w:t>
            </w:r>
            <w:r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jobs-coalition) na Slovensku. Členovia, ktorí sa na podpore Digitálnej koalície podieľajú, sú: IT Asociácia Slovenska, Ministerstvo financií SR, Ministerstvo investícií, regionálneho rozvoja a informatizácie SR, Ministerstvo školstva, vedy, výskumu a športu SR.  </w:t>
            </w:r>
            <w:r w:rsidR="00ED649E" w:rsidRPr="00F646F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účasti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Národnej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koalície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nebudú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vyplývať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výhody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pre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Národná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koalíciu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ani je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členov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Z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pohľadu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konfliktu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záujmov</w:t>
            </w:r>
            <w:proofErr w:type="spellEnd"/>
            <w:r w:rsidR="00ED649E" w:rsidRPr="00F6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</w:t>
            </w:r>
            <w:r w:rsidR="00ED649E" w:rsidRPr="00F646FE">
              <w:rPr>
                <w:rFonts w:ascii="Times New Roman" w:hAnsi="Times New Roman" w:cs="Times New Roman"/>
                <w:sz w:val="24"/>
                <w:szCs w:val="24"/>
              </w:rPr>
              <w:t>re vylúčenie akýchkoľvek pochybností, základným opatrením bude vylúčenie zamestnancov a štatutárov Národnej koalície, ktorí zároveň pôsobia v rámci ITAS, z procesu prípravy alebo realizácie verejného obstarávania. Verejné obstarávanie by tak bolo pripravené zamestnancom Národnej koalície bez väzby na ITAS a schválené osobou oprávnenou konať v mene združenia, ktorá nie je zároveň štatutárom alebo zamestnancom ITAS (GR Sekcie digitálnej agendy MIRRI SR).</w:t>
            </w:r>
            <w:r w:rsidR="00ED649E">
              <w:t xml:space="preserve"> </w:t>
            </w:r>
          </w:p>
        </w:tc>
      </w:tr>
      <w:tr w:rsidR="002E5EAE" w:rsidRPr="009733B7" w14:paraId="62035B2E" w14:textId="77777777" w:rsidTr="00462082">
        <w:tc>
          <w:tcPr>
            <w:tcW w:w="9949" w:type="dxa"/>
            <w:gridSpan w:val="3"/>
            <w:shd w:val="clear" w:color="auto" w:fill="auto"/>
          </w:tcPr>
          <w:p w14:paraId="373AB375" w14:textId="02708599" w:rsidR="002E5EAE" w:rsidRPr="009733B7" w:rsidRDefault="002E5EAE" w:rsidP="002E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2E5EAE" w:rsidRPr="009733B7" w14:paraId="36C0B6CD" w14:textId="77777777" w:rsidTr="008A3291">
        <w:tc>
          <w:tcPr>
            <w:tcW w:w="2843" w:type="dxa"/>
            <w:shd w:val="clear" w:color="auto" w:fill="E5DFEC"/>
          </w:tcPr>
          <w:p w14:paraId="35CDDF16" w14:textId="6A4B3EC1" w:rsidR="002E5EAE" w:rsidRPr="009733B7" w:rsidRDefault="002E5EAE">
            <w:pPr>
              <w:ind w:left="262" w:hanging="262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2. Je možné oprávnené aktivity </w:t>
            </w:r>
            <w:r w:rsidR="001444E0">
              <w:rPr>
                <w:rFonts w:ascii="Times New Roman" w:eastAsia="Times New Roman" w:hAnsi="Times New Roman" w:cs="Times New Roman"/>
                <w:sz w:val="24"/>
                <w:lang w:eastAsia="sk-SK"/>
              </w:rPr>
              <w:t>projektu,</w:t>
            </w:r>
            <w:r w:rsidR="001444E0"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</w:t>
            </w:r>
            <w:r w:rsidR="001444E0">
              <w:rPr>
                <w:rFonts w:ascii="Times New Roman" w:eastAsia="Times New Roman" w:hAnsi="Times New Roman" w:cs="Times New Roman"/>
                <w:sz w:val="24"/>
                <w:lang w:eastAsia="sk-SK"/>
              </w:rPr>
              <w:t>alebo činnosti podporené projektom, ktoré žiadateľ vykonáva  alebo plánuje vykonávať</w:t>
            </w:r>
            <w:r w:rsidR="001444E0" w:rsidRPr="009733B7" w:rsidDel="001444E0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</w:t>
            </w: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>kvalifikovať ako „hospodárske</w:t>
            </w:r>
            <w:r w:rsidR="00F672A5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činnosti</w:t>
            </w:r>
            <w:r w:rsidR="00F672A5">
              <w:rPr>
                <w:rFonts w:ascii="Times New Roman" w:eastAsia="Times New Roman" w:hAnsi="Times New Roman" w:cs="Times New Roman"/>
                <w:sz w:val="24"/>
                <w:vertAlign w:val="superscript"/>
                <w:lang w:eastAsia="sk-SK"/>
              </w:rPr>
              <w:t>3</w:t>
            </w: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>“ v zmysle pravidiel štátnej pomoci?</w:t>
            </w:r>
            <w:r w:rsidR="00471501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sk-SK"/>
            </w:rPr>
            <w:id w:val="1708140650"/>
            <w:placeholder>
              <w:docPart w:val="059D6CB2933C4B8BBAE98AD595E7E1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43" w:type="dxa"/>
              </w:tcPr>
              <w:p w14:paraId="35F40DA2" w14:textId="7980B02C" w:rsidR="002E5EAE" w:rsidRPr="009733B7" w:rsidRDefault="00E91521" w:rsidP="002E5EAE">
                <w:pPr>
                  <w:rPr>
                    <w:rFonts w:ascii="Times New Roman" w:eastAsia="Times New Roman" w:hAnsi="Times New Roman" w:cs="Times New Roman"/>
                    <w:sz w:val="24"/>
                    <w:lang w:eastAsia="sk-SK"/>
                  </w:rPr>
                </w:pPr>
                <w:r w:rsidRPr="008B2ED1">
                  <w:rPr>
                    <w:rStyle w:val="PlaceholderText"/>
                  </w:rPr>
                  <w:t>Vyberte položku.</w:t>
                </w:r>
              </w:p>
            </w:tc>
          </w:sdtContent>
        </w:sdt>
        <w:tc>
          <w:tcPr>
            <w:tcW w:w="6063" w:type="dxa"/>
          </w:tcPr>
          <w:p w14:paraId="6EBBD3FE" w14:textId="31685A6B" w:rsidR="002E5EAE" w:rsidRPr="009733B7" w:rsidRDefault="006A659D" w:rsidP="002E5EAE">
            <w:pPr>
              <w:rPr>
                <w:rFonts w:ascii="Times New Roman" w:eastAsia="Times New Roman" w:hAnsi="Times New Roman" w:cs="Times New Roman"/>
                <w:i/>
                <w:sz w:val="24"/>
                <w:lang w:eastAsia="sk-SK"/>
              </w:rPr>
            </w:pPr>
            <w:r w:rsidRPr="0046208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irelevantné</w:t>
            </w:r>
          </w:p>
        </w:tc>
      </w:tr>
      <w:tr w:rsidR="002E5EAE" w:rsidRPr="009733B7" w14:paraId="002BB464" w14:textId="77777777" w:rsidTr="00462082">
        <w:tc>
          <w:tcPr>
            <w:tcW w:w="9949" w:type="dxa"/>
            <w:gridSpan w:val="3"/>
            <w:shd w:val="clear" w:color="auto" w:fill="auto"/>
          </w:tcPr>
          <w:p w14:paraId="1A31B64F" w14:textId="77777777" w:rsidR="002E5EAE" w:rsidRPr="009733B7" w:rsidRDefault="002E5EAE" w:rsidP="002E5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</w:p>
        </w:tc>
      </w:tr>
      <w:tr w:rsidR="007B35A5" w:rsidRPr="009733B7" w14:paraId="4A07DFED" w14:textId="77777777" w:rsidTr="008A3291">
        <w:tc>
          <w:tcPr>
            <w:tcW w:w="2843" w:type="dxa"/>
            <w:shd w:val="clear" w:color="auto" w:fill="E5DFEC"/>
          </w:tcPr>
          <w:p w14:paraId="6710BE82" w14:textId="77777777" w:rsidR="007B35A5" w:rsidRPr="009733B7" w:rsidRDefault="007B35A5" w:rsidP="003433EB">
            <w:pPr>
              <w:ind w:left="276" w:hanging="276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3. Sú splnené všetky kritéria (kumulovane) definované článkom 107 ods. 1 Zmluvy o fungovaní EÚ:  </w:t>
            </w:r>
          </w:p>
          <w:p w14:paraId="0869658F" w14:textId="77777777" w:rsidR="007B35A5" w:rsidRPr="009733B7" w:rsidRDefault="007B35A5" w:rsidP="003433EB">
            <w:pPr>
              <w:ind w:left="276" w:hanging="276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a) prevod verejných zdrojov a </w:t>
            </w:r>
            <w:proofErr w:type="spellStart"/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>pripísateľnosť</w:t>
            </w:r>
            <w:proofErr w:type="spellEnd"/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 štátu,            </w:t>
            </w:r>
          </w:p>
          <w:p w14:paraId="4E69DABE" w14:textId="77777777" w:rsidR="007B35A5" w:rsidRPr="009733B7" w:rsidRDefault="007B35A5" w:rsidP="003433EB">
            <w:pPr>
              <w:ind w:left="276" w:hanging="276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b) ekonomické zvýhodnenie príjemcu pomoci,                             </w:t>
            </w:r>
          </w:p>
          <w:p w14:paraId="4DF982EA" w14:textId="77777777" w:rsidR="007B35A5" w:rsidRPr="009733B7" w:rsidRDefault="007B35A5" w:rsidP="003433EB">
            <w:pPr>
              <w:ind w:left="276" w:hanging="276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c) selektívnosť poskytnutej pomoci,                                           </w:t>
            </w:r>
          </w:p>
          <w:p w14:paraId="78202751" w14:textId="77777777" w:rsidR="007B35A5" w:rsidRPr="009733B7" w:rsidRDefault="007B35A5" w:rsidP="003433EB">
            <w:pPr>
              <w:ind w:left="276" w:hanging="276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d) narušenie hospodárskej súťaže alebo </w:t>
            </w:r>
            <w:r w:rsidRPr="009733B7">
              <w:rPr>
                <w:rFonts w:ascii="Times New Roman" w:eastAsia="Times New Roman" w:hAnsi="Times New Roman" w:cs="Times New Roman"/>
                <w:sz w:val="24"/>
                <w:lang w:eastAsia="sk-SK"/>
              </w:rPr>
              <w:lastRenderedPageBreak/>
              <w:t>hrozba narušenia hospodárskej súťaže a vplyv na vnútorný obchod medzi členskými štátmi?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lang w:eastAsia="sk-SK"/>
            </w:rPr>
            <w:id w:val="1824618095"/>
            <w:placeholder>
              <w:docPart w:val="79D98DAA16E986489BCBFBFA97A728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</w:comboBox>
          </w:sdtPr>
          <w:sdtEndPr/>
          <w:sdtContent>
            <w:tc>
              <w:tcPr>
                <w:tcW w:w="1043" w:type="dxa"/>
              </w:tcPr>
              <w:p w14:paraId="0491463D" w14:textId="77777777" w:rsidR="007B35A5" w:rsidRPr="009733B7" w:rsidRDefault="007B35A5" w:rsidP="003433EB">
                <w:pPr>
                  <w:rPr>
                    <w:rFonts w:ascii="Times New Roman" w:eastAsia="Times New Roman" w:hAnsi="Times New Roman" w:cs="Times New Roman"/>
                    <w:sz w:val="24"/>
                    <w:lang w:eastAsia="sk-SK"/>
                  </w:rPr>
                </w:pPr>
                <w:r w:rsidRPr="008B2ED1">
                  <w:rPr>
                    <w:rStyle w:val="PlaceholderText"/>
                  </w:rPr>
                  <w:t>Vyberte položku.</w:t>
                </w:r>
              </w:p>
            </w:tc>
          </w:sdtContent>
        </w:sdt>
        <w:tc>
          <w:tcPr>
            <w:tcW w:w="6063" w:type="dxa"/>
          </w:tcPr>
          <w:p w14:paraId="434BB267" w14:textId="39E3582B" w:rsidR="007B35A5" w:rsidRPr="009733B7" w:rsidRDefault="006A659D" w:rsidP="0006703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sk-SK"/>
              </w:rPr>
            </w:pPr>
            <w:r w:rsidRPr="0046208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irelevantné</w:t>
            </w:r>
          </w:p>
        </w:tc>
      </w:tr>
      <w:tr w:rsidR="002E5EAE" w:rsidRPr="009733B7" w14:paraId="27EACD61" w14:textId="77777777" w:rsidTr="00462082">
        <w:trPr>
          <w:trHeight w:val="70"/>
        </w:trPr>
        <w:tc>
          <w:tcPr>
            <w:tcW w:w="9949" w:type="dxa"/>
            <w:gridSpan w:val="3"/>
          </w:tcPr>
          <w:p w14:paraId="103C84CD" w14:textId="11FF0637" w:rsidR="002E5EAE" w:rsidRDefault="00FE4031" w:rsidP="002E5EAE">
            <w:pPr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sk-SK"/>
              </w:rPr>
              <w:t>4</w:t>
            </w:r>
            <w:r w:rsidR="00471501">
              <w:rPr>
                <w:rFonts w:ascii="Times New Roman" w:eastAsia="Times New Roman" w:hAnsi="Times New Roman" w:cs="Times New Roman"/>
                <w:sz w:val="24"/>
                <w:lang w:eastAsia="sk-SK"/>
              </w:rPr>
              <w:t xml:space="preserve">. Iné relevantné údaje podľa zváženia žiadateľa: </w:t>
            </w:r>
          </w:p>
          <w:p w14:paraId="778C4D87" w14:textId="77777777" w:rsidR="00AD05B2" w:rsidRDefault="00AD05B2" w:rsidP="002E5EAE">
            <w:pPr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  <w:p w14:paraId="59623728" w14:textId="15BC1AA9" w:rsidR="00471501" w:rsidRPr="009733B7" w:rsidRDefault="00471501" w:rsidP="00ED649E">
            <w:pPr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2E5EAE" w:rsidRPr="009733B7" w14:paraId="3659844F" w14:textId="1440CCBF" w:rsidTr="008A3291">
        <w:tc>
          <w:tcPr>
            <w:tcW w:w="2843" w:type="dxa"/>
            <w:shd w:val="clear" w:color="auto" w:fill="B2A1C7"/>
          </w:tcPr>
          <w:p w14:paraId="75D5BF87" w14:textId="7C8494F4" w:rsidR="002E5EAE" w:rsidRPr="009733B7" w:rsidRDefault="002E5EAE" w:rsidP="002E5EAE">
            <w:pPr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</w:pPr>
            <w:r w:rsidRPr="009733B7">
              <w:rPr>
                <w:rFonts w:ascii="Times New Roman" w:eastAsia="Times New Roman" w:hAnsi="Times New Roman" w:cs="Times New Roman"/>
                <w:b/>
                <w:sz w:val="24"/>
                <w:lang w:eastAsia="sk-SK"/>
              </w:rPr>
              <w:t>VYHODNOTENIE</w:t>
            </w:r>
          </w:p>
        </w:tc>
        <w:tc>
          <w:tcPr>
            <w:tcW w:w="7106" w:type="dxa"/>
            <w:gridSpan w:val="2"/>
          </w:tcPr>
          <w:sdt>
            <w:sdtPr>
              <w:rPr>
                <w:rFonts w:ascii="Times New Roman" w:eastAsia="Times New Roman" w:hAnsi="Times New Roman" w:cs="Times New Roman"/>
                <w:sz w:val="24"/>
                <w:lang w:eastAsia="sk-SK"/>
              </w:rPr>
              <w:alias w:val="autor"/>
              <w:tag w:val="autor"/>
              <w:id w:val="-1555384213"/>
              <w:placeholder>
                <w:docPart w:val="53D380C1ABAF4EDF80108A62CF3E1E69"/>
              </w:placeholder>
              <w:comboBox>
                <w:listItem w:value="Vyberte položku."/>
                <w:listItem w:displayText="áno je štátna pomoc" w:value="áno je štátna pomoc"/>
                <w:listItem w:displayText="nie je štátna pomoc" w:value="nie je štátna pomoc"/>
              </w:comboBox>
            </w:sdtPr>
            <w:sdtEndPr/>
            <w:sdtContent>
              <w:p w14:paraId="29C4E582" w14:textId="5C1B588A" w:rsidR="00056E46" w:rsidRDefault="006A659D" w:rsidP="00056E46">
                <w:pPr>
                  <w:rPr>
                    <w:rFonts w:ascii="Times New Roman" w:eastAsia="Times New Roman" w:hAnsi="Times New Roman" w:cs="Times New Roman"/>
                    <w:sz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lang w:eastAsia="sk-SK"/>
                  </w:rPr>
                  <w:t>nie je štátna pomoc</w:t>
                </w:r>
              </w:p>
            </w:sdtContent>
          </w:sdt>
          <w:p w14:paraId="24218E36" w14:textId="75749338" w:rsidR="002E5EAE" w:rsidRPr="009733B7" w:rsidRDefault="002E5EAE">
            <w:pPr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2E5EAE" w:rsidRPr="009733B7" w14:paraId="5CDEE954" w14:textId="77777777" w:rsidTr="00462082">
        <w:tc>
          <w:tcPr>
            <w:tcW w:w="9949" w:type="dxa"/>
            <w:gridSpan w:val="3"/>
          </w:tcPr>
          <w:p w14:paraId="20207E2D" w14:textId="77777777" w:rsidR="002E5EAE" w:rsidRPr="00B0307D" w:rsidRDefault="002E5EAE" w:rsidP="002E5EAE">
            <w:pPr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  <w:p w14:paraId="2335AA9C" w14:textId="77777777" w:rsidR="006A659D" w:rsidRPr="009733B7" w:rsidRDefault="006A659D" w:rsidP="00AD05B2">
            <w:pPr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</w:tbl>
    <w:p w14:paraId="4F2EE4D7" w14:textId="77777777" w:rsidR="008A3291" w:rsidRDefault="008A3291" w:rsidP="008A3291">
      <w:pPr>
        <w:rPr>
          <w:rFonts w:ascii="Times New Roman" w:hAnsi="Times New Roman" w:cs="Times New Roman"/>
        </w:rPr>
      </w:pPr>
    </w:p>
    <w:p w14:paraId="57C5E17D" w14:textId="15D2DACC" w:rsidR="008A3291" w:rsidRPr="008A3291" w:rsidRDefault="008A3291" w:rsidP="008A3291">
      <w:pPr>
        <w:rPr>
          <w:rFonts w:ascii="Times New Roman" w:hAnsi="Times New Roman" w:cs="Times New Roman"/>
        </w:rPr>
      </w:pPr>
      <w:r w:rsidRPr="008A3291">
        <w:rPr>
          <w:rFonts w:ascii="Times New Roman" w:hAnsi="Times New Roman" w:cs="Times New Roman"/>
        </w:rPr>
        <w:t>Meno Priezvisko</w:t>
      </w:r>
      <w:r>
        <w:rPr>
          <w:rFonts w:ascii="Times New Roman" w:hAnsi="Times New Roman" w:cs="Times New Roman"/>
        </w:rPr>
        <w:t xml:space="preserve"> štatutárneho zástupcu (splnomocnenej osoby)</w:t>
      </w:r>
      <w:r w:rsidRPr="008A3291">
        <w:rPr>
          <w:rFonts w:ascii="Times New Roman" w:hAnsi="Times New Roman" w:cs="Times New Roman"/>
        </w:rPr>
        <w:t>, Dátum:</w:t>
      </w:r>
    </w:p>
    <w:p w14:paraId="000B80F4" w14:textId="77777777" w:rsidR="008A3291" w:rsidRDefault="008A3291" w:rsidP="00815BC7"/>
    <w:p w14:paraId="0571EA94" w14:textId="4E3C72C3" w:rsidR="008A3291" w:rsidRDefault="008A3291" w:rsidP="00815BC7">
      <w:r>
        <w:t>....................................................</w:t>
      </w:r>
    </w:p>
    <w:p w14:paraId="4C2F50D2" w14:textId="77777777" w:rsidR="008A3291" w:rsidRDefault="008A3291" w:rsidP="00815BC7"/>
    <w:p w14:paraId="6B31BC21" w14:textId="220E8A02" w:rsidR="008A3291" w:rsidRPr="008A3291" w:rsidRDefault="008A3291" w:rsidP="00815BC7">
      <w:r w:rsidRPr="008A3291">
        <w:t>...................................................</w:t>
      </w:r>
    </w:p>
    <w:p w14:paraId="195768AD" w14:textId="5E6531BB" w:rsidR="008A3291" w:rsidRDefault="008A3291" w:rsidP="00815BC7">
      <w:r>
        <w:rPr>
          <w:rFonts w:ascii="Times New Roman" w:hAnsi="Times New Roman" w:cs="Times New Roman"/>
        </w:rPr>
        <w:t>podpis</w:t>
      </w:r>
    </w:p>
    <w:sectPr w:rsidR="008A3291" w:rsidSect="008A3291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9833" w14:textId="77777777" w:rsidR="00AD1F27" w:rsidRDefault="00AD1F27" w:rsidP="009733B7">
      <w:pPr>
        <w:spacing w:after="0" w:line="240" w:lineRule="auto"/>
      </w:pPr>
      <w:r>
        <w:separator/>
      </w:r>
    </w:p>
  </w:endnote>
  <w:endnote w:type="continuationSeparator" w:id="0">
    <w:p w14:paraId="470AD82F" w14:textId="77777777" w:rsidR="00AD1F27" w:rsidRDefault="00AD1F27" w:rsidP="0097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58D1" w14:textId="77777777" w:rsidR="00AD1F27" w:rsidRDefault="00AD1F27" w:rsidP="009733B7">
      <w:pPr>
        <w:spacing w:after="0" w:line="240" w:lineRule="auto"/>
      </w:pPr>
      <w:r>
        <w:separator/>
      </w:r>
    </w:p>
  </w:footnote>
  <w:footnote w:type="continuationSeparator" w:id="0">
    <w:p w14:paraId="3A010D3C" w14:textId="77777777" w:rsidR="00AD1F27" w:rsidRDefault="00AD1F27" w:rsidP="009733B7">
      <w:pPr>
        <w:spacing w:after="0" w:line="240" w:lineRule="auto"/>
      </w:pPr>
      <w:r>
        <w:continuationSeparator/>
      </w:r>
    </w:p>
  </w:footnote>
  <w:footnote w:id="1">
    <w:p w14:paraId="7122CA2A" w14:textId="641CFAA6" w:rsidR="002E5EAE" w:rsidRDefault="002E5EAE" w:rsidP="002E5EA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DF714C">
        <w:t xml:space="preserve">Pozri </w:t>
      </w:r>
      <w:r>
        <w:t xml:space="preserve">napr. kapitola 3.6 Systému riadenia európskych štrukturálnych a investičných fondov: </w:t>
      </w:r>
      <w:hyperlink r:id="rId1" w:history="1">
        <w:r w:rsidRPr="00BC6921">
          <w:rPr>
            <w:rStyle w:val="Hyperlink"/>
          </w:rPr>
          <w:t>http://partnerskadohoda.gov.sk/zakladne-dokumenty/</w:t>
        </w:r>
      </w:hyperlink>
      <w:r>
        <w:t xml:space="preserve"> </w:t>
      </w:r>
    </w:p>
  </w:footnote>
  <w:footnote w:id="2">
    <w:p w14:paraId="2D64F034" w14:textId="4343CAFD" w:rsidR="00471501" w:rsidRDefault="00471501" w:rsidP="00E35F03">
      <w:pPr>
        <w:pStyle w:val="FootnoteText"/>
        <w:jc w:val="both"/>
      </w:pPr>
      <w:r w:rsidRPr="008A3291">
        <w:rPr>
          <w:vertAlign w:val="superscript"/>
        </w:rPr>
        <w:footnoteRef/>
      </w:r>
      <w:r>
        <w:t xml:space="preserve"> </w:t>
      </w:r>
      <w:r w:rsidRPr="00462082">
        <w:t>V prípade ak nie je možné jasne a jednoznačne identifikovať</w:t>
      </w:r>
      <w:r w:rsidR="00DF714C">
        <w:t>,</w:t>
      </w:r>
      <w:r w:rsidRPr="00462082">
        <w:t xml:space="preserve"> či charakter oprávnených aktivít projektu predstavuje štátnu pomoc, odporúčame žiadateľovi </w:t>
      </w:r>
      <w:r w:rsidR="00DF714C">
        <w:t>kontaktovať SO OPII.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6B57" w14:textId="39F944DE" w:rsidR="009733B7" w:rsidRDefault="009733B7" w:rsidP="00CD5A54">
    <w:pPr>
      <w:pStyle w:val="Header"/>
      <w:tabs>
        <w:tab w:val="clear" w:pos="4536"/>
        <w:tab w:val="clear" w:pos="9072"/>
        <w:tab w:val="left" w:pos="5580"/>
      </w:tabs>
      <w:rPr>
        <w:rFonts w:ascii="Times New Roman" w:hAnsi="Times New Roman" w:cs="Times New Roman"/>
      </w:rPr>
    </w:pPr>
    <w:r w:rsidRPr="009733B7">
      <w:rPr>
        <w:rFonts w:ascii="Times New Roman" w:hAnsi="Times New Roman" w:cs="Times New Roman"/>
      </w:rPr>
      <w:t xml:space="preserve">Príloha č. </w:t>
    </w:r>
    <w:r w:rsidR="0006703D">
      <w:rPr>
        <w:rFonts w:ascii="Times New Roman" w:hAnsi="Times New Roman" w:cs="Times New Roman"/>
      </w:rPr>
      <w:t>6</w:t>
    </w:r>
    <w:r w:rsidR="00A4118A">
      <w:rPr>
        <w:rFonts w:ascii="Times New Roman" w:hAnsi="Times New Roman" w:cs="Times New Roman"/>
      </w:rPr>
      <w:t xml:space="preserve"> výzvy</w:t>
    </w:r>
    <w:r w:rsidR="00CA30F3">
      <w:rPr>
        <w:rFonts w:ascii="Times New Roman" w:hAnsi="Times New Roman" w:cs="Times New Roman"/>
      </w:rPr>
      <w:t xml:space="preserve"> </w:t>
    </w:r>
    <w:r w:rsidR="004E135C">
      <w:rPr>
        <w:rFonts w:ascii="Times New Roman" w:hAnsi="Times New Roman" w:cs="Times New Roman"/>
      </w:rPr>
      <w:t>-</w:t>
    </w:r>
    <w:r w:rsidR="00CA30F3">
      <w:rPr>
        <w:rFonts w:ascii="Times New Roman" w:hAnsi="Times New Roman" w:cs="Times New Roman"/>
      </w:rPr>
      <w:t xml:space="preserve"> Test štátnej pomoci</w:t>
    </w:r>
    <w:r w:rsidR="00CD5A54">
      <w:rPr>
        <w:rFonts w:ascii="Times New Roman" w:hAnsi="Times New Roman" w:cs="Times New Roman"/>
      </w:rPr>
      <w:tab/>
    </w:r>
  </w:p>
  <w:p w14:paraId="4F23BBAB" w14:textId="28E3637E" w:rsidR="003B0F7A" w:rsidRDefault="003B0F7A">
    <w:pPr>
      <w:pStyle w:val="Header"/>
      <w:rPr>
        <w:rFonts w:ascii="Times New Roman" w:hAnsi="Times New Roman" w:cs="Times New Roman"/>
      </w:rPr>
    </w:pPr>
  </w:p>
  <w:p w14:paraId="00556202" w14:textId="2BB048B3" w:rsidR="003B0F7A" w:rsidRDefault="003B0F7A" w:rsidP="003B0F7A">
    <w:pPr>
      <w:pStyle w:val="Header"/>
      <w:jc w:val="center"/>
    </w:pPr>
    <w:r>
      <w:t xml:space="preserve">   </w:t>
    </w:r>
    <w:r w:rsidRPr="008C0C75">
      <w:rPr>
        <w:noProof/>
        <w:lang w:eastAsia="sk-SK"/>
      </w:rPr>
      <w:drawing>
        <wp:inline distT="0" distB="0" distL="0" distR="0" wp14:anchorId="471A8F99" wp14:editId="6103C2F6">
          <wp:extent cx="3102610" cy="359410"/>
          <wp:effectExtent l="0" t="0" r="2540" b="2540"/>
          <wp:docPr id="7" name="Obrázok 7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873">
      <w:rPr>
        <w:noProof/>
        <w:lang w:eastAsia="sk-SK"/>
      </w:rPr>
      <w:t xml:space="preserve">       </w:t>
    </w:r>
    <w:r w:rsidR="00FD5873">
      <w:rPr>
        <w:rFonts w:ascii="Calibri" w:eastAsia="Calibri" w:hAnsi="Calibri"/>
        <w:noProof/>
        <w:lang w:eastAsia="sk-SK"/>
      </w:rPr>
      <w:drawing>
        <wp:inline distT="0" distB="0" distL="0" distR="0" wp14:anchorId="24E1B3AD" wp14:editId="01B6B39E">
          <wp:extent cx="1420495" cy="323215"/>
          <wp:effectExtent l="0" t="0" r="8255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8AB616" w14:textId="77777777" w:rsidR="009733B7" w:rsidRDefault="00973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5A17AF"/>
    <w:multiLevelType w:val="hybridMultilevel"/>
    <w:tmpl w:val="6DA495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2867"/>
    <w:multiLevelType w:val="hybridMultilevel"/>
    <w:tmpl w:val="720A441A"/>
    <w:lvl w:ilvl="0" w:tplc="041B000F">
      <w:start w:val="1"/>
      <w:numFmt w:val="decimal"/>
      <w:lvlText w:val="%1.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52F8417B"/>
    <w:multiLevelType w:val="hybridMultilevel"/>
    <w:tmpl w:val="BB5062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B7"/>
    <w:rsid w:val="0000056C"/>
    <w:rsid w:val="00002152"/>
    <w:rsid w:val="00031F88"/>
    <w:rsid w:val="00056E46"/>
    <w:rsid w:val="0006703D"/>
    <w:rsid w:val="000806E1"/>
    <w:rsid w:val="00080E33"/>
    <w:rsid w:val="000901A8"/>
    <w:rsid w:val="000D4ADA"/>
    <w:rsid w:val="000E07BA"/>
    <w:rsid w:val="000E4A00"/>
    <w:rsid w:val="00100EED"/>
    <w:rsid w:val="00101DC4"/>
    <w:rsid w:val="001444E0"/>
    <w:rsid w:val="00154A2F"/>
    <w:rsid w:val="00173311"/>
    <w:rsid w:val="001B7A33"/>
    <w:rsid w:val="001C0190"/>
    <w:rsid w:val="00203BF3"/>
    <w:rsid w:val="00206E29"/>
    <w:rsid w:val="00251B28"/>
    <w:rsid w:val="002A06F0"/>
    <w:rsid w:val="002A676A"/>
    <w:rsid w:val="002E1FD8"/>
    <w:rsid w:val="002E5EAE"/>
    <w:rsid w:val="003116D5"/>
    <w:rsid w:val="003655BE"/>
    <w:rsid w:val="00390460"/>
    <w:rsid w:val="00395886"/>
    <w:rsid w:val="00396EDD"/>
    <w:rsid w:val="003A34D8"/>
    <w:rsid w:val="003B0F7A"/>
    <w:rsid w:val="003C21FB"/>
    <w:rsid w:val="003D46DB"/>
    <w:rsid w:val="00424884"/>
    <w:rsid w:val="00434D93"/>
    <w:rsid w:val="00446A03"/>
    <w:rsid w:val="00462082"/>
    <w:rsid w:val="00471501"/>
    <w:rsid w:val="0048443C"/>
    <w:rsid w:val="004C19C7"/>
    <w:rsid w:val="004D1727"/>
    <w:rsid w:val="004E135C"/>
    <w:rsid w:val="004E2A50"/>
    <w:rsid w:val="004E4BEA"/>
    <w:rsid w:val="004E5F90"/>
    <w:rsid w:val="00516131"/>
    <w:rsid w:val="005275F0"/>
    <w:rsid w:val="0055652F"/>
    <w:rsid w:val="00564613"/>
    <w:rsid w:val="005656C9"/>
    <w:rsid w:val="005925E8"/>
    <w:rsid w:val="005A44AF"/>
    <w:rsid w:val="00621E6D"/>
    <w:rsid w:val="0066567D"/>
    <w:rsid w:val="00684DEB"/>
    <w:rsid w:val="006A659D"/>
    <w:rsid w:val="006B3945"/>
    <w:rsid w:val="006D78F0"/>
    <w:rsid w:val="006F4884"/>
    <w:rsid w:val="007046CF"/>
    <w:rsid w:val="0071513A"/>
    <w:rsid w:val="00725D6A"/>
    <w:rsid w:val="00745C01"/>
    <w:rsid w:val="00747279"/>
    <w:rsid w:val="007567B7"/>
    <w:rsid w:val="007629D4"/>
    <w:rsid w:val="007934EC"/>
    <w:rsid w:val="007B35A5"/>
    <w:rsid w:val="007B3FC8"/>
    <w:rsid w:val="007C7E9F"/>
    <w:rsid w:val="007F6EAB"/>
    <w:rsid w:val="00806A3B"/>
    <w:rsid w:val="00815BC7"/>
    <w:rsid w:val="0082132B"/>
    <w:rsid w:val="00822C1B"/>
    <w:rsid w:val="00832CCE"/>
    <w:rsid w:val="00837A2E"/>
    <w:rsid w:val="00837DCB"/>
    <w:rsid w:val="00862E49"/>
    <w:rsid w:val="00875F95"/>
    <w:rsid w:val="00897E25"/>
    <w:rsid w:val="008A3092"/>
    <w:rsid w:val="008A3291"/>
    <w:rsid w:val="008B3720"/>
    <w:rsid w:val="008B6D5F"/>
    <w:rsid w:val="008E57C9"/>
    <w:rsid w:val="00933265"/>
    <w:rsid w:val="0096010D"/>
    <w:rsid w:val="00962FA4"/>
    <w:rsid w:val="009642F8"/>
    <w:rsid w:val="00966324"/>
    <w:rsid w:val="009710C4"/>
    <w:rsid w:val="009733B7"/>
    <w:rsid w:val="009E00C6"/>
    <w:rsid w:val="00A1643D"/>
    <w:rsid w:val="00A176B4"/>
    <w:rsid w:val="00A4118A"/>
    <w:rsid w:val="00A45B48"/>
    <w:rsid w:val="00AB3D9A"/>
    <w:rsid w:val="00AD05B2"/>
    <w:rsid w:val="00AD1F27"/>
    <w:rsid w:val="00B0307D"/>
    <w:rsid w:val="00B269EA"/>
    <w:rsid w:val="00B75569"/>
    <w:rsid w:val="00B8084F"/>
    <w:rsid w:val="00B87882"/>
    <w:rsid w:val="00B93204"/>
    <w:rsid w:val="00BC2EA7"/>
    <w:rsid w:val="00BE15D4"/>
    <w:rsid w:val="00BF60D2"/>
    <w:rsid w:val="00C33E2F"/>
    <w:rsid w:val="00C43335"/>
    <w:rsid w:val="00C4364C"/>
    <w:rsid w:val="00CA30F3"/>
    <w:rsid w:val="00CD5A54"/>
    <w:rsid w:val="00D1681C"/>
    <w:rsid w:val="00D174DF"/>
    <w:rsid w:val="00D30AC1"/>
    <w:rsid w:val="00D43E0D"/>
    <w:rsid w:val="00D71E4A"/>
    <w:rsid w:val="00D77398"/>
    <w:rsid w:val="00DF714C"/>
    <w:rsid w:val="00E02138"/>
    <w:rsid w:val="00E35F03"/>
    <w:rsid w:val="00E405CB"/>
    <w:rsid w:val="00E51D66"/>
    <w:rsid w:val="00E56979"/>
    <w:rsid w:val="00E85F9E"/>
    <w:rsid w:val="00E91521"/>
    <w:rsid w:val="00E96B75"/>
    <w:rsid w:val="00EB2E62"/>
    <w:rsid w:val="00ED649E"/>
    <w:rsid w:val="00EF35C0"/>
    <w:rsid w:val="00F05160"/>
    <w:rsid w:val="00F15C9E"/>
    <w:rsid w:val="00F268DA"/>
    <w:rsid w:val="00F37A21"/>
    <w:rsid w:val="00F41CC2"/>
    <w:rsid w:val="00F646FE"/>
    <w:rsid w:val="00F65F5C"/>
    <w:rsid w:val="00F672A5"/>
    <w:rsid w:val="00F772CE"/>
    <w:rsid w:val="00FB110F"/>
    <w:rsid w:val="00FB2EC2"/>
    <w:rsid w:val="00FD032B"/>
    <w:rsid w:val="00FD3B03"/>
    <w:rsid w:val="00FD5873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852AA7"/>
  <w15:chartTrackingRefBased/>
  <w15:docId w15:val="{7E6EABDA-6AA5-40DB-A7BC-BA2090B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B7"/>
  </w:style>
  <w:style w:type="paragraph" w:styleId="Footer">
    <w:name w:val="footer"/>
    <w:basedOn w:val="Normal"/>
    <w:link w:val="FooterChar"/>
    <w:uiPriority w:val="99"/>
    <w:unhideWhenUsed/>
    <w:rsid w:val="00973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B7"/>
  </w:style>
  <w:style w:type="paragraph" w:styleId="BalloonText">
    <w:name w:val="Balloon Text"/>
    <w:basedOn w:val="Normal"/>
    <w:link w:val="BalloonTextChar"/>
    <w:uiPriority w:val="99"/>
    <w:semiHidden/>
    <w:unhideWhenUsed/>
    <w:rsid w:val="00A4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4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E4BE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4BEA"/>
    <w:rPr>
      <w:rFonts w:ascii="Times New Roman" w:eastAsiaTheme="minorEastAsia" w:hAnsi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unhideWhenUsed/>
    <w:rsid w:val="004E4B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2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1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5EA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5EAE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4715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rtnerskadohoda.gov.sk/zakladne-dokument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8AD790684745E59EB7744075C7B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93F5F-6E05-43E0-BDCF-72D50B64FC55}"/>
      </w:docPartPr>
      <w:docPartBody>
        <w:p w:rsidR="00B549EB" w:rsidRDefault="001944A1" w:rsidP="001944A1">
          <w:pPr>
            <w:pStyle w:val="968AD790684745E59EB7744075C7B6141"/>
          </w:pPr>
          <w:r w:rsidRPr="008B2ED1">
            <w:rPr>
              <w:rStyle w:val="PlaceholderText"/>
            </w:rPr>
            <w:t>Vyberte položku.</w:t>
          </w:r>
        </w:p>
      </w:docPartBody>
    </w:docPart>
    <w:docPart>
      <w:docPartPr>
        <w:name w:val="059D6CB2933C4B8BBAE98AD595E7E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7F59B-3B37-4BB1-84C0-D99681B3BB33}"/>
      </w:docPartPr>
      <w:docPartBody>
        <w:p w:rsidR="00B549EB" w:rsidRDefault="001944A1" w:rsidP="001944A1">
          <w:pPr>
            <w:pStyle w:val="059D6CB2933C4B8BBAE98AD595E7E1C31"/>
          </w:pPr>
          <w:r w:rsidRPr="008B2ED1">
            <w:rPr>
              <w:rStyle w:val="PlaceholderText"/>
            </w:rPr>
            <w:t>Vyberte položku.</w:t>
          </w:r>
        </w:p>
      </w:docPartBody>
    </w:docPart>
    <w:docPart>
      <w:docPartPr>
        <w:name w:val="79D98DAA16E986489BCBFBFA97A7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DA97-D65E-9F4D-BFD6-B113C93630F5}"/>
      </w:docPartPr>
      <w:docPartBody>
        <w:p w:rsidR="00DB4AFC" w:rsidRDefault="001944A1" w:rsidP="001944A1">
          <w:pPr>
            <w:pStyle w:val="79D98DAA16E986489BCBFBFA97A728461"/>
          </w:pPr>
          <w:r w:rsidRPr="008B2ED1">
            <w:rPr>
              <w:rStyle w:val="PlaceholderText"/>
            </w:rPr>
            <w:t>Vyberte položku.</w:t>
          </w:r>
        </w:p>
      </w:docPartBody>
    </w:docPart>
    <w:docPart>
      <w:docPartPr>
        <w:name w:val="53D380C1ABAF4EDF80108A62CF3E1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D9665D-AB3D-4FC1-A82A-BDB177EC1EDF}"/>
      </w:docPartPr>
      <w:docPartBody>
        <w:p w:rsidR="00B4337B" w:rsidRDefault="001944A1" w:rsidP="001944A1">
          <w:pPr>
            <w:pStyle w:val="53D380C1ABAF4EDF80108A62CF3E1E691"/>
          </w:pPr>
          <w:r w:rsidRPr="008B1B5F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76"/>
    <w:rsid w:val="00004E78"/>
    <w:rsid w:val="00087DBD"/>
    <w:rsid w:val="000F1242"/>
    <w:rsid w:val="00115DD0"/>
    <w:rsid w:val="00136576"/>
    <w:rsid w:val="001944A1"/>
    <w:rsid w:val="002C7473"/>
    <w:rsid w:val="0037477B"/>
    <w:rsid w:val="0039154C"/>
    <w:rsid w:val="003A38A1"/>
    <w:rsid w:val="004215CD"/>
    <w:rsid w:val="004602C3"/>
    <w:rsid w:val="00472270"/>
    <w:rsid w:val="00543A37"/>
    <w:rsid w:val="00546646"/>
    <w:rsid w:val="0060169F"/>
    <w:rsid w:val="00621B1D"/>
    <w:rsid w:val="00713D6D"/>
    <w:rsid w:val="007B0BC7"/>
    <w:rsid w:val="00811B4A"/>
    <w:rsid w:val="00884F60"/>
    <w:rsid w:val="008B055A"/>
    <w:rsid w:val="009424D0"/>
    <w:rsid w:val="00954C52"/>
    <w:rsid w:val="009A57DA"/>
    <w:rsid w:val="00A1731A"/>
    <w:rsid w:val="00A54717"/>
    <w:rsid w:val="00A94D8D"/>
    <w:rsid w:val="00B06C57"/>
    <w:rsid w:val="00B4337B"/>
    <w:rsid w:val="00B549EB"/>
    <w:rsid w:val="00C362DB"/>
    <w:rsid w:val="00C938D2"/>
    <w:rsid w:val="00CA71D9"/>
    <w:rsid w:val="00CE65B6"/>
    <w:rsid w:val="00D652B0"/>
    <w:rsid w:val="00DB4AFC"/>
    <w:rsid w:val="00DD75C4"/>
    <w:rsid w:val="00E0634A"/>
    <w:rsid w:val="00E60370"/>
    <w:rsid w:val="00E76E2B"/>
    <w:rsid w:val="00F565E1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646"/>
    <w:rPr>
      <w:rFonts w:cs="Times New Roman"/>
      <w:color w:val="808080"/>
    </w:rPr>
  </w:style>
  <w:style w:type="paragraph" w:customStyle="1" w:styleId="968AD790684745E59EB7744075C7B6141">
    <w:name w:val="968AD790684745E59EB7744075C7B6141"/>
    <w:rsid w:val="001944A1"/>
    <w:rPr>
      <w:rFonts w:eastAsiaTheme="minorHAnsi"/>
      <w:lang w:eastAsia="en-US"/>
    </w:rPr>
  </w:style>
  <w:style w:type="paragraph" w:customStyle="1" w:styleId="059D6CB2933C4B8BBAE98AD595E7E1C31">
    <w:name w:val="059D6CB2933C4B8BBAE98AD595E7E1C31"/>
    <w:rsid w:val="001944A1"/>
    <w:rPr>
      <w:rFonts w:eastAsiaTheme="minorHAnsi"/>
      <w:lang w:eastAsia="en-US"/>
    </w:rPr>
  </w:style>
  <w:style w:type="paragraph" w:customStyle="1" w:styleId="79D98DAA16E986489BCBFBFA97A728461">
    <w:name w:val="79D98DAA16E986489BCBFBFA97A728461"/>
    <w:rsid w:val="001944A1"/>
    <w:rPr>
      <w:rFonts w:eastAsiaTheme="minorHAnsi"/>
      <w:lang w:eastAsia="en-US"/>
    </w:rPr>
  </w:style>
  <w:style w:type="paragraph" w:customStyle="1" w:styleId="53D380C1ABAF4EDF80108A62CF3E1E691">
    <w:name w:val="53D380C1ABAF4EDF80108A62CF3E1E691"/>
    <w:rsid w:val="001944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F3A9FC-8F3F-4927-9765-D096B94C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Durdikova Daniela</dc:creator>
  <cp:keywords/>
  <dc:description/>
  <cp:lastModifiedBy>Lukas Lukac</cp:lastModifiedBy>
  <cp:revision>2</cp:revision>
  <cp:lastPrinted>2018-01-23T09:48:00Z</cp:lastPrinted>
  <dcterms:created xsi:type="dcterms:W3CDTF">2021-05-17T06:35:00Z</dcterms:created>
  <dcterms:modified xsi:type="dcterms:W3CDTF">2021-05-17T06:35:00Z</dcterms:modified>
</cp:coreProperties>
</file>