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B6037" w14:textId="77777777" w:rsidR="005B49BB" w:rsidRPr="004D73C4" w:rsidRDefault="005B49BB" w:rsidP="008B0E07">
      <w:pPr>
        <w:jc w:val="center"/>
        <w:rPr>
          <w:sz w:val="24"/>
        </w:rPr>
      </w:pPr>
      <w:bookmarkStart w:id="0" w:name="_Toc58697727"/>
      <w:bookmarkStart w:id="1" w:name="_Toc432348187"/>
      <w:bookmarkStart w:id="2" w:name="_Toc460261183"/>
      <w:bookmarkStart w:id="3" w:name="_Toc462253964"/>
      <w:r w:rsidRPr="004D73C4">
        <w:rPr>
          <w:noProof/>
          <w:color w:val="2B579A"/>
          <w:sz w:val="24"/>
          <w:shd w:val="clear" w:color="auto" w:fill="E6E6E6"/>
          <w:lang w:eastAsia="sk-SK"/>
        </w:rPr>
        <w:drawing>
          <wp:anchor distT="0" distB="0" distL="114300" distR="114300" simplePos="0" relativeHeight="251631616" behindDoc="0" locked="0" layoutInCell="1" allowOverlap="1" wp14:anchorId="2783F2F9" wp14:editId="0C0D0923">
            <wp:simplePos x="0" y="0"/>
            <wp:positionH relativeFrom="column">
              <wp:align>center</wp:align>
            </wp:positionH>
            <wp:positionV relativeFrom="paragraph">
              <wp:posOffset>0</wp:posOffset>
            </wp:positionV>
            <wp:extent cx="2358000" cy="540000"/>
            <wp:effectExtent l="0" t="0" r="4445"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rri farebne s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8000" cy="540000"/>
                    </a:xfrm>
                    <a:prstGeom prst="rect">
                      <a:avLst/>
                    </a:prstGeom>
                  </pic:spPr>
                </pic:pic>
              </a:graphicData>
            </a:graphic>
            <wp14:sizeRelH relativeFrom="margin">
              <wp14:pctWidth>0</wp14:pctWidth>
            </wp14:sizeRelH>
            <wp14:sizeRelV relativeFrom="margin">
              <wp14:pctHeight>0</wp14:pctHeight>
            </wp14:sizeRelV>
          </wp:anchor>
        </w:drawing>
      </w:r>
    </w:p>
    <w:p w14:paraId="7B9702E8" w14:textId="77777777" w:rsidR="005B49BB" w:rsidRPr="004D73C4" w:rsidRDefault="005B49BB" w:rsidP="008B0E07"/>
    <w:p w14:paraId="6B5771D2" w14:textId="77777777" w:rsidR="005B49BB" w:rsidRPr="004D73C4" w:rsidRDefault="005B49BB" w:rsidP="008B0E07"/>
    <w:p w14:paraId="14B662BA" w14:textId="77777777" w:rsidR="005B49BB" w:rsidRPr="004D73C4" w:rsidRDefault="005B49BB" w:rsidP="008B0E07"/>
    <w:p w14:paraId="33F64087" w14:textId="77777777" w:rsidR="00356170" w:rsidRPr="004D73C4" w:rsidRDefault="00356170" w:rsidP="008B0E07"/>
    <w:p w14:paraId="09165569" w14:textId="77777777" w:rsidR="00356170" w:rsidRPr="004D73C4" w:rsidRDefault="00356170" w:rsidP="008B0E07"/>
    <w:p w14:paraId="38D752DE" w14:textId="77777777" w:rsidR="00356170" w:rsidRPr="004D73C4" w:rsidRDefault="00356170" w:rsidP="008B0E07"/>
    <w:p w14:paraId="3792F18E" w14:textId="77777777" w:rsidR="005B49BB" w:rsidRPr="004D73C4" w:rsidRDefault="005B49BB" w:rsidP="008B0E07"/>
    <w:p w14:paraId="1B49A570" w14:textId="77777777" w:rsidR="005B49BB" w:rsidRPr="004D73C4" w:rsidRDefault="005B49BB" w:rsidP="008B0E07">
      <w:pPr>
        <w:pStyle w:val="Nzov"/>
        <w:pBdr>
          <w:bottom w:val="single" w:sz="8" w:space="4" w:color="17365D" w:themeColor="text2" w:themeShade="BF"/>
        </w:pBdr>
        <w:jc w:val="left"/>
      </w:pPr>
    </w:p>
    <w:p w14:paraId="735C6CC9" w14:textId="77777777" w:rsidR="005B49BB" w:rsidRPr="004D73C4" w:rsidRDefault="005B49BB" w:rsidP="008B0E07">
      <w:pPr>
        <w:pStyle w:val="Nzov"/>
        <w:pBdr>
          <w:bottom w:val="single" w:sz="8" w:space="4" w:color="17365D" w:themeColor="text2" w:themeShade="BF"/>
        </w:pBdr>
        <w:jc w:val="left"/>
      </w:pPr>
    </w:p>
    <w:p w14:paraId="3BC65694" w14:textId="5E9F7CB9" w:rsidR="005B49BB" w:rsidRPr="004D73C4" w:rsidRDefault="005B49BB" w:rsidP="190F7DBA">
      <w:pPr>
        <w:pStyle w:val="Nzov"/>
        <w:pBdr>
          <w:bottom w:val="single" w:sz="8" w:space="4" w:color="17365D" w:themeColor="text2" w:themeShade="BF"/>
        </w:pBdr>
        <w:jc w:val="left"/>
        <w:rPr>
          <w:rFonts w:asciiTheme="majorHAnsi" w:hAnsiTheme="majorHAnsi"/>
        </w:rPr>
      </w:pPr>
      <w:r w:rsidRPr="190F7DBA">
        <w:rPr>
          <w:rFonts w:asciiTheme="majorHAnsi" w:hAnsiTheme="majorHAnsi"/>
        </w:rPr>
        <w:t>NÁRODNÁ KONCEPCIA INFORMATIZÁCIE VEREJNEJ SPRÁVY</w:t>
      </w:r>
      <w:r w:rsidR="00A74957" w:rsidRPr="190F7DBA">
        <w:rPr>
          <w:rFonts w:asciiTheme="majorHAnsi" w:hAnsiTheme="majorHAnsi"/>
        </w:rPr>
        <w:t xml:space="preserve"> SLOVENSKEJ REPUBLIKY</w:t>
      </w:r>
    </w:p>
    <w:p w14:paraId="42F43379" w14:textId="77777777" w:rsidR="005B49BB" w:rsidRPr="004D73C4" w:rsidRDefault="005B49BB" w:rsidP="008B0E07"/>
    <w:p w14:paraId="2D677C47" w14:textId="77777777" w:rsidR="005B49BB" w:rsidRPr="004D73C4" w:rsidRDefault="005B49BB" w:rsidP="008B0E07">
      <w:pPr>
        <w:jc w:val="center"/>
        <w:rPr>
          <w:sz w:val="24"/>
        </w:rPr>
      </w:pPr>
    </w:p>
    <w:p w14:paraId="76178908" w14:textId="77777777" w:rsidR="005B49BB" w:rsidRPr="004D73C4" w:rsidRDefault="005B49BB" w:rsidP="008B0E07">
      <w:pPr>
        <w:jc w:val="center"/>
        <w:rPr>
          <w:sz w:val="24"/>
        </w:rPr>
      </w:pPr>
    </w:p>
    <w:p w14:paraId="7FF0DE8E" w14:textId="471BFAB6" w:rsidR="005B49BB" w:rsidRPr="004D73C4" w:rsidRDefault="007301F0" w:rsidP="008B0E07">
      <w:pPr>
        <w:jc w:val="center"/>
        <w:rPr>
          <w:sz w:val="24"/>
        </w:rPr>
      </w:pPr>
      <w:r w:rsidRPr="004D73C4">
        <w:rPr>
          <w:sz w:val="24"/>
        </w:rPr>
        <w:t xml:space="preserve">Bratislava, </w:t>
      </w:r>
      <w:r w:rsidR="006562AF">
        <w:rPr>
          <w:sz w:val="24"/>
        </w:rPr>
        <w:t>apríl</w:t>
      </w:r>
      <w:r w:rsidR="006562AF" w:rsidRPr="004D73C4">
        <w:rPr>
          <w:sz w:val="24"/>
        </w:rPr>
        <w:t xml:space="preserve"> </w:t>
      </w:r>
      <w:r w:rsidR="005B49BB" w:rsidRPr="004D73C4">
        <w:rPr>
          <w:sz w:val="24"/>
        </w:rPr>
        <w:t>2021</w:t>
      </w:r>
    </w:p>
    <w:p w14:paraId="5696E818" w14:textId="77777777" w:rsidR="005B49BB" w:rsidRPr="004D73C4" w:rsidRDefault="005B49BB" w:rsidP="008B0E07"/>
    <w:p w14:paraId="7652B9F5" w14:textId="77777777" w:rsidR="005B49BB" w:rsidRPr="004D73C4" w:rsidRDefault="005B49BB" w:rsidP="008B0E07"/>
    <w:p w14:paraId="5EB4D2A7" w14:textId="77777777" w:rsidR="005B49BB" w:rsidRPr="004D73C4" w:rsidRDefault="005B49BB" w:rsidP="008B0E07">
      <w:pPr>
        <w:spacing w:line="276" w:lineRule="auto"/>
        <w:jc w:val="center"/>
        <w:rPr>
          <w:b/>
          <w:color w:val="FF0000"/>
          <w:sz w:val="32"/>
          <w:u w:val="single"/>
        </w:rPr>
      </w:pPr>
    </w:p>
    <w:p w14:paraId="5A024B2D" w14:textId="1FD1BCB3" w:rsidR="00235FE2" w:rsidRPr="004D73C4" w:rsidRDefault="00235FE2" w:rsidP="00235FE2">
      <w:pPr>
        <w:spacing w:line="276" w:lineRule="auto"/>
        <w:jc w:val="center"/>
        <w:rPr>
          <w:b/>
          <w:color w:val="FF0000"/>
          <w:sz w:val="32"/>
          <w:u w:val="single"/>
        </w:rPr>
      </w:pPr>
    </w:p>
    <w:p w14:paraId="250AD684" w14:textId="77777777" w:rsidR="005B49BB" w:rsidRPr="004D73C4" w:rsidRDefault="005B49BB" w:rsidP="008B0E07"/>
    <w:p w14:paraId="2BD43F46" w14:textId="77777777" w:rsidR="005B49BB" w:rsidRPr="004D73C4" w:rsidRDefault="005B49BB" w:rsidP="008B0E07">
      <w:pPr>
        <w:rPr>
          <w:color w:val="FF0000"/>
          <w:sz w:val="36"/>
        </w:rPr>
      </w:pPr>
    </w:p>
    <w:p w14:paraId="088C388D" w14:textId="77777777" w:rsidR="005B49BB" w:rsidRPr="004D73C4" w:rsidRDefault="005B49BB" w:rsidP="008B0E07">
      <w:pPr>
        <w:jc w:val="center"/>
        <w:rPr>
          <w:sz w:val="32"/>
        </w:rPr>
        <w:sectPr w:rsidR="005B49BB" w:rsidRPr="004D73C4" w:rsidSect="00D600EC">
          <w:headerReference w:type="default" r:id="rId12"/>
          <w:footerReference w:type="default" r:id="rId13"/>
          <w:footerReference w:type="first" r:id="rId14"/>
          <w:pgSz w:w="11906" w:h="16838" w:code="9"/>
          <w:pgMar w:top="1417" w:right="1417" w:bottom="1417" w:left="1417" w:header="567" w:footer="567" w:gutter="0"/>
          <w:pgNumType w:start="1"/>
          <w:cols w:space="708"/>
          <w:docGrid w:linePitch="360"/>
        </w:sectPr>
      </w:pPr>
    </w:p>
    <w:bookmarkStart w:id="4" w:name="_Ref63583933" w:displacedByCustomXml="next"/>
    <w:sdt>
      <w:sdtPr>
        <w:rPr>
          <w:rFonts w:eastAsiaTheme="minorHAnsi" w:cstheme="minorBidi"/>
          <w:color w:val="2B579A"/>
          <w:sz w:val="22"/>
          <w:szCs w:val="22"/>
          <w:shd w:val="clear" w:color="auto" w:fill="E6E6E6"/>
          <w:lang w:val="sk-SK"/>
        </w:rPr>
        <w:id w:val="9265261"/>
        <w:docPartObj>
          <w:docPartGallery w:val="Table of Contents"/>
          <w:docPartUnique/>
        </w:docPartObj>
      </w:sdtPr>
      <w:sdtEndPr>
        <w:rPr>
          <w:b/>
          <w:bCs/>
        </w:rPr>
      </w:sdtEndPr>
      <w:sdtContent>
        <w:p w14:paraId="06621DB7" w14:textId="77777777" w:rsidR="00EE548A" w:rsidRPr="004D73C4" w:rsidRDefault="00EE548A" w:rsidP="61FEEC5A">
          <w:pPr>
            <w:pStyle w:val="Hlavikaobsahu"/>
            <w:rPr>
              <w:sz w:val="14"/>
              <w:szCs w:val="14"/>
              <w:lang w:val="sk-SK"/>
            </w:rPr>
          </w:pPr>
          <w:r w:rsidRPr="61FEEC5A">
            <w:rPr>
              <w:lang w:val="sk-SK"/>
            </w:rPr>
            <w:t>Obsah</w:t>
          </w:r>
        </w:p>
        <w:p w14:paraId="334261FA" w14:textId="2E3A8959" w:rsidR="00220AFF" w:rsidRDefault="00DF76AF">
          <w:pPr>
            <w:pStyle w:val="Obsah1"/>
            <w:rPr>
              <w:rFonts w:asciiTheme="minorHAnsi" w:eastAsiaTheme="minorEastAsia" w:hAnsiTheme="minorHAnsi" w:cstheme="minorBidi"/>
              <w:noProof/>
              <w:sz w:val="22"/>
              <w:szCs w:val="22"/>
              <w:lang w:eastAsia="sk-SK"/>
            </w:rPr>
          </w:pPr>
          <w:r w:rsidRPr="004D73C4">
            <w:rPr>
              <w:color w:val="2B579A"/>
              <w:shd w:val="clear" w:color="auto" w:fill="E6E6E6"/>
            </w:rPr>
            <w:fldChar w:fldCharType="begin"/>
          </w:r>
          <w:r w:rsidRPr="004D73C4">
            <w:instrText xml:space="preserve"> TOC \o "1-4" \h \z \u </w:instrText>
          </w:r>
          <w:r w:rsidRPr="004D73C4">
            <w:rPr>
              <w:color w:val="2B579A"/>
              <w:shd w:val="clear" w:color="auto" w:fill="E6E6E6"/>
            </w:rPr>
            <w:fldChar w:fldCharType="separate"/>
          </w:r>
          <w:hyperlink w:anchor="_Toc70711586" w:history="1">
            <w:r w:rsidR="00220AFF" w:rsidRPr="00553EC9">
              <w:rPr>
                <w:rStyle w:val="Hypertextovprepojenie"/>
                <w:noProof/>
                <w14:scene3d>
                  <w14:camera w14:prst="orthographicFront"/>
                  <w14:lightRig w14:rig="threePt" w14:dir="t">
                    <w14:rot w14:lat="0" w14:lon="0" w14:rev="0"/>
                  </w14:lightRig>
                </w14:scene3d>
              </w:rPr>
              <w:t>1</w:t>
            </w:r>
            <w:r w:rsidR="00220AFF">
              <w:rPr>
                <w:rFonts w:asciiTheme="minorHAnsi" w:eastAsiaTheme="minorEastAsia" w:hAnsiTheme="minorHAnsi" w:cstheme="minorBidi"/>
                <w:noProof/>
                <w:sz w:val="22"/>
                <w:szCs w:val="22"/>
                <w:lang w:eastAsia="sk-SK"/>
              </w:rPr>
              <w:tab/>
            </w:r>
            <w:r w:rsidR="00220AFF" w:rsidRPr="00553EC9">
              <w:rPr>
                <w:rStyle w:val="Hypertextovprepojenie"/>
                <w:noProof/>
              </w:rPr>
              <w:t>Manažérske zhrnutie</w:t>
            </w:r>
            <w:r w:rsidR="00220AFF">
              <w:rPr>
                <w:noProof/>
                <w:webHidden/>
              </w:rPr>
              <w:tab/>
            </w:r>
            <w:r w:rsidR="00220AFF">
              <w:rPr>
                <w:noProof/>
                <w:webHidden/>
              </w:rPr>
              <w:fldChar w:fldCharType="begin"/>
            </w:r>
            <w:r w:rsidR="00220AFF">
              <w:rPr>
                <w:noProof/>
                <w:webHidden/>
              </w:rPr>
              <w:instrText xml:space="preserve"> PAGEREF _Toc70711586 \h </w:instrText>
            </w:r>
            <w:r w:rsidR="00220AFF">
              <w:rPr>
                <w:noProof/>
                <w:webHidden/>
              </w:rPr>
            </w:r>
            <w:r w:rsidR="00220AFF">
              <w:rPr>
                <w:noProof/>
                <w:webHidden/>
              </w:rPr>
              <w:fldChar w:fldCharType="separate"/>
            </w:r>
            <w:r w:rsidR="00220AFF">
              <w:rPr>
                <w:noProof/>
                <w:webHidden/>
              </w:rPr>
              <w:t>3</w:t>
            </w:r>
            <w:r w:rsidR="00220AFF">
              <w:rPr>
                <w:noProof/>
                <w:webHidden/>
              </w:rPr>
              <w:fldChar w:fldCharType="end"/>
            </w:r>
          </w:hyperlink>
        </w:p>
        <w:p w14:paraId="14B59109" w14:textId="293A2B21" w:rsidR="00220AFF" w:rsidRDefault="00220AFF">
          <w:pPr>
            <w:pStyle w:val="Obsah1"/>
            <w:rPr>
              <w:rFonts w:asciiTheme="minorHAnsi" w:eastAsiaTheme="minorEastAsia" w:hAnsiTheme="minorHAnsi" w:cstheme="minorBidi"/>
              <w:noProof/>
              <w:sz w:val="22"/>
              <w:szCs w:val="22"/>
              <w:lang w:eastAsia="sk-SK"/>
            </w:rPr>
          </w:pPr>
          <w:hyperlink w:anchor="_Toc70711587" w:history="1">
            <w:r w:rsidRPr="00553EC9">
              <w:rPr>
                <w:rStyle w:val="Hypertextovprepojenie"/>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lang w:eastAsia="sk-SK"/>
              </w:rPr>
              <w:tab/>
            </w:r>
            <w:r w:rsidRPr="00553EC9">
              <w:rPr>
                <w:rStyle w:val="Hypertextovprepojenie"/>
                <w:noProof/>
              </w:rPr>
              <w:t>Úvod</w:t>
            </w:r>
            <w:r>
              <w:rPr>
                <w:noProof/>
                <w:webHidden/>
              </w:rPr>
              <w:tab/>
            </w:r>
            <w:r>
              <w:rPr>
                <w:noProof/>
                <w:webHidden/>
              </w:rPr>
              <w:fldChar w:fldCharType="begin"/>
            </w:r>
            <w:r>
              <w:rPr>
                <w:noProof/>
                <w:webHidden/>
              </w:rPr>
              <w:instrText xml:space="preserve"> PAGEREF _Toc70711587 \h </w:instrText>
            </w:r>
            <w:r>
              <w:rPr>
                <w:noProof/>
                <w:webHidden/>
              </w:rPr>
            </w:r>
            <w:r>
              <w:rPr>
                <w:noProof/>
                <w:webHidden/>
              </w:rPr>
              <w:fldChar w:fldCharType="separate"/>
            </w:r>
            <w:r>
              <w:rPr>
                <w:noProof/>
                <w:webHidden/>
              </w:rPr>
              <w:t>5</w:t>
            </w:r>
            <w:r>
              <w:rPr>
                <w:noProof/>
                <w:webHidden/>
              </w:rPr>
              <w:fldChar w:fldCharType="end"/>
            </w:r>
          </w:hyperlink>
        </w:p>
        <w:p w14:paraId="1489B840" w14:textId="2D4A4714" w:rsidR="00220AFF" w:rsidRDefault="00220AFF">
          <w:pPr>
            <w:pStyle w:val="Obsah2"/>
            <w:rPr>
              <w:rFonts w:asciiTheme="minorHAnsi" w:eastAsiaTheme="minorEastAsia" w:hAnsiTheme="minorHAnsi" w:cstheme="minorBidi"/>
              <w:noProof/>
              <w:sz w:val="22"/>
              <w:szCs w:val="22"/>
              <w:lang w:eastAsia="sk-SK"/>
            </w:rPr>
          </w:pPr>
          <w:hyperlink w:anchor="_Toc70711588" w:history="1">
            <w:r w:rsidRPr="00553EC9">
              <w:rPr>
                <w:rStyle w:val="Hypertextovprepojenie"/>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sk-SK"/>
              </w:rPr>
              <w:tab/>
            </w:r>
            <w:r w:rsidRPr="00553EC9">
              <w:rPr>
                <w:rStyle w:val="Hypertextovprepojenie"/>
                <w:noProof/>
              </w:rPr>
              <w:t>Analýza súčasného stavu</w:t>
            </w:r>
            <w:r>
              <w:rPr>
                <w:noProof/>
                <w:webHidden/>
              </w:rPr>
              <w:tab/>
            </w:r>
            <w:r>
              <w:rPr>
                <w:noProof/>
                <w:webHidden/>
              </w:rPr>
              <w:fldChar w:fldCharType="begin"/>
            </w:r>
            <w:r>
              <w:rPr>
                <w:noProof/>
                <w:webHidden/>
              </w:rPr>
              <w:instrText xml:space="preserve"> PAGEREF _Toc70711588 \h </w:instrText>
            </w:r>
            <w:r>
              <w:rPr>
                <w:noProof/>
                <w:webHidden/>
              </w:rPr>
            </w:r>
            <w:r>
              <w:rPr>
                <w:noProof/>
                <w:webHidden/>
              </w:rPr>
              <w:fldChar w:fldCharType="separate"/>
            </w:r>
            <w:r>
              <w:rPr>
                <w:noProof/>
                <w:webHidden/>
              </w:rPr>
              <w:t>5</w:t>
            </w:r>
            <w:r>
              <w:rPr>
                <w:noProof/>
                <w:webHidden/>
              </w:rPr>
              <w:fldChar w:fldCharType="end"/>
            </w:r>
          </w:hyperlink>
        </w:p>
        <w:p w14:paraId="026E28A6" w14:textId="07CFC68B" w:rsidR="00220AFF" w:rsidRDefault="00220AFF">
          <w:pPr>
            <w:pStyle w:val="Obsah2"/>
            <w:rPr>
              <w:rFonts w:asciiTheme="minorHAnsi" w:eastAsiaTheme="minorEastAsia" w:hAnsiTheme="minorHAnsi" w:cstheme="minorBidi"/>
              <w:noProof/>
              <w:sz w:val="22"/>
              <w:szCs w:val="22"/>
              <w:lang w:eastAsia="sk-SK"/>
            </w:rPr>
          </w:pPr>
          <w:hyperlink w:anchor="_Toc70711589" w:history="1">
            <w:r w:rsidRPr="00553EC9">
              <w:rPr>
                <w:rStyle w:val="Hypertextovprepojenie"/>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sk-SK"/>
              </w:rPr>
              <w:tab/>
            </w:r>
            <w:r w:rsidRPr="00553EC9">
              <w:rPr>
                <w:rStyle w:val="Hypertextovprepojenie"/>
                <w:noProof/>
              </w:rPr>
              <w:t>Zameranie dokumentu</w:t>
            </w:r>
            <w:r>
              <w:rPr>
                <w:noProof/>
                <w:webHidden/>
              </w:rPr>
              <w:tab/>
            </w:r>
            <w:r>
              <w:rPr>
                <w:noProof/>
                <w:webHidden/>
              </w:rPr>
              <w:fldChar w:fldCharType="begin"/>
            </w:r>
            <w:r>
              <w:rPr>
                <w:noProof/>
                <w:webHidden/>
              </w:rPr>
              <w:instrText xml:space="preserve"> PAGEREF _Toc70711589 \h </w:instrText>
            </w:r>
            <w:r>
              <w:rPr>
                <w:noProof/>
                <w:webHidden/>
              </w:rPr>
            </w:r>
            <w:r>
              <w:rPr>
                <w:noProof/>
                <w:webHidden/>
              </w:rPr>
              <w:fldChar w:fldCharType="separate"/>
            </w:r>
            <w:r>
              <w:rPr>
                <w:noProof/>
                <w:webHidden/>
              </w:rPr>
              <w:t>7</w:t>
            </w:r>
            <w:r>
              <w:rPr>
                <w:noProof/>
                <w:webHidden/>
              </w:rPr>
              <w:fldChar w:fldCharType="end"/>
            </w:r>
          </w:hyperlink>
        </w:p>
        <w:p w14:paraId="571A2106" w14:textId="6E37BD0A" w:rsidR="00220AFF" w:rsidRDefault="00220AFF">
          <w:pPr>
            <w:pStyle w:val="Obsah1"/>
            <w:rPr>
              <w:rFonts w:asciiTheme="minorHAnsi" w:eastAsiaTheme="minorEastAsia" w:hAnsiTheme="minorHAnsi" w:cstheme="minorBidi"/>
              <w:noProof/>
              <w:sz w:val="22"/>
              <w:szCs w:val="22"/>
              <w:lang w:eastAsia="sk-SK"/>
            </w:rPr>
          </w:pPr>
          <w:hyperlink w:anchor="_Toc70711590" w:history="1">
            <w:r w:rsidRPr="00553EC9">
              <w:rPr>
                <w:rStyle w:val="Hypertextovprepojenie"/>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lang w:eastAsia="sk-SK"/>
              </w:rPr>
              <w:tab/>
            </w:r>
            <w:r w:rsidRPr="00553EC9">
              <w:rPr>
                <w:rStyle w:val="Hypertextovprepojenie"/>
                <w:noProof/>
              </w:rPr>
              <w:t>Strategické ciele a priority informatizácie verejnej správy</w:t>
            </w:r>
            <w:r>
              <w:rPr>
                <w:noProof/>
                <w:webHidden/>
              </w:rPr>
              <w:tab/>
            </w:r>
            <w:r>
              <w:rPr>
                <w:noProof/>
                <w:webHidden/>
              </w:rPr>
              <w:fldChar w:fldCharType="begin"/>
            </w:r>
            <w:r>
              <w:rPr>
                <w:noProof/>
                <w:webHidden/>
              </w:rPr>
              <w:instrText xml:space="preserve"> PAGEREF _Toc70711590 \h </w:instrText>
            </w:r>
            <w:r>
              <w:rPr>
                <w:noProof/>
                <w:webHidden/>
              </w:rPr>
            </w:r>
            <w:r>
              <w:rPr>
                <w:noProof/>
                <w:webHidden/>
              </w:rPr>
              <w:fldChar w:fldCharType="separate"/>
            </w:r>
            <w:r>
              <w:rPr>
                <w:noProof/>
                <w:webHidden/>
              </w:rPr>
              <w:t>9</w:t>
            </w:r>
            <w:r>
              <w:rPr>
                <w:noProof/>
                <w:webHidden/>
              </w:rPr>
              <w:fldChar w:fldCharType="end"/>
            </w:r>
          </w:hyperlink>
        </w:p>
        <w:p w14:paraId="2071D048" w14:textId="64993DE1" w:rsidR="00220AFF" w:rsidRDefault="00220AFF">
          <w:pPr>
            <w:pStyle w:val="Obsah2"/>
            <w:rPr>
              <w:rFonts w:asciiTheme="minorHAnsi" w:eastAsiaTheme="minorEastAsia" w:hAnsiTheme="minorHAnsi" w:cstheme="minorBidi"/>
              <w:noProof/>
              <w:sz w:val="22"/>
              <w:szCs w:val="22"/>
              <w:lang w:eastAsia="sk-SK"/>
            </w:rPr>
          </w:pPr>
          <w:hyperlink w:anchor="_Toc70711591" w:history="1">
            <w:r w:rsidRPr="00553EC9">
              <w:rPr>
                <w:rStyle w:val="Hypertextovprepojenie"/>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eastAsia="sk-SK"/>
              </w:rPr>
              <w:tab/>
            </w:r>
            <w:r w:rsidRPr="00553EC9">
              <w:rPr>
                <w:rStyle w:val="Hypertextovprepojenie"/>
                <w:noProof/>
              </w:rPr>
              <w:t>Vízia</w:t>
            </w:r>
            <w:r>
              <w:rPr>
                <w:noProof/>
                <w:webHidden/>
              </w:rPr>
              <w:tab/>
            </w:r>
            <w:r>
              <w:rPr>
                <w:noProof/>
                <w:webHidden/>
              </w:rPr>
              <w:fldChar w:fldCharType="begin"/>
            </w:r>
            <w:r>
              <w:rPr>
                <w:noProof/>
                <w:webHidden/>
              </w:rPr>
              <w:instrText xml:space="preserve"> PAGEREF _Toc70711591 \h </w:instrText>
            </w:r>
            <w:r>
              <w:rPr>
                <w:noProof/>
                <w:webHidden/>
              </w:rPr>
            </w:r>
            <w:r>
              <w:rPr>
                <w:noProof/>
                <w:webHidden/>
              </w:rPr>
              <w:fldChar w:fldCharType="separate"/>
            </w:r>
            <w:r>
              <w:rPr>
                <w:noProof/>
                <w:webHidden/>
              </w:rPr>
              <w:t>9</w:t>
            </w:r>
            <w:r>
              <w:rPr>
                <w:noProof/>
                <w:webHidden/>
              </w:rPr>
              <w:fldChar w:fldCharType="end"/>
            </w:r>
          </w:hyperlink>
        </w:p>
        <w:p w14:paraId="49501041" w14:textId="427685E3" w:rsidR="00220AFF" w:rsidRDefault="00220AFF">
          <w:pPr>
            <w:pStyle w:val="Obsah2"/>
            <w:rPr>
              <w:rFonts w:asciiTheme="minorHAnsi" w:eastAsiaTheme="minorEastAsia" w:hAnsiTheme="minorHAnsi" w:cstheme="minorBidi"/>
              <w:noProof/>
              <w:sz w:val="22"/>
              <w:szCs w:val="22"/>
              <w:lang w:eastAsia="sk-SK"/>
            </w:rPr>
          </w:pPr>
          <w:hyperlink w:anchor="_Toc70711592" w:history="1">
            <w:r w:rsidRPr="00553EC9">
              <w:rPr>
                <w:rStyle w:val="Hypertextovprepojenie"/>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eastAsia="sk-SK"/>
              </w:rPr>
              <w:tab/>
            </w:r>
            <w:r w:rsidRPr="00553EC9">
              <w:rPr>
                <w:rStyle w:val="Hypertextovprepojenie"/>
                <w:noProof/>
              </w:rPr>
              <w:t>Strategické ciele a priority</w:t>
            </w:r>
            <w:r>
              <w:rPr>
                <w:noProof/>
                <w:webHidden/>
              </w:rPr>
              <w:tab/>
            </w:r>
            <w:r>
              <w:rPr>
                <w:noProof/>
                <w:webHidden/>
              </w:rPr>
              <w:fldChar w:fldCharType="begin"/>
            </w:r>
            <w:r>
              <w:rPr>
                <w:noProof/>
                <w:webHidden/>
              </w:rPr>
              <w:instrText xml:space="preserve"> PAGEREF _Toc70711592 \h </w:instrText>
            </w:r>
            <w:r>
              <w:rPr>
                <w:noProof/>
                <w:webHidden/>
              </w:rPr>
            </w:r>
            <w:r>
              <w:rPr>
                <w:noProof/>
                <w:webHidden/>
              </w:rPr>
              <w:fldChar w:fldCharType="separate"/>
            </w:r>
            <w:r>
              <w:rPr>
                <w:noProof/>
                <w:webHidden/>
              </w:rPr>
              <w:t>9</w:t>
            </w:r>
            <w:r>
              <w:rPr>
                <w:noProof/>
                <w:webHidden/>
              </w:rPr>
              <w:fldChar w:fldCharType="end"/>
            </w:r>
          </w:hyperlink>
        </w:p>
        <w:p w14:paraId="1F8C6D00" w14:textId="7480021A" w:rsidR="00220AFF" w:rsidRDefault="00220AFF">
          <w:pPr>
            <w:pStyle w:val="Obsah2"/>
            <w:rPr>
              <w:rFonts w:asciiTheme="minorHAnsi" w:eastAsiaTheme="minorEastAsia" w:hAnsiTheme="minorHAnsi" w:cstheme="minorBidi"/>
              <w:noProof/>
              <w:sz w:val="22"/>
              <w:szCs w:val="22"/>
              <w:lang w:eastAsia="sk-SK"/>
            </w:rPr>
          </w:pPr>
          <w:hyperlink w:anchor="_Toc70711593" w:history="1">
            <w:r w:rsidRPr="00553EC9">
              <w:rPr>
                <w:rStyle w:val="Hypertextovprepojenie"/>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lang w:eastAsia="sk-SK"/>
              </w:rPr>
              <w:tab/>
            </w:r>
            <w:r w:rsidRPr="00553EC9">
              <w:rPr>
                <w:rStyle w:val="Hypertextovprepojenie"/>
                <w:noProof/>
              </w:rPr>
              <w:t>Digitálne služby</w:t>
            </w:r>
            <w:r>
              <w:rPr>
                <w:noProof/>
                <w:webHidden/>
              </w:rPr>
              <w:tab/>
            </w:r>
            <w:r>
              <w:rPr>
                <w:noProof/>
                <w:webHidden/>
              </w:rPr>
              <w:fldChar w:fldCharType="begin"/>
            </w:r>
            <w:r>
              <w:rPr>
                <w:noProof/>
                <w:webHidden/>
              </w:rPr>
              <w:instrText xml:space="preserve"> PAGEREF _Toc70711593 \h </w:instrText>
            </w:r>
            <w:r>
              <w:rPr>
                <w:noProof/>
                <w:webHidden/>
              </w:rPr>
            </w:r>
            <w:r>
              <w:rPr>
                <w:noProof/>
                <w:webHidden/>
              </w:rPr>
              <w:fldChar w:fldCharType="separate"/>
            </w:r>
            <w:r>
              <w:rPr>
                <w:noProof/>
                <w:webHidden/>
              </w:rPr>
              <w:t>10</w:t>
            </w:r>
            <w:r>
              <w:rPr>
                <w:noProof/>
                <w:webHidden/>
              </w:rPr>
              <w:fldChar w:fldCharType="end"/>
            </w:r>
          </w:hyperlink>
        </w:p>
        <w:p w14:paraId="693E553D" w14:textId="38AEE3C6" w:rsidR="00220AFF" w:rsidRDefault="00220AFF">
          <w:pPr>
            <w:pStyle w:val="Obsah3"/>
            <w:rPr>
              <w:rFonts w:asciiTheme="minorHAnsi" w:eastAsiaTheme="minorEastAsia" w:hAnsiTheme="minorHAnsi" w:cstheme="minorBidi"/>
              <w:noProof/>
              <w:sz w:val="22"/>
              <w:szCs w:val="22"/>
              <w:lang w:eastAsia="sk-SK"/>
            </w:rPr>
          </w:pPr>
          <w:hyperlink w:anchor="_Toc70711594" w:history="1">
            <w:r w:rsidRPr="00553EC9">
              <w:rPr>
                <w:rStyle w:val="Hypertextovprepojenie"/>
                <w:noProof/>
              </w:rPr>
              <w:t>3.3.1</w:t>
            </w:r>
            <w:r>
              <w:rPr>
                <w:rFonts w:asciiTheme="minorHAnsi" w:eastAsiaTheme="minorEastAsia" w:hAnsiTheme="minorHAnsi" w:cstheme="minorBidi"/>
                <w:noProof/>
                <w:sz w:val="22"/>
                <w:szCs w:val="22"/>
                <w:lang w:eastAsia="sk-SK"/>
              </w:rPr>
              <w:tab/>
            </w:r>
            <w:r w:rsidRPr="00553EC9">
              <w:rPr>
                <w:rStyle w:val="Hypertextovprepojenie"/>
                <w:noProof/>
              </w:rPr>
              <w:t>Skutočne Digitálne služby</w:t>
            </w:r>
            <w:r>
              <w:rPr>
                <w:noProof/>
                <w:webHidden/>
              </w:rPr>
              <w:tab/>
            </w:r>
            <w:r>
              <w:rPr>
                <w:noProof/>
                <w:webHidden/>
              </w:rPr>
              <w:fldChar w:fldCharType="begin"/>
            </w:r>
            <w:r>
              <w:rPr>
                <w:noProof/>
                <w:webHidden/>
              </w:rPr>
              <w:instrText xml:space="preserve"> PAGEREF _Toc70711594 \h </w:instrText>
            </w:r>
            <w:r>
              <w:rPr>
                <w:noProof/>
                <w:webHidden/>
              </w:rPr>
            </w:r>
            <w:r>
              <w:rPr>
                <w:noProof/>
                <w:webHidden/>
              </w:rPr>
              <w:fldChar w:fldCharType="separate"/>
            </w:r>
            <w:r>
              <w:rPr>
                <w:noProof/>
                <w:webHidden/>
              </w:rPr>
              <w:t>11</w:t>
            </w:r>
            <w:r>
              <w:rPr>
                <w:noProof/>
                <w:webHidden/>
              </w:rPr>
              <w:fldChar w:fldCharType="end"/>
            </w:r>
          </w:hyperlink>
        </w:p>
        <w:p w14:paraId="175906DD" w14:textId="54DE2B5A" w:rsidR="00220AFF" w:rsidRDefault="00220AFF">
          <w:pPr>
            <w:pStyle w:val="Obsah3"/>
            <w:rPr>
              <w:rFonts w:asciiTheme="minorHAnsi" w:eastAsiaTheme="minorEastAsia" w:hAnsiTheme="minorHAnsi" w:cstheme="minorBidi"/>
              <w:noProof/>
              <w:sz w:val="22"/>
              <w:szCs w:val="22"/>
              <w:lang w:eastAsia="sk-SK"/>
            </w:rPr>
          </w:pPr>
          <w:hyperlink w:anchor="_Toc70711595" w:history="1">
            <w:r w:rsidRPr="00553EC9">
              <w:rPr>
                <w:rStyle w:val="Hypertextovprepojenie"/>
                <w:noProof/>
              </w:rPr>
              <w:t>3.3.2</w:t>
            </w:r>
            <w:r>
              <w:rPr>
                <w:rFonts w:asciiTheme="minorHAnsi" w:eastAsiaTheme="minorEastAsia" w:hAnsiTheme="minorHAnsi" w:cstheme="minorBidi"/>
                <w:noProof/>
                <w:sz w:val="22"/>
                <w:szCs w:val="22"/>
                <w:lang w:eastAsia="sk-SK"/>
              </w:rPr>
              <w:tab/>
            </w:r>
            <w:r w:rsidRPr="00553EC9">
              <w:rPr>
                <w:rStyle w:val="Hypertextovprepojenie"/>
                <w:noProof/>
              </w:rPr>
              <w:t>Digitálny úradník</w:t>
            </w:r>
            <w:r>
              <w:rPr>
                <w:noProof/>
                <w:webHidden/>
              </w:rPr>
              <w:tab/>
            </w:r>
            <w:r>
              <w:rPr>
                <w:noProof/>
                <w:webHidden/>
              </w:rPr>
              <w:fldChar w:fldCharType="begin"/>
            </w:r>
            <w:r>
              <w:rPr>
                <w:noProof/>
                <w:webHidden/>
              </w:rPr>
              <w:instrText xml:space="preserve"> PAGEREF _Toc70711595 \h </w:instrText>
            </w:r>
            <w:r>
              <w:rPr>
                <w:noProof/>
                <w:webHidden/>
              </w:rPr>
            </w:r>
            <w:r>
              <w:rPr>
                <w:noProof/>
                <w:webHidden/>
              </w:rPr>
              <w:fldChar w:fldCharType="separate"/>
            </w:r>
            <w:r>
              <w:rPr>
                <w:noProof/>
                <w:webHidden/>
              </w:rPr>
              <w:t>12</w:t>
            </w:r>
            <w:r>
              <w:rPr>
                <w:noProof/>
                <w:webHidden/>
              </w:rPr>
              <w:fldChar w:fldCharType="end"/>
            </w:r>
          </w:hyperlink>
        </w:p>
        <w:p w14:paraId="4D690FDF" w14:textId="0B645D2F" w:rsidR="00220AFF" w:rsidRDefault="00220AFF">
          <w:pPr>
            <w:pStyle w:val="Obsah3"/>
            <w:rPr>
              <w:rFonts w:asciiTheme="minorHAnsi" w:eastAsiaTheme="minorEastAsia" w:hAnsiTheme="minorHAnsi" w:cstheme="minorBidi"/>
              <w:noProof/>
              <w:sz w:val="22"/>
              <w:szCs w:val="22"/>
              <w:lang w:eastAsia="sk-SK"/>
            </w:rPr>
          </w:pPr>
          <w:hyperlink w:anchor="_Toc70711596" w:history="1">
            <w:r w:rsidRPr="00553EC9">
              <w:rPr>
                <w:rStyle w:val="Hypertextovprepojenie"/>
                <w:noProof/>
              </w:rPr>
              <w:t>3.3.3</w:t>
            </w:r>
            <w:r>
              <w:rPr>
                <w:rFonts w:asciiTheme="minorHAnsi" w:eastAsiaTheme="minorEastAsia" w:hAnsiTheme="minorHAnsi" w:cstheme="minorBidi"/>
                <w:noProof/>
                <w:sz w:val="22"/>
                <w:szCs w:val="22"/>
                <w:lang w:eastAsia="sk-SK"/>
              </w:rPr>
              <w:tab/>
            </w:r>
            <w:r w:rsidRPr="00553EC9">
              <w:rPr>
                <w:rStyle w:val="Hypertextovprepojenie"/>
                <w:noProof/>
              </w:rPr>
              <w:t>Jeden štát, jeden dizajn, jedno miesto</w:t>
            </w:r>
            <w:r>
              <w:rPr>
                <w:noProof/>
                <w:webHidden/>
              </w:rPr>
              <w:tab/>
            </w:r>
            <w:r>
              <w:rPr>
                <w:noProof/>
                <w:webHidden/>
              </w:rPr>
              <w:fldChar w:fldCharType="begin"/>
            </w:r>
            <w:r>
              <w:rPr>
                <w:noProof/>
                <w:webHidden/>
              </w:rPr>
              <w:instrText xml:space="preserve"> PAGEREF _Toc70711596 \h </w:instrText>
            </w:r>
            <w:r>
              <w:rPr>
                <w:noProof/>
                <w:webHidden/>
              </w:rPr>
            </w:r>
            <w:r>
              <w:rPr>
                <w:noProof/>
                <w:webHidden/>
              </w:rPr>
              <w:fldChar w:fldCharType="separate"/>
            </w:r>
            <w:r>
              <w:rPr>
                <w:noProof/>
                <w:webHidden/>
              </w:rPr>
              <w:t>14</w:t>
            </w:r>
            <w:r>
              <w:rPr>
                <w:noProof/>
                <w:webHidden/>
              </w:rPr>
              <w:fldChar w:fldCharType="end"/>
            </w:r>
          </w:hyperlink>
        </w:p>
        <w:p w14:paraId="5292B1B5" w14:textId="74A220FE" w:rsidR="00220AFF" w:rsidRDefault="00220AFF">
          <w:pPr>
            <w:pStyle w:val="Obsah2"/>
            <w:rPr>
              <w:rFonts w:asciiTheme="minorHAnsi" w:eastAsiaTheme="minorEastAsia" w:hAnsiTheme="minorHAnsi" w:cstheme="minorBidi"/>
              <w:noProof/>
              <w:sz w:val="22"/>
              <w:szCs w:val="22"/>
              <w:lang w:eastAsia="sk-SK"/>
            </w:rPr>
          </w:pPr>
          <w:hyperlink w:anchor="_Toc70711597" w:history="1">
            <w:r w:rsidRPr="00553EC9">
              <w:rPr>
                <w:rStyle w:val="Hypertextovprepojenie"/>
                <w:noProof/>
                <w14:scene3d>
                  <w14:camera w14:prst="orthographicFront"/>
                  <w14:lightRig w14:rig="threePt" w14:dir="t">
                    <w14:rot w14:lat="0" w14:lon="0" w14:rev="0"/>
                  </w14:lightRig>
                </w14:scene3d>
              </w:rPr>
              <w:t>3.4</w:t>
            </w:r>
            <w:r>
              <w:rPr>
                <w:rFonts w:asciiTheme="minorHAnsi" w:eastAsiaTheme="minorEastAsia" w:hAnsiTheme="minorHAnsi" w:cstheme="minorBidi"/>
                <w:noProof/>
                <w:sz w:val="22"/>
                <w:szCs w:val="22"/>
                <w:lang w:eastAsia="sk-SK"/>
              </w:rPr>
              <w:tab/>
            </w:r>
            <w:r w:rsidRPr="00553EC9">
              <w:rPr>
                <w:rStyle w:val="Hypertextovprepojenie"/>
                <w:noProof/>
              </w:rPr>
              <w:t>Digitálna transformácia verejnej správy</w:t>
            </w:r>
            <w:r>
              <w:rPr>
                <w:noProof/>
                <w:webHidden/>
              </w:rPr>
              <w:tab/>
            </w:r>
            <w:r>
              <w:rPr>
                <w:noProof/>
                <w:webHidden/>
              </w:rPr>
              <w:fldChar w:fldCharType="begin"/>
            </w:r>
            <w:r>
              <w:rPr>
                <w:noProof/>
                <w:webHidden/>
              </w:rPr>
              <w:instrText xml:space="preserve"> PAGEREF _Toc70711597 \h </w:instrText>
            </w:r>
            <w:r>
              <w:rPr>
                <w:noProof/>
                <w:webHidden/>
              </w:rPr>
            </w:r>
            <w:r>
              <w:rPr>
                <w:noProof/>
                <w:webHidden/>
              </w:rPr>
              <w:fldChar w:fldCharType="separate"/>
            </w:r>
            <w:r>
              <w:rPr>
                <w:noProof/>
                <w:webHidden/>
              </w:rPr>
              <w:t>14</w:t>
            </w:r>
            <w:r>
              <w:rPr>
                <w:noProof/>
                <w:webHidden/>
              </w:rPr>
              <w:fldChar w:fldCharType="end"/>
            </w:r>
          </w:hyperlink>
        </w:p>
        <w:p w14:paraId="60B84278" w14:textId="6189B88B" w:rsidR="00220AFF" w:rsidRDefault="00220AFF">
          <w:pPr>
            <w:pStyle w:val="Obsah3"/>
            <w:rPr>
              <w:rFonts w:asciiTheme="minorHAnsi" w:eastAsiaTheme="minorEastAsia" w:hAnsiTheme="minorHAnsi" w:cstheme="minorBidi"/>
              <w:noProof/>
              <w:sz w:val="22"/>
              <w:szCs w:val="22"/>
              <w:lang w:eastAsia="sk-SK"/>
            </w:rPr>
          </w:pPr>
          <w:hyperlink w:anchor="_Toc70711598" w:history="1">
            <w:r w:rsidRPr="00553EC9">
              <w:rPr>
                <w:rStyle w:val="Hypertextovprepojenie"/>
                <w:noProof/>
              </w:rPr>
              <w:t>3.4.1</w:t>
            </w:r>
            <w:r>
              <w:rPr>
                <w:rFonts w:asciiTheme="minorHAnsi" w:eastAsiaTheme="minorEastAsia" w:hAnsiTheme="minorHAnsi" w:cstheme="minorBidi"/>
                <w:noProof/>
                <w:sz w:val="22"/>
                <w:szCs w:val="22"/>
                <w:lang w:eastAsia="sk-SK"/>
              </w:rPr>
              <w:tab/>
            </w:r>
            <w:r w:rsidRPr="00553EC9">
              <w:rPr>
                <w:rStyle w:val="Hypertextovprepojenie"/>
                <w:noProof/>
              </w:rPr>
              <w:t>Zásadná zmena fungovania verejnej správy</w:t>
            </w:r>
            <w:r>
              <w:rPr>
                <w:noProof/>
                <w:webHidden/>
              </w:rPr>
              <w:tab/>
            </w:r>
            <w:r>
              <w:rPr>
                <w:noProof/>
                <w:webHidden/>
              </w:rPr>
              <w:fldChar w:fldCharType="begin"/>
            </w:r>
            <w:r>
              <w:rPr>
                <w:noProof/>
                <w:webHidden/>
              </w:rPr>
              <w:instrText xml:space="preserve"> PAGEREF _Toc70711598 \h </w:instrText>
            </w:r>
            <w:r>
              <w:rPr>
                <w:noProof/>
                <w:webHidden/>
              </w:rPr>
            </w:r>
            <w:r>
              <w:rPr>
                <w:noProof/>
                <w:webHidden/>
              </w:rPr>
              <w:fldChar w:fldCharType="separate"/>
            </w:r>
            <w:r>
              <w:rPr>
                <w:noProof/>
                <w:webHidden/>
              </w:rPr>
              <w:t>15</w:t>
            </w:r>
            <w:r>
              <w:rPr>
                <w:noProof/>
                <w:webHidden/>
              </w:rPr>
              <w:fldChar w:fldCharType="end"/>
            </w:r>
          </w:hyperlink>
        </w:p>
        <w:p w14:paraId="17DAEE02" w14:textId="579D5DF5" w:rsidR="00220AFF" w:rsidRDefault="00220AFF">
          <w:pPr>
            <w:pStyle w:val="Obsah3"/>
            <w:rPr>
              <w:rFonts w:asciiTheme="minorHAnsi" w:eastAsiaTheme="minorEastAsia" w:hAnsiTheme="minorHAnsi" w:cstheme="minorBidi"/>
              <w:noProof/>
              <w:sz w:val="22"/>
              <w:szCs w:val="22"/>
              <w:lang w:eastAsia="sk-SK"/>
            </w:rPr>
          </w:pPr>
          <w:hyperlink w:anchor="_Toc70711599" w:history="1">
            <w:r w:rsidRPr="00553EC9">
              <w:rPr>
                <w:rStyle w:val="Hypertextovprepojenie"/>
                <w:noProof/>
              </w:rPr>
              <w:t>3.4.2</w:t>
            </w:r>
            <w:r>
              <w:rPr>
                <w:rFonts w:asciiTheme="minorHAnsi" w:eastAsiaTheme="minorEastAsia" w:hAnsiTheme="minorHAnsi" w:cstheme="minorBidi"/>
                <w:noProof/>
                <w:sz w:val="22"/>
                <w:szCs w:val="22"/>
                <w:lang w:eastAsia="sk-SK"/>
              </w:rPr>
              <w:tab/>
            </w:r>
            <w:r w:rsidRPr="00553EC9">
              <w:rPr>
                <w:rStyle w:val="Hypertextovprepojenie"/>
                <w:noProof/>
              </w:rPr>
              <w:t>Lepšie údaje</w:t>
            </w:r>
            <w:r>
              <w:rPr>
                <w:noProof/>
                <w:webHidden/>
              </w:rPr>
              <w:tab/>
            </w:r>
            <w:r>
              <w:rPr>
                <w:noProof/>
                <w:webHidden/>
              </w:rPr>
              <w:fldChar w:fldCharType="begin"/>
            </w:r>
            <w:r>
              <w:rPr>
                <w:noProof/>
                <w:webHidden/>
              </w:rPr>
              <w:instrText xml:space="preserve"> PAGEREF _Toc70711599 \h </w:instrText>
            </w:r>
            <w:r>
              <w:rPr>
                <w:noProof/>
                <w:webHidden/>
              </w:rPr>
            </w:r>
            <w:r>
              <w:rPr>
                <w:noProof/>
                <w:webHidden/>
              </w:rPr>
              <w:fldChar w:fldCharType="separate"/>
            </w:r>
            <w:r>
              <w:rPr>
                <w:noProof/>
                <w:webHidden/>
              </w:rPr>
              <w:t>16</w:t>
            </w:r>
            <w:r>
              <w:rPr>
                <w:noProof/>
                <w:webHidden/>
              </w:rPr>
              <w:fldChar w:fldCharType="end"/>
            </w:r>
          </w:hyperlink>
        </w:p>
        <w:p w14:paraId="44E9723B" w14:textId="7DEE775D" w:rsidR="00220AFF" w:rsidRDefault="00220AFF">
          <w:pPr>
            <w:pStyle w:val="Obsah3"/>
            <w:rPr>
              <w:rFonts w:asciiTheme="minorHAnsi" w:eastAsiaTheme="minorEastAsia" w:hAnsiTheme="minorHAnsi" w:cstheme="minorBidi"/>
              <w:noProof/>
              <w:sz w:val="22"/>
              <w:szCs w:val="22"/>
              <w:lang w:eastAsia="sk-SK"/>
            </w:rPr>
          </w:pPr>
          <w:hyperlink w:anchor="_Toc70711600" w:history="1">
            <w:r w:rsidRPr="00553EC9">
              <w:rPr>
                <w:rStyle w:val="Hypertextovprepojenie"/>
                <w:noProof/>
              </w:rPr>
              <w:t>3.4.3</w:t>
            </w:r>
            <w:r>
              <w:rPr>
                <w:rFonts w:asciiTheme="minorHAnsi" w:eastAsiaTheme="minorEastAsia" w:hAnsiTheme="minorHAnsi" w:cstheme="minorBidi"/>
                <w:noProof/>
                <w:sz w:val="22"/>
                <w:szCs w:val="22"/>
                <w:lang w:eastAsia="sk-SK"/>
              </w:rPr>
              <w:tab/>
            </w:r>
            <w:r w:rsidRPr="00553EC9">
              <w:rPr>
                <w:rStyle w:val="Hypertextovprepojenie"/>
                <w:noProof/>
              </w:rPr>
              <w:t>Informatizácia územnej samosprávy</w:t>
            </w:r>
            <w:r>
              <w:rPr>
                <w:noProof/>
                <w:webHidden/>
              </w:rPr>
              <w:tab/>
            </w:r>
            <w:r>
              <w:rPr>
                <w:noProof/>
                <w:webHidden/>
              </w:rPr>
              <w:fldChar w:fldCharType="begin"/>
            </w:r>
            <w:r>
              <w:rPr>
                <w:noProof/>
                <w:webHidden/>
              </w:rPr>
              <w:instrText xml:space="preserve"> PAGEREF _Toc70711600 \h </w:instrText>
            </w:r>
            <w:r>
              <w:rPr>
                <w:noProof/>
                <w:webHidden/>
              </w:rPr>
            </w:r>
            <w:r>
              <w:rPr>
                <w:noProof/>
                <w:webHidden/>
              </w:rPr>
              <w:fldChar w:fldCharType="separate"/>
            </w:r>
            <w:r>
              <w:rPr>
                <w:noProof/>
                <w:webHidden/>
              </w:rPr>
              <w:t>16</w:t>
            </w:r>
            <w:r>
              <w:rPr>
                <w:noProof/>
                <w:webHidden/>
              </w:rPr>
              <w:fldChar w:fldCharType="end"/>
            </w:r>
          </w:hyperlink>
        </w:p>
        <w:p w14:paraId="4AD0216B" w14:textId="5F53DBB1" w:rsidR="00220AFF" w:rsidRDefault="00220AFF">
          <w:pPr>
            <w:pStyle w:val="Obsah2"/>
            <w:rPr>
              <w:rFonts w:asciiTheme="minorHAnsi" w:eastAsiaTheme="minorEastAsia" w:hAnsiTheme="minorHAnsi" w:cstheme="minorBidi"/>
              <w:noProof/>
              <w:sz w:val="22"/>
              <w:szCs w:val="22"/>
              <w:lang w:eastAsia="sk-SK"/>
            </w:rPr>
          </w:pPr>
          <w:hyperlink w:anchor="_Toc70711601" w:history="1">
            <w:r w:rsidRPr="00553EC9">
              <w:rPr>
                <w:rStyle w:val="Hypertextovprepojenie"/>
                <w:noProof/>
                <w14:scene3d>
                  <w14:camera w14:prst="orthographicFront"/>
                  <w14:lightRig w14:rig="threePt" w14:dir="t">
                    <w14:rot w14:lat="0" w14:lon="0" w14:rev="0"/>
                  </w14:lightRig>
                </w14:scene3d>
              </w:rPr>
              <w:t>3.5</w:t>
            </w:r>
            <w:r>
              <w:rPr>
                <w:rFonts w:asciiTheme="minorHAnsi" w:eastAsiaTheme="minorEastAsia" w:hAnsiTheme="minorHAnsi" w:cstheme="minorBidi"/>
                <w:noProof/>
                <w:sz w:val="22"/>
                <w:szCs w:val="22"/>
                <w:lang w:eastAsia="sk-SK"/>
              </w:rPr>
              <w:tab/>
            </w:r>
            <w:r w:rsidRPr="00553EC9">
              <w:rPr>
                <w:rStyle w:val="Hypertextovprepojenie"/>
                <w:noProof/>
              </w:rPr>
              <w:t>Efektívne riadenie digitálneho štátu</w:t>
            </w:r>
            <w:r>
              <w:rPr>
                <w:noProof/>
                <w:webHidden/>
              </w:rPr>
              <w:tab/>
            </w:r>
            <w:r>
              <w:rPr>
                <w:noProof/>
                <w:webHidden/>
              </w:rPr>
              <w:fldChar w:fldCharType="begin"/>
            </w:r>
            <w:r>
              <w:rPr>
                <w:noProof/>
                <w:webHidden/>
              </w:rPr>
              <w:instrText xml:space="preserve"> PAGEREF _Toc70711601 \h </w:instrText>
            </w:r>
            <w:r>
              <w:rPr>
                <w:noProof/>
                <w:webHidden/>
              </w:rPr>
            </w:r>
            <w:r>
              <w:rPr>
                <w:noProof/>
                <w:webHidden/>
              </w:rPr>
              <w:fldChar w:fldCharType="separate"/>
            </w:r>
            <w:r>
              <w:rPr>
                <w:noProof/>
                <w:webHidden/>
              </w:rPr>
              <w:t>17</w:t>
            </w:r>
            <w:r>
              <w:rPr>
                <w:noProof/>
                <w:webHidden/>
              </w:rPr>
              <w:fldChar w:fldCharType="end"/>
            </w:r>
          </w:hyperlink>
        </w:p>
        <w:p w14:paraId="2D9ED380" w14:textId="332E5CF0" w:rsidR="00220AFF" w:rsidRDefault="00220AFF">
          <w:pPr>
            <w:pStyle w:val="Obsah3"/>
            <w:rPr>
              <w:rFonts w:asciiTheme="minorHAnsi" w:eastAsiaTheme="minorEastAsia" w:hAnsiTheme="minorHAnsi" w:cstheme="minorBidi"/>
              <w:noProof/>
              <w:sz w:val="22"/>
              <w:szCs w:val="22"/>
              <w:lang w:eastAsia="sk-SK"/>
            </w:rPr>
          </w:pPr>
          <w:hyperlink w:anchor="_Toc70711602" w:history="1">
            <w:r w:rsidRPr="00553EC9">
              <w:rPr>
                <w:rStyle w:val="Hypertextovprepojenie"/>
                <w:noProof/>
              </w:rPr>
              <w:t>3.5.1</w:t>
            </w:r>
            <w:r>
              <w:rPr>
                <w:rFonts w:asciiTheme="minorHAnsi" w:eastAsiaTheme="minorEastAsia" w:hAnsiTheme="minorHAnsi" w:cstheme="minorBidi"/>
                <w:noProof/>
                <w:sz w:val="22"/>
                <w:szCs w:val="22"/>
                <w:lang w:eastAsia="sk-SK"/>
              </w:rPr>
              <w:tab/>
            </w:r>
            <w:r w:rsidRPr="00553EC9">
              <w:rPr>
                <w:rStyle w:val="Hypertextovprepojenie"/>
                <w:noProof/>
              </w:rPr>
              <w:t>Centralizácia, kde to má zmysel</w:t>
            </w:r>
            <w:r>
              <w:rPr>
                <w:noProof/>
                <w:webHidden/>
              </w:rPr>
              <w:tab/>
            </w:r>
            <w:r>
              <w:rPr>
                <w:noProof/>
                <w:webHidden/>
              </w:rPr>
              <w:fldChar w:fldCharType="begin"/>
            </w:r>
            <w:r>
              <w:rPr>
                <w:noProof/>
                <w:webHidden/>
              </w:rPr>
              <w:instrText xml:space="preserve"> PAGEREF _Toc70711602 \h </w:instrText>
            </w:r>
            <w:r>
              <w:rPr>
                <w:noProof/>
                <w:webHidden/>
              </w:rPr>
            </w:r>
            <w:r>
              <w:rPr>
                <w:noProof/>
                <w:webHidden/>
              </w:rPr>
              <w:fldChar w:fldCharType="separate"/>
            </w:r>
            <w:r>
              <w:rPr>
                <w:noProof/>
                <w:webHidden/>
              </w:rPr>
              <w:t>18</w:t>
            </w:r>
            <w:r>
              <w:rPr>
                <w:noProof/>
                <w:webHidden/>
              </w:rPr>
              <w:fldChar w:fldCharType="end"/>
            </w:r>
          </w:hyperlink>
        </w:p>
        <w:p w14:paraId="41248FDF" w14:textId="4D7743EC" w:rsidR="00220AFF" w:rsidRDefault="00220AFF">
          <w:pPr>
            <w:pStyle w:val="Obsah3"/>
            <w:rPr>
              <w:rFonts w:asciiTheme="minorHAnsi" w:eastAsiaTheme="minorEastAsia" w:hAnsiTheme="minorHAnsi" w:cstheme="minorBidi"/>
              <w:noProof/>
              <w:sz w:val="22"/>
              <w:szCs w:val="22"/>
              <w:lang w:eastAsia="sk-SK"/>
            </w:rPr>
          </w:pPr>
          <w:hyperlink w:anchor="_Toc70711603" w:history="1">
            <w:r w:rsidRPr="00553EC9">
              <w:rPr>
                <w:rStyle w:val="Hypertextovprepojenie"/>
                <w:noProof/>
              </w:rPr>
              <w:t>3.5.2</w:t>
            </w:r>
            <w:r>
              <w:rPr>
                <w:rFonts w:asciiTheme="minorHAnsi" w:eastAsiaTheme="minorEastAsia" w:hAnsiTheme="minorHAnsi" w:cstheme="minorBidi"/>
                <w:noProof/>
                <w:sz w:val="22"/>
                <w:szCs w:val="22"/>
                <w:lang w:eastAsia="sk-SK"/>
              </w:rPr>
              <w:tab/>
            </w:r>
            <w:r w:rsidRPr="00553EC9">
              <w:rPr>
                <w:rStyle w:val="Hypertextovprepojenie"/>
                <w:noProof/>
              </w:rPr>
              <w:t>Kybernetická a informačná bezpečnosť</w:t>
            </w:r>
            <w:r>
              <w:rPr>
                <w:noProof/>
                <w:webHidden/>
              </w:rPr>
              <w:tab/>
            </w:r>
            <w:r>
              <w:rPr>
                <w:noProof/>
                <w:webHidden/>
              </w:rPr>
              <w:fldChar w:fldCharType="begin"/>
            </w:r>
            <w:r>
              <w:rPr>
                <w:noProof/>
                <w:webHidden/>
              </w:rPr>
              <w:instrText xml:space="preserve"> PAGEREF _Toc70711603 \h </w:instrText>
            </w:r>
            <w:r>
              <w:rPr>
                <w:noProof/>
                <w:webHidden/>
              </w:rPr>
            </w:r>
            <w:r>
              <w:rPr>
                <w:noProof/>
                <w:webHidden/>
              </w:rPr>
              <w:fldChar w:fldCharType="separate"/>
            </w:r>
            <w:r>
              <w:rPr>
                <w:noProof/>
                <w:webHidden/>
              </w:rPr>
              <w:t>19</w:t>
            </w:r>
            <w:r>
              <w:rPr>
                <w:noProof/>
                <w:webHidden/>
              </w:rPr>
              <w:fldChar w:fldCharType="end"/>
            </w:r>
          </w:hyperlink>
        </w:p>
        <w:p w14:paraId="32B02498" w14:textId="47E4B5D2" w:rsidR="00220AFF" w:rsidRDefault="00220AFF">
          <w:pPr>
            <w:pStyle w:val="Obsah3"/>
            <w:rPr>
              <w:rFonts w:asciiTheme="minorHAnsi" w:eastAsiaTheme="minorEastAsia" w:hAnsiTheme="minorHAnsi" w:cstheme="minorBidi"/>
              <w:noProof/>
              <w:sz w:val="22"/>
              <w:szCs w:val="22"/>
              <w:lang w:eastAsia="sk-SK"/>
            </w:rPr>
          </w:pPr>
          <w:hyperlink w:anchor="_Toc70711604" w:history="1">
            <w:r w:rsidRPr="00553EC9">
              <w:rPr>
                <w:rStyle w:val="Hypertextovprepojenie"/>
                <w:noProof/>
              </w:rPr>
              <w:t>3.5.3</w:t>
            </w:r>
            <w:r>
              <w:rPr>
                <w:rFonts w:asciiTheme="minorHAnsi" w:eastAsiaTheme="minorEastAsia" w:hAnsiTheme="minorHAnsi" w:cstheme="minorBidi"/>
                <w:noProof/>
                <w:sz w:val="22"/>
                <w:szCs w:val="22"/>
                <w:lang w:eastAsia="sk-SK"/>
              </w:rPr>
              <w:tab/>
            </w:r>
            <w:r w:rsidRPr="00553EC9">
              <w:rPr>
                <w:rStyle w:val="Hypertextovprepojenie"/>
                <w:noProof/>
              </w:rPr>
              <w:t>Verejné obstarávanie a nákup</w:t>
            </w:r>
            <w:r>
              <w:rPr>
                <w:noProof/>
                <w:webHidden/>
              </w:rPr>
              <w:tab/>
            </w:r>
            <w:r>
              <w:rPr>
                <w:noProof/>
                <w:webHidden/>
              </w:rPr>
              <w:fldChar w:fldCharType="begin"/>
            </w:r>
            <w:r>
              <w:rPr>
                <w:noProof/>
                <w:webHidden/>
              </w:rPr>
              <w:instrText xml:space="preserve"> PAGEREF _Toc70711604 \h </w:instrText>
            </w:r>
            <w:r>
              <w:rPr>
                <w:noProof/>
                <w:webHidden/>
              </w:rPr>
            </w:r>
            <w:r>
              <w:rPr>
                <w:noProof/>
                <w:webHidden/>
              </w:rPr>
              <w:fldChar w:fldCharType="separate"/>
            </w:r>
            <w:r>
              <w:rPr>
                <w:noProof/>
                <w:webHidden/>
              </w:rPr>
              <w:t>20</w:t>
            </w:r>
            <w:r>
              <w:rPr>
                <w:noProof/>
                <w:webHidden/>
              </w:rPr>
              <w:fldChar w:fldCharType="end"/>
            </w:r>
          </w:hyperlink>
        </w:p>
        <w:p w14:paraId="2A78B91B" w14:textId="7BE8A72E" w:rsidR="00220AFF" w:rsidRDefault="00220AFF">
          <w:pPr>
            <w:pStyle w:val="Obsah3"/>
            <w:rPr>
              <w:rFonts w:asciiTheme="minorHAnsi" w:eastAsiaTheme="minorEastAsia" w:hAnsiTheme="minorHAnsi" w:cstheme="minorBidi"/>
              <w:noProof/>
              <w:sz w:val="22"/>
              <w:szCs w:val="22"/>
              <w:lang w:eastAsia="sk-SK"/>
            </w:rPr>
          </w:pPr>
          <w:hyperlink w:anchor="_Toc70711605" w:history="1">
            <w:r w:rsidRPr="00553EC9">
              <w:rPr>
                <w:rStyle w:val="Hypertextovprepojenie"/>
                <w:noProof/>
              </w:rPr>
              <w:t>3.5.4</w:t>
            </w:r>
            <w:r>
              <w:rPr>
                <w:rFonts w:asciiTheme="minorHAnsi" w:eastAsiaTheme="minorEastAsia" w:hAnsiTheme="minorHAnsi" w:cstheme="minorBidi"/>
                <w:noProof/>
                <w:sz w:val="22"/>
                <w:szCs w:val="22"/>
                <w:lang w:eastAsia="sk-SK"/>
              </w:rPr>
              <w:tab/>
            </w:r>
            <w:r w:rsidRPr="00553EC9">
              <w:rPr>
                <w:rStyle w:val="Hypertextovprepojenie"/>
                <w:noProof/>
              </w:rPr>
              <w:t>Ľudské zdroje v štátnom IT</w:t>
            </w:r>
            <w:r>
              <w:rPr>
                <w:noProof/>
                <w:webHidden/>
              </w:rPr>
              <w:tab/>
            </w:r>
            <w:r>
              <w:rPr>
                <w:noProof/>
                <w:webHidden/>
              </w:rPr>
              <w:fldChar w:fldCharType="begin"/>
            </w:r>
            <w:r>
              <w:rPr>
                <w:noProof/>
                <w:webHidden/>
              </w:rPr>
              <w:instrText xml:space="preserve"> PAGEREF _Toc70711605 \h </w:instrText>
            </w:r>
            <w:r>
              <w:rPr>
                <w:noProof/>
                <w:webHidden/>
              </w:rPr>
            </w:r>
            <w:r>
              <w:rPr>
                <w:noProof/>
                <w:webHidden/>
              </w:rPr>
              <w:fldChar w:fldCharType="separate"/>
            </w:r>
            <w:r>
              <w:rPr>
                <w:noProof/>
                <w:webHidden/>
              </w:rPr>
              <w:t>21</w:t>
            </w:r>
            <w:r>
              <w:rPr>
                <w:noProof/>
                <w:webHidden/>
              </w:rPr>
              <w:fldChar w:fldCharType="end"/>
            </w:r>
          </w:hyperlink>
        </w:p>
        <w:p w14:paraId="74620B22" w14:textId="34EEC5F2" w:rsidR="00220AFF" w:rsidRDefault="00220AFF">
          <w:pPr>
            <w:pStyle w:val="Obsah3"/>
            <w:rPr>
              <w:rFonts w:asciiTheme="minorHAnsi" w:eastAsiaTheme="minorEastAsia" w:hAnsiTheme="minorHAnsi" w:cstheme="minorBidi"/>
              <w:noProof/>
              <w:sz w:val="22"/>
              <w:szCs w:val="22"/>
              <w:lang w:eastAsia="sk-SK"/>
            </w:rPr>
          </w:pPr>
          <w:hyperlink w:anchor="_Toc70711606" w:history="1">
            <w:r w:rsidRPr="00553EC9">
              <w:rPr>
                <w:rStyle w:val="Hypertextovprepojenie"/>
                <w:noProof/>
              </w:rPr>
              <w:t>3.5.5</w:t>
            </w:r>
            <w:r>
              <w:rPr>
                <w:rFonts w:asciiTheme="minorHAnsi" w:eastAsiaTheme="minorEastAsia" w:hAnsiTheme="minorHAnsi" w:cstheme="minorBidi"/>
                <w:noProof/>
                <w:sz w:val="22"/>
                <w:szCs w:val="22"/>
                <w:lang w:eastAsia="sk-SK"/>
              </w:rPr>
              <w:tab/>
            </w:r>
            <w:r w:rsidRPr="00553EC9">
              <w:rPr>
                <w:rStyle w:val="Hypertextovprepojenie"/>
                <w:noProof/>
              </w:rPr>
              <w:t>Efektívne riadenie</w:t>
            </w:r>
            <w:r>
              <w:rPr>
                <w:noProof/>
                <w:webHidden/>
              </w:rPr>
              <w:tab/>
            </w:r>
            <w:r>
              <w:rPr>
                <w:noProof/>
                <w:webHidden/>
              </w:rPr>
              <w:fldChar w:fldCharType="begin"/>
            </w:r>
            <w:r>
              <w:rPr>
                <w:noProof/>
                <w:webHidden/>
              </w:rPr>
              <w:instrText xml:space="preserve"> PAGEREF _Toc70711606 \h </w:instrText>
            </w:r>
            <w:r>
              <w:rPr>
                <w:noProof/>
                <w:webHidden/>
              </w:rPr>
            </w:r>
            <w:r>
              <w:rPr>
                <w:noProof/>
                <w:webHidden/>
              </w:rPr>
              <w:fldChar w:fldCharType="separate"/>
            </w:r>
            <w:r>
              <w:rPr>
                <w:noProof/>
                <w:webHidden/>
              </w:rPr>
              <w:t>21</w:t>
            </w:r>
            <w:r>
              <w:rPr>
                <w:noProof/>
                <w:webHidden/>
              </w:rPr>
              <w:fldChar w:fldCharType="end"/>
            </w:r>
          </w:hyperlink>
        </w:p>
        <w:p w14:paraId="70521EBF" w14:textId="69BA7465" w:rsidR="00220AFF" w:rsidRDefault="00220AFF">
          <w:pPr>
            <w:pStyle w:val="Obsah1"/>
            <w:rPr>
              <w:rFonts w:asciiTheme="minorHAnsi" w:eastAsiaTheme="minorEastAsia" w:hAnsiTheme="minorHAnsi" w:cstheme="minorBidi"/>
              <w:noProof/>
              <w:sz w:val="22"/>
              <w:szCs w:val="22"/>
              <w:lang w:eastAsia="sk-SK"/>
            </w:rPr>
          </w:pPr>
          <w:hyperlink w:anchor="_Toc70711607" w:history="1">
            <w:r w:rsidRPr="00553EC9">
              <w:rPr>
                <w:rStyle w:val="Hypertextovprepojenie"/>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lang w:eastAsia="sk-SK"/>
              </w:rPr>
              <w:tab/>
            </w:r>
            <w:r w:rsidRPr="00553EC9">
              <w:rPr>
                <w:rStyle w:val="Hypertextovprepojenie"/>
                <w:noProof/>
              </w:rPr>
              <w:t>Opatrenia pre napĺňanie strategických cieľov a priorít informatizácie</w:t>
            </w:r>
            <w:r>
              <w:rPr>
                <w:noProof/>
                <w:webHidden/>
              </w:rPr>
              <w:tab/>
            </w:r>
            <w:r>
              <w:rPr>
                <w:noProof/>
                <w:webHidden/>
              </w:rPr>
              <w:fldChar w:fldCharType="begin"/>
            </w:r>
            <w:r>
              <w:rPr>
                <w:noProof/>
                <w:webHidden/>
              </w:rPr>
              <w:instrText xml:space="preserve"> PAGEREF _Toc70711607 \h </w:instrText>
            </w:r>
            <w:r>
              <w:rPr>
                <w:noProof/>
                <w:webHidden/>
              </w:rPr>
            </w:r>
            <w:r>
              <w:rPr>
                <w:noProof/>
                <w:webHidden/>
              </w:rPr>
              <w:fldChar w:fldCharType="separate"/>
            </w:r>
            <w:r>
              <w:rPr>
                <w:noProof/>
                <w:webHidden/>
              </w:rPr>
              <w:t>23</w:t>
            </w:r>
            <w:r>
              <w:rPr>
                <w:noProof/>
                <w:webHidden/>
              </w:rPr>
              <w:fldChar w:fldCharType="end"/>
            </w:r>
          </w:hyperlink>
        </w:p>
        <w:p w14:paraId="197267EC" w14:textId="7CD1E878" w:rsidR="00220AFF" w:rsidRDefault="00220AFF">
          <w:pPr>
            <w:pStyle w:val="Obsah2"/>
            <w:rPr>
              <w:rFonts w:asciiTheme="minorHAnsi" w:eastAsiaTheme="minorEastAsia" w:hAnsiTheme="minorHAnsi" w:cstheme="minorBidi"/>
              <w:noProof/>
              <w:sz w:val="22"/>
              <w:szCs w:val="22"/>
              <w:lang w:eastAsia="sk-SK"/>
            </w:rPr>
          </w:pPr>
          <w:hyperlink w:anchor="_Toc70711608" w:history="1">
            <w:r w:rsidRPr="00553EC9">
              <w:rPr>
                <w:rStyle w:val="Hypertextovprepojenie"/>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lang w:eastAsia="sk-SK"/>
              </w:rPr>
              <w:tab/>
            </w:r>
            <w:r w:rsidRPr="00553EC9">
              <w:rPr>
                <w:rStyle w:val="Hypertextovprepojenie"/>
                <w:noProof/>
              </w:rPr>
              <w:t>Digitálne služby</w:t>
            </w:r>
            <w:r>
              <w:rPr>
                <w:noProof/>
                <w:webHidden/>
              </w:rPr>
              <w:tab/>
            </w:r>
            <w:r>
              <w:rPr>
                <w:noProof/>
                <w:webHidden/>
              </w:rPr>
              <w:fldChar w:fldCharType="begin"/>
            </w:r>
            <w:r>
              <w:rPr>
                <w:noProof/>
                <w:webHidden/>
              </w:rPr>
              <w:instrText xml:space="preserve"> PAGEREF _Toc70711608 \h </w:instrText>
            </w:r>
            <w:r>
              <w:rPr>
                <w:noProof/>
                <w:webHidden/>
              </w:rPr>
            </w:r>
            <w:r>
              <w:rPr>
                <w:noProof/>
                <w:webHidden/>
              </w:rPr>
              <w:fldChar w:fldCharType="separate"/>
            </w:r>
            <w:r>
              <w:rPr>
                <w:noProof/>
                <w:webHidden/>
              </w:rPr>
              <w:t>23</w:t>
            </w:r>
            <w:r>
              <w:rPr>
                <w:noProof/>
                <w:webHidden/>
              </w:rPr>
              <w:fldChar w:fldCharType="end"/>
            </w:r>
          </w:hyperlink>
        </w:p>
        <w:p w14:paraId="550976D0" w14:textId="7EE87168" w:rsidR="00220AFF" w:rsidRDefault="00220AFF">
          <w:pPr>
            <w:pStyle w:val="Obsah3"/>
            <w:rPr>
              <w:rFonts w:asciiTheme="minorHAnsi" w:eastAsiaTheme="minorEastAsia" w:hAnsiTheme="minorHAnsi" w:cstheme="minorBidi"/>
              <w:noProof/>
              <w:sz w:val="22"/>
              <w:szCs w:val="22"/>
              <w:lang w:eastAsia="sk-SK"/>
            </w:rPr>
          </w:pPr>
          <w:hyperlink w:anchor="_Toc70711609" w:history="1">
            <w:r w:rsidRPr="00553EC9">
              <w:rPr>
                <w:rStyle w:val="Hypertextovprepojenie"/>
                <w:noProof/>
              </w:rPr>
              <w:t>4.1.1</w:t>
            </w:r>
            <w:r>
              <w:rPr>
                <w:rFonts w:asciiTheme="minorHAnsi" w:eastAsiaTheme="minorEastAsia" w:hAnsiTheme="minorHAnsi" w:cstheme="minorBidi"/>
                <w:noProof/>
                <w:sz w:val="22"/>
                <w:szCs w:val="22"/>
                <w:lang w:eastAsia="sk-SK"/>
              </w:rPr>
              <w:tab/>
            </w:r>
            <w:r w:rsidRPr="00553EC9">
              <w:rPr>
                <w:rStyle w:val="Hypertextovprepojenie"/>
                <w:noProof/>
              </w:rPr>
              <w:t>Skutočne Digitálne služby</w:t>
            </w:r>
            <w:r>
              <w:rPr>
                <w:noProof/>
                <w:webHidden/>
              </w:rPr>
              <w:tab/>
            </w:r>
            <w:r>
              <w:rPr>
                <w:noProof/>
                <w:webHidden/>
              </w:rPr>
              <w:fldChar w:fldCharType="begin"/>
            </w:r>
            <w:r>
              <w:rPr>
                <w:noProof/>
                <w:webHidden/>
              </w:rPr>
              <w:instrText xml:space="preserve"> PAGEREF _Toc70711609 \h </w:instrText>
            </w:r>
            <w:r>
              <w:rPr>
                <w:noProof/>
                <w:webHidden/>
              </w:rPr>
            </w:r>
            <w:r>
              <w:rPr>
                <w:noProof/>
                <w:webHidden/>
              </w:rPr>
              <w:fldChar w:fldCharType="separate"/>
            </w:r>
            <w:r>
              <w:rPr>
                <w:noProof/>
                <w:webHidden/>
              </w:rPr>
              <w:t>23</w:t>
            </w:r>
            <w:r>
              <w:rPr>
                <w:noProof/>
                <w:webHidden/>
              </w:rPr>
              <w:fldChar w:fldCharType="end"/>
            </w:r>
          </w:hyperlink>
        </w:p>
        <w:p w14:paraId="671FFE99" w14:textId="4C1DF938" w:rsidR="00220AFF" w:rsidRDefault="00220AFF">
          <w:pPr>
            <w:pStyle w:val="Obsah3"/>
            <w:rPr>
              <w:rFonts w:asciiTheme="minorHAnsi" w:eastAsiaTheme="minorEastAsia" w:hAnsiTheme="minorHAnsi" w:cstheme="minorBidi"/>
              <w:noProof/>
              <w:sz w:val="22"/>
              <w:szCs w:val="22"/>
              <w:lang w:eastAsia="sk-SK"/>
            </w:rPr>
          </w:pPr>
          <w:hyperlink w:anchor="_Toc70711610" w:history="1">
            <w:r w:rsidRPr="00553EC9">
              <w:rPr>
                <w:rStyle w:val="Hypertextovprepojenie"/>
                <w:noProof/>
              </w:rPr>
              <w:t>4.1.2</w:t>
            </w:r>
            <w:r>
              <w:rPr>
                <w:rFonts w:asciiTheme="minorHAnsi" w:eastAsiaTheme="minorEastAsia" w:hAnsiTheme="minorHAnsi" w:cstheme="minorBidi"/>
                <w:noProof/>
                <w:sz w:val="22"/>
                <w:szCs w:val="22"/>
                <w:lang w:eastAsia="sk-SK"/>
              </w:rPr>
              <w:tab/>
            </w:r>
            <w:r w:rsidRPr="00553EC9">
              <w:rPr>
                <w:rStyle w:val="Hypertextovprepojenie"/>
                <w:noProof/>
              </w:rPr>
              <w:t>Digitálny úradník</w:t>
            </w:r>
            <w:r>
              <w:rPr>
                <w:noProof/>
                <w:webHidden/>
              </w:rPr>
              <w:tab/>
            </w:r>
            <w:r>
              <w:rPr>
                <w:noProof/>
                <w:webHidden/>
              </w:rPr>
              <w:fldChar w:fldCharType="begin"/>
            </w:r>
            <w:r>
              <w:rPr>
                <w:noProof/>
                <w:webHidden/>
              </w:rPr>
              <w:instrText xml:space="preserve"> PAGEREF _Toc70711610 \h </w:instrText>
            </w:r>
            <w:r>
              <w:rPr>
                <w:noProof/>
                <w:webHidden/>
              </w:rPr>
            </w:r>
            <w:r>
              <w:rPr>
                <w:noProof/>
                <w:webHidden/>
              </w:rPr>
              <w:fldChar w:fldCharType="separate"/>
            </w:r>
            <w:r>
              <w:rPr>
                <w:noProof/>
                <w:webHidden/>
              </w:rPr>
              <w:t>28</w:t>
            </w:r>
            <w:r>
              <w:rPr>
                <w:noProof/>
                <w:webHidden/>
              </w:rPr>
              <w:fldChar w:fldCharType="end"/>
            </w:r>
          </w:hyperlink>
        </w:p>
        <w:p w14:paraId="51772925" w14:textId="55409203" w:rsidR="00220AFF" w:rsidRDefault="00220AFF">
          <w:pPr>
            <w:pStyle w:val="Obsah3"/>
            <w:rPr>
              <w:rFonts w:asciiTheme="minorHAnsi" w:eastAsiaTheme="minorEastAsia" w:hAnsiTheme="minorHAnsi" w:cstheme="minorBidi"/>
              <w:noProof/>
              <w:sz w:val="22"/>
              <w:szCs w:val="22"/>
              <w:lang w:eastAsia="sk-SK"/>
            </w:rPr>
          </w:pPr>
          <w:hyperlink w:anchor="_Toc70711611" w:history="1">
            <w:r w:rsidRPr="00553EC9">
              <w:rPr>
                <w:rStyle w:val="Hypertextovprepojenie"/>
                <w:noProof/>
              </w:rPr>
              <w:t>4.1.3</w:t>
            </w:r>
            <w:r>
              <w:rPr>
                <w:rFonts w:asciiTheme="minorHAnsi" w:eastAsiaTheme="minorEastAsia" w:hAnsiTheme="minorHAnsi" w:cstheme="minorBidi"/>
                <w:noProof/>
                <w:sz w:val="22"/>
                <w:szCs w:val="22"/>
                <w:lang w:eastAsia="sk-SK"/>
              </w:rPr>
              <w:tab/>
            </w:r>
            <w:r w:rsidRPr="00553EC9">
              <w:rPr>
                <w:rStyle w:val="Hypertextovprepojenie"/>
                <w:noProof/>
              </w:rPr>
              <w:t>Jeden štát, jeden dizajn, jedno miesto</w:t>
            </w:r>
            <w:r>
              <w:rPr>
                <w:noProof/>
                <w:webHidden/>
              </w:rPr>
              <w:tab/>
            </w:r>
            <w:r>
              <w:rPr>
                <w:noProof/>
                <w:webHidden/>
              </w:rPr>
              <w:fldChar w:fldCharType="begin"/>
            </w:r>
            <w:r>
              <w:rPr>
                <w:noProof/>
                <w:webHidden/>
              </w:rPr>
              <w:instrText xml:space="preserve"> PAGEREF _Toc70711611 \h </w:instrText>
            </w:r>
            <w:r>
              <w:rPr>
                <w:noProof/>
                <w:webHidden/>
              </w:rPr>
            </w:r>
            <w:r>
              <w:rPr>
                <w:noProof/>
                <w:webHidden/>
              </w:rPr>
              <w:fldChar w:fldCharType="separate"/>
            </w:r>
            <w:r>
              <w:rPr>
                <w:noProof/>
                <w:webHidden/>
              </w:rPr>
              <w:t>29</w:t>
            </w:r>
            <w:r>
              <w:rPr>
                <w:noProof/>
                <w:webHidden/>
              </w:rPr>
              <w:fldChar w:fldCharType="end"/>
            </w:r>
          </w:hyperlink>
        </w:p>
        <w:p w14:paraId="63724A0E" w14:textId="69F85C6A" w:rsidR="00220AFF" w:rsidRDefault="00220AFF">
          <w:pPr>
            <w:pStyle w:val="Obsah2"/>
            <w:rPr>
              <w:rFonts w:asciiTheme="minorHAnsi" w:eastAsiaTheme="minorEastAsia" w:hAnsiTheme="minorHAnsi" w:cstheme="minorBidi"/>
              <w:noProof/>
              <w:sz w:val="22"/>
              <w:szCs w:val="22"/>
              <w:lang w:eastAsia="sk-SK"/>
            </w:rPr>
          </w:pPr>
          <w:hyperlink w:anchor="_Toc70711612" w:history="1">
            <w:r w:rsidRPr="00553EC9">
              <w:rPr>
                <w:rStyle w:val="Hypertextovprepojenie"/>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lang w:eastAsia="sk-SK"/>
              </w:rPr>
              <w:tab/>
            </w:r>
            <w:r w:rsidRPr="00553EC9">
              <w:rPr>
                <w:rStyle w:val="Hypertextovprepojenie"/>
                <w:noProof/>
              </w:rPr>
              <w:t>Digitálna transformácia verejnej správy</w:t>
            </w:r>
            <w:r>
              <w:rPr>
                <w:noProof/>
                <w:webHidden/>
              </w:rPr>
              <w:tab/>
            </w:r>
            <w:r>
              <w:rPr>
                <w:noProof/>
                <w:webHidden/>
              </w:rPr>
              <w:fldChar w:fldCharType="begin"/>
            </w:r>
            <w:r>
              <w:rPr>
                <w:noProof/>
                <w:webHidden/>
              </w:rPr>
              <w:instrText xml:space="preserve"> PAGEREF _Toc70711612 \h </w:instrText>
            </w:r>
            <w:r>
              <w:rPr>
                <w:noProof/>
                <w:webHidden/>
              </w:rPr>
            </w:r>
            <w:r>
              <w:rPr>
                <w:noProof/>
                <w:webHidden/>
              </w:rPr>
              <w:fldChar w:fldCharType="separate"/>
            </w:r>
            <w:r>
              <w:rPr>
                <w:noProof/>
                <w:webHidden/>
              </w:rPr>
              <w:t>31</w:t>
            </w:r>
            <w:r>
              <w:rPr>
                <w:noProof/>
                <w:webHidden/>
              </w:rPr>
              <w:fldChar w:fldCharType="end"/>
            </w:r>
          </w:hyperlink>
        </w:p>
        <w:p w14:paraId="328FDE38" w14:textId="20CE38FF" w:rsidR="00220AFF" w:rsidRDefault="00220AFF">
          <w:pPr>
            <w:pStyle w:val="Obsah3"/>
            <w:rPr>
              <w:rFonts w:asciiTheme="minorHAnsi" w:eastAsiaTheme="minorEastAsia" w:hAnsiTheme="minorHAnsi" w:cstheme="minorBidi"/>
              <w:noProof/>
              <w:sz w:val="22"/>
              <w:szCs w:val="22"/>
              <w:lang w:eastAsia="sk-SK"/>
            </w:rPr>
          </w:pPr>
          <w:hyperlink w:anchor="_Toc70711613" w:history="1">
            <w:r w:rsidRPr="00553EC9">
              <w:rPr>
                <w:rStyle w:val="Hypertextovprepojenie"/>
                <w:noProof/>
              </w:rPr>
              <w:t>4.2.1</w:t>
            </w:r>
            <w:r>
              <w:rPr>
                <w:rFonts w:asciiTheme="minorHAnsi" w:eastAsiaTheme="minorEastAsia" w:hAnsiTheme="minorHAnsi" w:cstheme="minorBidi"/>
                <w:noProof/>
                <w:sz w:val="22"/>
                <w:szCs w:val="22"/>
                <w:lang w:eastAsia="sk-SK"/>
              </w:rPr>
              <w:tab/>
            </w:r>
            <w:r w:rsidRPr="00553EC9">
              <w:rPr>
                <w:rStyle w:val="Hypertextovprepojenie"/>
                <w:noProof/>
              </w:rPr>
              <w:t>Zásadná zmena fungovania verejnej správy</w:t>
            </w:r>
            <w:r>
              <w:rPr>
                <w:noProof/>
                <w:webHidden/>
              </w:rPr>
              <w:tab/>
            </w:r>
            <w:r>
              <w:rPr>
                <w:noProof/>
                <w:webHidden/>
              </w:rPr>
              <w:fldChar w:fldCharType="begin"/>
            </w:r>
            <w:r>
              <w:rPr>
                <w:noProof/>
                <w:webHidden/>
              </w:rPr>
              <w:instrText xml:space="preserve"> PAGEREF _Toc70711613 \h </w:instrText>
            </w:r>
            <w:r>
              <w:rPr>
                <w:noProof/>
                <w:webHidden/>
              </w:rPr>
            </w:r>
            <w:r>
              <w:rPr>
                <w:noProof/>
                <w:webHidden/>
              </w:rPr>
              <w:fldChar w:fldCharType="separate"/>
            </w:r>
            <w:r>
              <w:rPr>
                <w:noProof/>
                <w:webHidden/>
              </w:rPr>
              <w:t>31</w:t>
            </w:r>
            <w:r>
              <w:rPr>
                <w:noProof/>
                <w:webHidden/>
              </w:rPr>
              <w:fldChar w:fldCharType="end"/>
            </w:r>
          </w:hyperlink>
        </w:p>
        <w:p w14:paraId="544CC9BB" w14:textId="2F8CD42B" w:rsidR="00220AFF" w:rsidRDefault="00220AFF">
          <w:pPr>
            <w:pStyle w:val="Obsah3"/>
            <w:rPr>
              <w:rFonts w:asciiTheme="minorHAnsi" w:eastAsiaTheme="minorEastAsia" w:hAnsiTheme="minorHAnsi" w:cstheme="minorBidi"/>
              <w:noProof/>
              <w:sz w:val="22"/>
              <w:szCs w:val="22"/>
              <w:lang w:eastAsia="sk-SK"/>
            </w:rPr>
          </w:pPr>
          <w:hyperlink w:anchor="_Toc70711614" w:history="1">
            <w:r w:rsidRPr="00553EC9">
              <w:rPr>
                <w:rStyle w:val="Hypertextovprepojenie"/>
                <w:noProof/>
              </w:rPr>
              <w:t>4.2.2</w:t>
            </w:r>
            <w:r>
              <w:rPr>
                <w:rFonts w:asciiTheme="minorHAnsi" w:eastAsiaTheme="minorEastAsia" w:hAnsiTheme="minorHAnsi" w:cstheme="minorBidi"/>
                <w:noProof/>
                <w:sz w:val="22"/>
                <w:szCs w:val="22"/>
                <w:lang w:eastAsia="sk-SK"/>
              </w:rPr>
              <w:tab/>
            </w:r>
            <w:r w:rsidRPr="00553EC9">
              <w:rPr>
                <w:rStyle w:val="Hypertextovprepojenie"/>
                <w:noProof/>
              </w:rPr>
              <w:t>Lepšie údaje</w:t>
            </w:r>
            <w:r>
              <w:rPr>
                <w:noProof/>
                <w:webHidden/>
              </w:rPr>
              <w:tab/>
            </w:r>
            <w:r>
              <w:rPr>
                <w:noProof/>
                <w:webHidden/>
              </w:rPr>
              <w:fldChar w:fldCharType="begin"/>
            </w:r>
            <w:r>
              <w:rPr>
                <w:noProof/>
                <w:webHidden/>
              </w:rPr>
              <w:instrText xml:space="preserve"> PAGEREF _Toc70711614 \h </w:instrText>
            </w:r>
            <w:r>
              <w:rPr>
                <w:noProof/>
                <w:webHidden/>
              </w:rPr>
            </w:r>
            <w:r>
              <w:rPr>
                <w:noProof/>
                <w:webHidden/>
              </w:rPr>
              <w:fldChar w:fldCharType="separate"/>
            </w:r>
            <w:r>
              <w:rPr>
                <w:noProof/>
                <w:webHidden/>
              </w:rPr>
              <w:t>32</w:t>
            </w:r>
            <w:r>
              <w:rPr>
                <w:noProof/>
                <w:webHidden/>
              </w:rPr>
              <w:fldChar w:fldCharType="end"/>
            </w:r>
          </w:hyperlink>
        </w:p>
        <w:p w14:paraId="20E3FE66" w14:textId="2A6D8723" w:rsidR="00220AFF" w:rsidRDefault="00220AFF">
          <w:pPr>
            <w:pStyle w:val="Obsah3"/>
            <w:rPr>
              <w:rFonts w:asciiTheme="minorHAnsi" w:eastAsiaTheme="minorEastAsia" w:hAnsiTheme="minorHAnsi" w:cstheme="minorBidi"/>
              <w:noProof/>
              <w:sz w:val="22"/>
              <w:szCs w:val="22"/>
              <w:lang w:eastAsia="sk-SK"/>
            </w:rPr>
          </w:pPr>
          <w:hyperlink w:anchor="_Toc70711615" w:history="1">
            <w:r w:rsidRPr="00553EC9">
              <w:rPr>
                <w:rStyle w:val="Hypertextovprepojenie"/>
                <w:noProof/>
              </w:rPr>
              <w:t>4.2.3</w:t>
            </w:r>
            <w:r>
              <w:rPr>
                <w:rFonts w:asciiTheme="minorHAnsi" w:eastAsiaTheme="minorEastAsia" w:hAnsiTheme="minorHAnsi" w:cstheme="minorBidi"/>
                <w:noProof/>
                <w:sz w:val="22"/>
                <w:szCs w:val="22"/>
                <w:lang w:eastAsia="sk-SK"/>
              </w:rPr>
              <w:tab/>
            </w:r>
            <w:r w:rsidRPr="00553EC9">
              <w:rPr>
                <w:rStyle w:val="Hypertextovprepojenie"/>
                <w:noProof/>
              </w:rPr>
              <w:t>Informatizácia územnej samosprávy</w:t>
            </w:r>
            <w:r>
              <w:rPr>
                <w:noProof/>
                <w:webHidden/>
              </w:rPr>
              <w:tab/>
            </w:r>
            <w:r>
              <w:rPr>
                <w:noProof/>
                <w:webHidden/>
              </w:rPr>
              <w:fldChar w:fldCharType="begin"/>
            </w:r>
            <w:r>
              <w:rPr>
                <w:noProof/>
                <w:webHidden/>
              </w:rPr>
              <w:instrText xml:space="preserve"> PAGEREF _Toc70711615 \h </w:instrText>
            </w:r>
            <w:r>
              <w:rPr>
                <w:noProof/>
                <w:webHidden/>
              </w:rPr>
            </w:r>
            <w:r>
              <w:rPr>
                <w:noProof/>
                <w:webHidden/>
              </w:rPr>
              <w:fldChar w:fldCharType="separate"/>
            </w:r>
            <w:r>
              <w:rPr>
                <w:noProof/>
                <w:webHidden/>
              </w:rPr>
              <w:t>37</w:t>
            </w:r>
            <w:r>
              <w:rPr>
                <w:noProof/>
                <w:webHidden/>
              </w:rPr>
              <w:fldChar w:fldCharType="end"/>
            </w:r>
          </w:hyperlink>
        </w:p>
        <w:p w14:paraId="65A3655F" w14:textId="040D68C2" w:rsidR="00220AFF" w:rsidRDefault="00220AFF">
          <w:pPr>
            <w:pStyle w:val="Obsah2"/>
            <w:rPr>
              <w:rFonts w:asciiTheme="minorHAnsi" w:eastAsiaTheme="minorEastAsia" w:hAnsiTheme="minorHAnsi" w:cstheme="minorBidi"/>
              <w:noProof/>
              <w:sz w:val="22"/>
              <w:szCs w:val="22"/>
              <w:lang w:eastAsia="sk-SK"/>
            </w:rPr>
          </w:pPr>
          <w:hyperlink w:anchor="_Toc70711616" w:history="1">
            <w:r w:rsidRPr="00553EC9">
              <w:rPr>
                <w:rStyle w:val="Hypertextovprepojenie"/>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lang w:eastAsia="sk-SK"/>
              </w:rPr>
              <w:tab/>
            </w:r>
            <w:r w:rsidRPr="00553EC9">
              <w:rPr>
                <w:rStyle w:val="Hypertextovprepojenie"/>
                <w:noProof/>
              </w:rPr>
              <w:t>Efektívne riadenie digitálneho štátu</w:t>
            </w:r>
            <w:r>
              <w:rPr>
                <w:noProof/>
                <w:webHidden/>
              </w:rPr>
              <w:tab/>
            </w:r>
            <w:r>
              <w:rPr>
                <w:noProof/>
                <w:webHidden/>
              </w:rPr>
              <w:fldChar w:fldCharType="begin"/>
            </w:r>
            <w:r>
              <w:rPr>
                <w:noProof/>
                <w:webHidden/>
              </w:rPr>
              <w:instrText xml:space="preserve"> PAGEREF _Toc70711616 \h </w:instrText>
            </w:r>
            <w:r>
              <w:rPr>
                <w:noProof/>
                <w:webHidden/>
              </w:rPr>
            </w:r>
            <w:r>
              <w:rPr>
                <w:noProof/>
                <w:webHidden/>
              </w:rPr>
              <w:fldChar w:fldCharType="separate"/>
            </w:r>
            <w:r>
              <w:rPr>
                <w:noProof/>
                <w:webHidden/>
              </w:rPr>
              <w:t>41</w:t>
            </w:r>
            <w:r>
              <w:rPr>
                <w:noProof/>
                <w:webHidden/>
              </w:rPr>
              <w:fldChar w:fldCharType="end"/>
            </w:r>
          </w:hyperlink>
        </w:p>
        <w:p w14:paraId="4874D0F1" w14:textId="6EED42FA" w:rsidR="00220AFF" w:rsidRDefault="00220AFF">
          <w:pPr>
            <w:pStyle w:val="Obsah3"/>
            <w:rPr>
              <w:rFonts w:asciiTheme="minorHAnsi" w:eastAsiaTheme="minorEastAsia" w:hAnsiTheme="minorHAnsi" w:cstheme="minorBidi"/>
              <w:noProof/>
              <w:sz w:val="22"/>
              <w:szCs w:val="22"/>
              <w:lang w:eastAsia="sk-SK"/>
            </w:rPr>
          </w:pPr>
          <w:hyperlink w:anchor="_Toc70711617" w:history="1">
            <w:r w:rsidRPr="00553EC9">
              <w:rPr>
                <w:rStyle w:val="Hypertextovprepojenie"/>
                <w:noProof/>
              </w:rPr>
              <w:t>4.3.1</w:t>
            </w:r>
            <w:r>
              <w:rPr>
                <w:rFonts w:asciiTheme="minorHAnsi" w:eastAsiaTheme="minorEastAsia" w:hAnsiTheme="minorHAnsi" w:cstheme="minorBidi"/>
                <w:noProof/>
                <w:sz w:val="22"/>
                <w:szCs w:val="22"/>
                <w:lang w:eastAsia="sk-SK"/>
              </w:rPr>
              <w:tab/>
            </w:r>
            <w:r w:rsidRPr="00553EC9">
              <w:rPr>
                <w:rStyle w:val="Hypertextovprepojenie"/>
                <w:noProof/>
              </w:rPr>
              <w:t>Centralizácia, kde to má zmysel</w:t>
            </w:r>
            <w:r>
              <w:rPr>
                <w:noProof/>
                <w:webHidden/>
              </w:rPr>
              <w:tab/>
            </w:r>
            <w:r>
              <w:rPr>
                <w:noProof/>
                <w:webHidden/>
              </w:rPr>
              <w:fldChar w:fldCharType="begin"/>
            </w:r>
            <w:r>
              <w:rPr>
                <w:noProof/>
                <w:webHidden/>
              </w:rPr>
              <w:instrText xml:space="preserve"> PAGEREF _Toc70711617 \h </w:instrText>
            </w:r>
            <w:r>
              <w:rPr>
                <w:noProof/>
                <w:webHidden/>
              </w:rPr>
            </w:r>
            <w:r>
              <w:rPr>
                <w:noProof/>
                <w:webHidden/>
              </w:rPr>
              <w:fldChar w:fldCharType="separate"/>
            </w:r>
            <w:r>
              <w:rPr>
                <w:noProof/>
                <w:webHidden/>
              </w:rPr>
              <w:t>41</w:t>
            </w:r>
            <w:r>
              <w:rPr>
                <w:noProof/>
                <w:webHidden/>
              </w:rPr>
              <w:fldChar w:fldCharType="end"/>
            </w:r>
          </w:hyperlink>
        </w:p>
        <w:p w14:paraId="448088D0" w14:textId="4475EE4C" w:rsidR="00220AFF" w:rsidRDefault="00220AFF">
          <w:pPr>
            <w:pStyle w:val="Obsah3"/>
            <w:rPr>
              <w:rFonts w:asciiTheme="minorHAnsi" w:eastAsiaTheme="minorEastAsia" w:hAnsiTheme="minorHAnsi" w:cstheme="minorBidi"/>
              <w:noProof/>
              <w:sz w:val="22"/>
              <w:szCs w:val="22"/>
              <w:lang w:eastAsia="sk-SK"/>
            </w:rPr>
          </w:pPr>
          <w:hyperlink w:anchor="_Toc70711618" w:history="1">
            <w:r w:rsidRPr="00553EC9">
              <w:rPr>
                <w:rStyle w:val="Hypertextovprepojenie"/>
                <w:noProof/>
              </w:rPr>
              <w:t>4.3.2</w:t>
            </w:r>
            <w:r>
              <w:rPr>
                <w:rFonts w:asciiTheme="minorHAnsi" w:eastAsiaTheme="minorEastAsia" w:hAnsiTheme="minorHAnsi" w:cstheme="minorBidi"/>
                <w:noProof/>
                <w:sz w:val="22"/>
                <w:szCs w:val="22"/>
                <w:lang w:eastAsia="sk-SK"/>
              </w:rPr>
              <w:tab/>
            </w:r>
            <w:r w:rsidRPr="00553EC9">
              <w:rPr>
                <w:rStyle w:val="Hypertextovprepojenie"/>
                <w:noProof/>
              </w:rPr>
              <w:t>Kybernetická a informačná bezpečnosť</w:t>
            </w:r>
            <w:r>
              <w:rPr>
                <w:noProof/>
                <w:webHidden/>
              </w:rPr>
              <w:tab/>
            </w:r>
            <w:r>
              <w:rPr>
                <w:noProof/>
                <w:webHidden/>
              </w:rPr>
              <w:fldChar w:fldCharType="begin"/>
            </w:r>
            <w:r>
              <w:rPr>
                <w:noProof/>
                <w:webHidden/>
              </w:rPr>
              <w:instrText xml:space="preserve"> PAGEREF _Toc70711618 \h </w:instrText>
            </w:r>
            <w:r>
              <w:rPr>
                <w:noProof/>
                <w:webHidden/>
              </w:rPr>
            </w:r>
            <w:r>
              <w:rPr>
                <w:noProof/>
                <w:webHidden/>
              </w:rPr>
              <w:fldChar w:fldCharType="separate"/>
            </w:r>
            <w:r>
              <w:rPr>
                <w:noProof/>
                <w:webHidden/>
              </w:rPr>
              <w:t>47</w:t>
            </w:r>
            <w:r>
              <w:rPr>
                <w:noProof/>
                <w:webHidden/>
              </w:rPr>
              <w:fldChar w:fldCharType="end"/>
            </w:r>
          </w:hyperlink>
        </w:p>
        <w:p w14:paraId="120D768C" w14:textId="041128F7" w:rsidR="00220AFF" w:rsidRDefault="00220AFF">
          <w:pPr>
            <w:pStyle w:val="Obsah3"/>
            <w:rPr>
              <w:rFonts w:asciiTheme="minorHAnsi" w:eastAsiaTheme="minorEastAsia" w:hAnsiTheme="minorHAnsi" w:cstheme="minorBidi"/>
              <w:noProof/>
              <w:sz w:val="22"/>
              <w:szCs w:val="22"/>
              <w:lang w:eastAsia="sk-SK"/>
            </w:rPr>
          </w:pPr>
          <w:hyperlink w:anchor="_Toc70711619" w:history="1">
            <w:r w:rsidRPr="00553EC9">
              <w:rPr>
                <w:rStyle w:val="Hypertextovprepojenie"/>
                <w:noProof/>
              </w:rPr>
              <w:t>4.3.3</w:t>
            </w:r>
            <w:r>
              <w:rPr>
                <w:rFonts w:asciiTheme="minorHAnsi" w:eastAsiaTheme="minorEastAsia" w:hAnsiTheme="minorHAnsi" w:cstheme="minorBidi"/>
                <w:noProof/>
                <w:sz w:val="22"/>
                <w:szCs w:val="22"/>
                <w:lang w:eastAsia="sk-SK"/>
              </w:rPr>
              <w:tab/>
            </w:r>
            <w:r w:rsidRPr="00553EC9">
              <w:rPr>
                <w:rStyle w:val="Hypertextovprepojenie"/>
                <w:rFonts w:eastAsia="Calibri"/>
                <w:noProof/>
              </w:rPr>
              <w:t>Verejné obstarávanie a nákup</w:t>
            </w:r>
            <w:r>
              <w:rPr>
                <w:noProof/>
                <w:webHidden/>
              </w:rPr>
              <w:tab/>
            </w:r>
            <w:r>
              <w:rPr>
                <w:noProof/>
                <w:webHidden/>
              </w:rPr>
              <w:fldChar w:fldCharType="begin"/>
            </w:r>
            <w:r>
              <w:rPr>
                <w:noProof/>
                <w:webHidden/>
              </w:rPr>
              <w:instrText xml:space="preserve"> PAGEREF _Toc70711619 \h </w:instrText>
            </w:r>
            <w:r>
              <w:rPr>
                <w:noProof/>
                <w:webHidden/>
              </w:rPr>
            </w:r>
            <w:r>
              <w:rPr>
                <w:noProof/>
                <w:webHidden/>
              </w:rPr>
              <w:fldChar w:fldCharType="separate"/>
            </w:r>
            <w:r>
              <w:rPr>
                <w:noProof/>
                <w:webHidden/>
              </w:rPr>
              <w:t>51</w:t>
            </w:r>
            <w:r>
              <w:rPr>
                <w:noProof/>
                <w:webHidden/>
              </w:rPr>
              <w:fldChar w:fldCharType="end"/>
            </w:r>
          </w:hyperlink>
        </w:p>
        <w:p w14:paraId="29898A50" w14:textId="75F764D8" w:rsidR="00220AFF" w:rsidRDefault="00220AFF">
          <w:pPr>
            <w:pStyle w:val="Obsah3"/>
            <w:rPr>
              <w:rFonts w:asciiTheme="minorHAnsi" w:eastAsiaTheme="minorEastAsia" w:hAnsiTheme="minorHAnsi" w:cstheme="minorBidi"/>
              <w:noProof/>
              <w:sz w:val="22"/>
              <w:szCs w:val="22"/>
              <w:lang w:eastAsia="sk-SK"/>
            </w:rPr>
          </w:pPr>
          <w:hyperlink w:anchor="_Toc70711620" w:history="1">
            <w:r w:rsidRPr="00553EC9">
              <w:rPr>
                <w:rStyle w:val="Hypertextovprepojenie"/>
                <w:noProof/>
              </w:rPr>
              <w:t>4.3.4</w:t>
            </w:r>
            <w:r>
              <w:rPr>
                <w:rFonts w:asciiTheme="minorHAnsi" w:eastAsiaTheme="minorEastAsia" w:hAnsiTheme="minorHAnsi" w:cstheme="minorBidi"/>
                <w:noProof/>
                <w:sz w:val="22"/>
                <w:szCs w:val="22"/>
                <w:lang w:eastAsia="sk-SK"/>
              </w:rPr>
              <w:tab/>
            </w:r>
            <w:r w:rsidRPr="00553EC9">
              <w:rPr>
                <w:rStyle w:val="Hypertextovprepojenie"/>
                <w:noProof/>
              </w:rPr>
              <w:t>Ľudské zdroje v štátnom IT</w:t>
            </w:r>
            <w:r>
              <w:rPr>
                <w:noProof/>
                <w:webHidden/>
              </w:rPr>
              <w:tab/>
            </w:r>
            <w:r>
              <w:rPr>
                <w:noProof/>
                <w:webHidden/>
              </w:rPr>
              <w:fldChar w:fldCharType="begin"/>
            </w:r>
            <w:r>
              <w:rPr>
                <w:noProof/>
                <w:webHidden/>
              </w:rPr>
              <w:instrText xml:space="preserve"> PAGEREF _Toc70711620 \h </w:instrText>
            </w:r>
            <w:r>
              <w:rPr>
                <w:noProof/>
                <w:webHidden/>
              </w:rPr>
            </w:r>
            <w:r>
              <w:rPr>
                <w:noProof/>
                <w:webHidden/>
              </w:rPr>
              <w:fldChar w:fldCharType="separate"/>
            </w:r>
            <w:r>
              <w:rPr>
                <w:noProof/>
                <w:webHidden/>
              </w:rPr>
              <w:t>53</w:t>
            </w:r>
            <w:r>
              <w:rPr>
                <w:noProof/>
                <w:webHidden/>
              </w:rPr>
              <w:fldChar w:fldCharType="end"/>
            </w:r>
          </w:hyperlink>
        </w:p>
        <w:p w14:paraId="1C8BF469" w14:textId="71702F07" w:rsidR="00220AFF" w:rsidRDefault="00220AFF">
          <w:pPr>
            <w:pStyle w:val="Obsah3"/>
            <w:rPr>
              <w:rFonts w:asciiTheme="minorHAnsi" w:eastAsiaTheme="minorEastAsia" w:hAnsiTheme="minorHAnsi" w:cstheme="minorBidi"/>
              <w:noProof/>
              <w:sz w:val="22"/>
              <w:szCs w:val="22"/>
              <w:lang w:eastAsia="sk-SK"/>
            </w:rPr>
          </w:pPr>
          <w:hyperlink w:anchor="_Toc70711621" w:history="1">
            <w:r w:rsidRPr="00553EC9">
              <w:rPr>
                <w:rStyle w:val="Hypertextovprepojenie"/>
                <w:noProof/>
              </w:rPr>
              <w:t>4.3.5</w:t>
            </w:r>
            <w:r>
              <w:rPr>
                <w:rFonts w:asciiTheme="minorHAnsi" w:eastAsiaTheme="minorEastAsia" w:hAnsiTheme="minorHAnsi" w:cstheme="minorBidi"/>
                <w:noProof/>
                <w:sz w:val="22"/>
                <w:szCs w:val="22"/>
                <w:lang w:eastAsia="sk-SK"/>
              </w:rPr>
              <w:tab/>
            </w:r>
            <w:r w:rsidRPr="00553EC9">
              <w:rPr>
                <w:rStyle w:val="Hypertextovprepojenie"/>
                <w:noProof/>
              </w:rPr>
              <w:t>Efektívne riadenie</w:t>
            </w:r>
            <w:r>
              <w:rPr>
                <w:noProof/>
                <w:webHidden/>
              </w:rPr>
              <w:tab/>
            </w:r>
            <w:r>
              <w:rPr>
                <w:noProof/>
                <w:webHidden/>
              </w:rPr>
              <w:fldChar w:fldCharType="begin"/>
            </w:r>
            <w:r>
              <w:rPr>
                <w:noProof/>
                <w:webHidden/>
              </w:rPr>
              <w:instrText xml:space="preserve"> PAGEREF _Toc70711621 \h </w:instrText>
            </w:r>
            <w:r>
              <w:rPr>
                <w:noProof/>
                <w:webHidden/>
              </w:rPr>
            </w:r>
            <w:r>
              <w:rPr>
                <w:noProof/>
                <w:webHidden/>
              </w:rPr>
              <w:fldChar w:fldCharType="separate"/>
            </w:r>
            <w:r>
              <w:rPr>
                <w:noProof/>
                <w:webHidden/>
              </w:rPr>
              <w:t>55</w:t>
            </w:r>
            <w:r>
              <w:rPr>
                <w:noProof/>
                <w:webHidden/>
              </w:rPr>
              <w:fldChar w:fldCharType="end"/>
            </w:r>
          </w:hyperlink>
        </w:p>
        <w:p w14:paraId="402C0F5A" w14:textId="4DC98776" w:rsidR="00220AFF" w:rsidRDefault="00220AFF">
          <w:pPr>
            <w:pStyle w:val="Obsah2"/>
            <w:rPr>
              <w:rFonts w:asciiTheme="minorHAnsi" w:eastAsiaTheme="minorEastAsia" w:hAnsiTheme="minorHAnsi" w:cstheme="minorBidi"/>
              <w:noProof/>
              <w:sz w:val="22"/>
              <w:szCs w:val="22"/>
              <w:lang w:eastAsia="sk-SK"/>
            </w:rPr>
          </w:pPr>
          <w:hyperlink w:anchor="_Toc70711622" w:history="1">
            <w:r w:rsidRPr="00553EC9">
              <w:rPr>
                <w:rStyle w:val="Hypertextovprepojenie"/>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lang w:eastAsia="sk-SK"/>
              </w:rPr>
              <w:tab/>
            </w:r>
            <w:r w:rsidRPr="00553EC9">
              <w:rPr>
                <w:rStyle w:val="Hypertextovprepojenie"/>
                <w:noProof/>
              </w:rPr>
              <w:t>Orientačný harmonogram opatrení</w:t>
            </w:r>
            <w:r>
              <w:rPr>
                <w:noProof/>
                <w:webHidden/>
              </w:rPr>
              <w:tab/>
            </w:r>
            <w:r>
              <w:rPr>
                <w:noProof/>
                <w:webHidden/>
              </w:rPr>
              <w:fldChar w:fldCharType="begin"/>
            </w:r>
            <w:r>
              <w:rPr>
                <w:noProof/>
                <w:webHidden/>
              </w:rPr>
              <w:instrText xml:space="preserve"> PAGEREF _Toc70711622 \h </w:instrText>
            </w:r>
            <w:r>
              <w:rPr>
                <w:noProof/>
                <w:webHidden/>
              </w:rPr>
            </w:r>
            <w:r>
              <w:rPr>
                <w:noProof/>
                <w:webHidden/>
              </w:rPr>
              <w:fldChar w:fldCharType="separate"/>
            </w:r>
            <w:r>
              <w:rPr>
                <w:noProof/>
                <w:webHidden/>
              </w:rPr>
              <w:t>57</w:t>
            </w:r>
            <w:r>
              <w:rPr>
                <w:noProof/>
                <w:webHidden/>
              </w:rPr>
              <w:fldChar w:fldCharType="end"/>
            </w:r>
          </w:hyperlink>
        </w:p>
        <w:p w14:paraId="7555B3CD" w14:textId="09C13A18" w:rsidR="00220AFF" w:rsidRDefault="00220AFF">
          <w:pPr>
            <w:pStyle w:val="Obsah1"/>
            <w:rPr>
              <w:rFonts w:asciiTheme="minorHAnsi" w:eastAsiaTheme="minorEastAsia" w:hAnsiTheme="minorHAnsi" w:cstheme="minorBidi"/>
              <w:noProof/>
              <w:sz w:val="22"/>
              <w:szCs w:val="22"/>
              <w:lang w:eastAsia="sk-SK"/>
            </w:rPr>
          </w:pPr>
          <w:hyperlink w:anchor="_Toc70711623" w:history="1">
            <w:r w:rsidRPr="00553EC9">
              <w:rPr>
                <w:rStyle w:val="Hypertextovprepojenie"/>
                <w:noProof/>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lang w:eastAsia="sk-SK"/>
              </w:rPr>
              <w:tab/>
            </w:r>
            <w:r w:rsidRPr="00553EC9">
              <w:rPr>
                <w:rStyle w:val="Hypertextovprepojenie"/>
                <w:noProof/>
              </w:rPr>
              <w:t>Architektúra verejnej správy</w:t>
            </w:r>
            <w:r>
              <w:rPr>
                <w:noProof/>
                <w:webHidden/>
              </w:rPr>
              <w:tab/>
            </w:r>
            <w:r>
              <w:rPr>
                <w:noProof/>
                <w:webHidden/>
              </w:rPr>
              <w:fldChar w:fldCharType="begin"/>
            </w:r>
            <w:r>
              <w:rPr>
                <w:noProof/>
                <w:webHidden/>
              </w:rPr>
              <w:instrText xml:space="preserve"> PAGEREF _Toc70711623 \h </w:instrText>
            </w:r>
            <w:r>
              <w:rPr>
                <w:noProof/>
                <w:webHidden/>
              </w:rPr>
            </w:r>
            <w:r>
              <w:rPr>
                <w:noProof/>
                <w:webHidden/>
              </w:rPr>
              <w:fldChar w:fldCharType="separate"/>
            </w:r>
            <w:r>
              <w:rPr>
                <w:noProof/>
                <w:webHidden/>
              </w:rPr>
              <w:t>58</w:t>
            </w:r>
            <w:r>
              <w:rPr>
                <w:noProof/>
                <w:webHidden/>
              </w:rPr>
              <w:fldChar w:fldCharType="end"/>
            </w:r>
          </w:hyperlink>
        </w:p>
        <w:p w14:paraId="73DFC3F1" w14:textId="7CA126AE" w:rsidR="00220AFF" w:rsidRDefault="00220AFF">
          <w:pPr>
            <w:pStyle w:val="Obsah2"/>
            <w:rPr>
              <w:rFonts w:asciiTheme="minorHAnsi" w:eastAsiaTheme="minorEastAsia" w:hAnsiTheme="minorHAnsi" w:cstheme="minorBidi"/>
              <w:noProof/>
              <w:sz w:val="22"/>
              <w:szCs w:val="22"/>
              <w:lang w:eastAsia="sk-SK"/>
            </w:rPr>
          </w:pPr>
          <w:hyperlink w:anchor="_Toc70711624" w:history="1">
            <w:r w:rsidRPr="00553EC9">
              <w:rPr>
                <w:rStyle w:val="Hypertextovprepojenie"/>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eastAsia="sk-SK"/>
              </w:rPr>
              <w:tab/>
            </w:r>
            <w:r w:rsidRPr="00553EC9">
              <w:rPr>
                <w:rStyle w:val="Hypertextovprepojenie"/>
                <w:noProof/>
              </w:rPr>
              <w:t>Manažment architektúry ITVS</w:t>
            </w:r>
            <w:r>
              <w:rPr>
                <w:noProof/>
                <w:webHidden/>
              </w:rPr>
              <w:tab/>
            </w:r>
            <w:r>
              <w:rPr>
                <w:noProof/>
                <w:webHidden/>
              </w:rPr>
              <w:fldChar w:fldCharType="begin"/>
            </w:r>
            <w:r>
              <w:rPr>
                <w:noProof/>
                <w:webHidden/>
              </w:rPr>
              <w:instrText xml:space="preserve"> PAGEREF _Toc70711624 \h </w:instrText>
            </w:r>
            <w:r>
              <w:rPr>
                <w:noProof/>
                <w:webHidden/>
              </w:rPr>
            </w:r>
            <w:r>
              <w:rPr>
                <w:noProof/>
                <w:webHidden/>
              </w:rPr>
              <w:fldChar w:fldCharType="separate"/>
            </w:r>
            <w:r>
              <w:rPr>
                <w:noProof/>
                <w:webHidden/>
              </w:rPr>
              <w:t>62</w:t>
            </w:r>
            <w:r>
              <w:rPr>
                <w:noProof/>
                <w:webHidden/>
              </w:rPr>
              <w:fldChar w:fldCharType="end"/>
            </w:r>
          </w:hyperlink>
        </w:p>
        <w:p w14:paraId="6A6CFA25" w14:textId="36BEA0F4" w:rsidR="00220AFF" w:rsidRDefault="00220AFF">
          <w:pPr>
            <w:pStyle w:val="Obsah1"/>
            <w:rPr>
              <w:rFonts w:asciiTheme="minorHAnsi" w:eastAsiaTheme="minorEastAsia" w:hAnsiTheme="minorHAnsi" w:cstheme="minorBidi"/>
              <w:noProof/>
              <w:sz w:val="22"/>
              <w:szCs w:val="22"/>
              <w:lang w:eastAsia="sk-SK"/>
            </w:rPr>
          </w:pPr>
          <w:hyperlink w:anchor="_Toc70711625" w:history="1">
            <w:r w:rsidRPr="00553EC9">
              <w:rPr>
                <w:rStyle w:val="Hypertextovprepojenie"/>
                <w:noProof/>
                <w14:scene3d>
                  <w14:camera w14:prst="orthographicFront"/>
                  <w14:lightRig w14:rig="threePt" w14:dir="t">
                    <w14:rot w14:lat="0" w14:lon="0" w14:rev="0"/>
                  </w14:lightRig>
                </w14:scene3d>
              </w:rPr>
              <w:t>6</w:t>
            </w:r>
            <w:r>
              <w:rPr>
                <w:rFonts w:asciiTheme="minorHAnsi" w:eastAsiaTheme="minorEastAsia" w:hAnsiTheme="minorHAnsi" w:cstheme="minorBidi"/>
                <w:noProof/>
                <w:sz w:val="22"/>
                <w:szCs w:val="22"/>
                <w:lang w:eastAsia="sk-SK"/>
              </w:rPr>
              <w:tab/>
            </w:r>
            <w:r w:rsidRPr="00553EC9">
              <w:rPr>
                <w:rStyle w:val="Hypertextovprepojenie"/>
                <w:noProof/>
              </w:rPr>
              <w:t>Nástroje pre zlepšenie informatizácie verejnej správy</w:t>
            </w:r>
            <w:r>
              <w:rPr>
                <w:noProof/>
                <w:webHidden/>
              </w:rPr>
              <w:tab/>
            </w:r>
            <w:r>
              <w:rPr>
                <w:noProof/>
                <w:webHidden/>
              </w:rPr>
              <w:fldChar w:fldCharType="begin"/>
            </w:r>
            <w:r>
              <w:rPr>
                <w:noProof/>
                <w:webHidden/>
              </w:rPr>
              <w:instrText xml:space="preserve"> PAGEREF _Toc70711625 \h </w:instrText>
            </w:r>
            <w:r>
              <w:rPr>
                <w:noProof/>
                <w:webHidden/>
              </w:rPr>
            </w:r>
            <w:r>
              <w:rPr>
                <w:noProof/>
                <w:webHidden/>
              </w:rPr>
              <w:fldChar w:fldCharType="separate"/>
            </w:r>
            <w:r>
              <w:rPr>
                <w:noProof/>
                <w:webHidden/>
              </w:rPr>
              <w:t>63</w:t>
            </w:r>
            <w:r>
              <w:rPr>
                <w:noProof/>
                <w:webHidden/>
              </w:rPr>
              <w:fldChar w:fldCharType="end"/>
            </w:r>
          </w:hyperlink>
        </w:p>
        <w:p w14:paraId="71C5588C" w14:textId="03432E23" w:rsidR="00220AFF" w:rsidRDefault="00220AFF">
          <w:pPr>
            <w:pStyle w:val="Obsah2"/>
            <w:rPr>
              <w:rFonts w:asciiTheme="minorHAnsi" w:eastAsiaTheme="minorEastAsia" w:hAnsiTheme="minorHAnsi" w:cstheme="minorBidi"/>
              <w:noProof/>
              <w:sz w:val="22"/>
              <w:szCs w:val="22"/>
              <w:lang w:eastAsia="sk-SK"/>
            </w:rPr>
          </w:pPr>
          <w:hyperlink w:anchor="_Toc70711626" w:history="1">
            <w:r w:rsidRPr="00553EC9">
              <w:rPr>
                <w:rStyle w:val="Hypertextovprepojenie"/>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eastAsia="sk-SK"/>
              </w:rPr>
              <w:tab/>
            </w:r>
            <w:r w:rsidRPr="00553EC9">
              <w:rPr>
                <w:rStyle w:val="Hypertextovprepojenie"/>
                <w:noProof/>
              </w:rPr>
              <w:t>Legislatívna oblasť</w:t>
            </w:r>
            <w:r>
              <w:rPr>
                <w:noProof/>
                <w:webHidden/>
              </w:rPr>
              <w:tab/>
            </w:r>
            <w:r>
              <w:rPr>
                <w:noProof/>
                <w:webHidden/>
              </w:rPr>
              <w:fldChar w:fldCharType="begin"/>
            </w:r>
            <w:r>
              <w:rPr>
                <w:noProof/>
                <w:webHidden/>
              </w:rPr>
              <w:instrText xml:space="preserve"> PAGEREF _Toc70711626 \h </w:instrText>
            </w:r>
            <w:r>
              <w:rPr>
                <w:noProof/>
                <w:webHidden/>
              </w:rPr>
            </w:r>
            <w:r>
              <w:rPr>
                <w:noProof/>
                <w:webHidden/>
              </w:rPr>
              <w:fldChar w:fldCharType="separate"/>
            </w:r>
            <w:r>
              <w:rPr>
                <w:noProof/>
                <w:webHidden/>
              </w:rPr>
              <w:t>63</w:t>
            </w:r>
            <w:r>
              <w:rPr>
                <w:noProof/>
                <w:webHidden/>
              </w:rPr>
              <w:fldChar w:fldCharType="end"/>
            </w:r>
          </w:hyperlink>
        </w:p>
        <w:p w14:paraId="3AE2DD68" w14:textId="3305976E" w:rsidR="00220AFF" w:rsidRDefault="00220AFF">
          <w:pPr>
            <w:pStyle w:val="Obsah2"/>
            <w:rPr>
              <w:rFonts w:asciiTheme="minorHAnsi" w:eastAsiaTheme="minorEastAsia" w:hAnsiTheme="minorHAnsi" w:cstheme="minorBidi"/>
              <w:noProof/>
              <w:sz w:val="22"/>
              <w:szCs w:val="22"/>
              <w:lang w:eastAsia="sk-SK"/>
            </w:rPr>
          </w:pPr>
          <w:hyperlink w:anchor="_Toc70711627" w:history="1">
            <w:r w:rsidRPr="00553EC9">
              <w:rPr>
                <w:rStyle w:val="Hypertextovprepojenie"/>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lang w:eastAsia="sk-SK"/>
              </w:rPr>
              <w:tab/>
            </w:r>
            <w:r w:rsidRPr="00553EC9">
              <w:rPr>
                <w:rStyle w:val="Hypertextovprepojenie"/>
                <w:noProof/>
              </w:rPr>
              <w:t>Interoperabilita v rámci SK a EÚ</w:t>
            </w:r>
            <w:r>
              <w:rPr>
                <w:noProof/>
                <w:webHidden/>
              </w:rPr>
              <w:tab/>
            </w:r>
            <w:r>
              <w:rPr>
                <w:noProof/>
                <w:webHidden/>
              </w:rPr>
              <w:fldChar w:fldCharType="begin"/>
            </w:r>
            <w:r>
              <w:rPr>
                <w:noProof/>
                <w:webHidden/>
              </w:rPr>
              <w:instrText xml:space="preserve"> PAGEREF _Toc70711627 \h </w:instrText>
            </w:r>
            <w:r>
              <w:rPr>
                <w:noProof/>
                <w:webHidden/>
              </w:rPr>
            </w:r>
            <w:r>
              <w:rPr>
                <w:noProof/>
                <w:webHidden/>
              </w:rPr>
              <w:fldChar w:fldCharType="separate"/>
            </w:r>
            <w:r>
              <w:rPr>
                <w:noProof/>
                <w:webHidden/>
              </w:rPr>
              <w:t>63</w:t>
            </w:r>
            <w:r>
              <w:rPr>
                <w:noProof/>
                <w:webHidden/>
              </w:rPr>
              <w:fldChar w:fldCharType="end"/>
            </w:r>
          </w:hyperlink>
        </w:p>
        <w:p w14:paraId="2C54C403" w14:textId="2D67B183" w:rsidR="00220AFF" w:rsidRDefault="00220AFF">
          <w:pPr>
            <w:pStyle w:val="Obsah2"/>
            <w:rPr>
              <w:rFonts w:asciiTheme="minorHAnsi" w:eastAsiaTheme="minorEastAsia" w:hAnsiTheme="minorHAnsi" w:cstheme="minorBidi"/>
              <w:noProof/>
              <w:sz w:val="22"/>
              <w:szCs w:val="22"/>
              <w:lang w:eastAsia="sk-SK"/>
            </w:rPr>
          </w:pPr>
          <w:hyperlink w:anchor="_Toc70711628" w:history="1">
            <w:r w:rsidRPr="00553EC9">
              <w:rPr>
                <w:rStyle w:val="Hypertextovprepojenie"/>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lang w:eastAsia="sk-SK"/>
              </w:rPr>
              <w:tab/>
            </w:r>
            <w:r w:rsidRPr="00553EC9">
              <w:rPr>
                <w:rStyle w:val="Hypertextovprepojenie"/>
                <w:noProof/>
              </w:rPr>
              <w:t>Organizačné zabezpečenie, participácia širšej verejnosti, etika</w:t>
            </w:r>
            <w:r>
              <w:rPr>
                <w:noProof/>
                <w:webHidden/>
              </w:rPr>
              <w:tab/>
            </w:r>
            <w:r>
              <w:rPr>
                <w:noProof/>
                <w:webHidden/>
              </w:rPr>
              <w:fldChar w:fldCharType="begin"/>
            </w:r>
            <w:r>
              <w:rPr>
                <w:noProof/>
                <w:webHidden/>
              </w:rPr>
              <w:instrText xml:space="preserve"> PAGEREF _Toc70711628 \h </w:instrText>
            </w:r>
            <w:r>
              <w:rPr>
                <w:noProof/>
                <w:webHidden/>
              </w:rPr>
            </w:r>
            <w:r>
              <w:rPr>
                <w:noProof/>
                <w:webHidden/>
              </w:rPr>
              <w:fldChar w:fldCharType="separate"/>
            </w:r>
            <w:r>
              <w:rPr>
                <w:noProof/>
                <w:webHidden/>
              </w:rPr>
              <w:t>64</w:t>
            </w:r>
            <w:r>
              <w:rPr>
                <w:noProof/>
                <w:webHidden/>
              </w:rPr>
              <w:fldChar w:fldCharType="end"/>
            </w:r>
          </w:hyperlink>
        </w:p>
        <w:p w14:paraId="4AF069C7" w14:textId="57C63A6F" w:rsidR="00220AFF" w:rsidRDefault="00220AFF">
          <w:pPr>
            <w:pStyle w:val="Obsah2"/>
            <w:rPr>
              <w:rFonts w:asciiTheme="minorHAnsi" w:eastAsiaTheme="minorEastAsia" w:hAnsiTheme="minorHAnsi" w:cstheme="minorBidi"/>
              <w:noProof/>
              <w:sz w:val="22"/>
              <w:szCs w:val="22"/>
              <w:lang w:eastAsia="sk-SK"/>
            </w:rPr>
          </w:pPr>
          <w:hyperlink w:anchor="_Toc70711629" w:history="1">
            <w:r w:rsidRPr="00553EC9">
              <w:rPr>
                <w:rStyle w:val="Hypertextovprepojenie"/>
                <w:noProof/>
                <w14:scene3d>
                  <w14:camera w14:prst="orthographicFront"/>
                  <w14:lightRig w14:rig="threePt" w14:dir="t">
                    <w14:rot w14:lat="0" w14:lon="0" w14:rev="0"/>
                  </w14:lightRig>
                </w14:scene3d>
              </w:rPr>
              <w:t>6.4</w:t>
            </w:r>
            <w:r>
              <w:rPr>
                <w:rFonts w:asciiTheme="minorHAnsi" w:eastAsiaTheme="minorEastAsia" w:hAnsiTheme="minorHAnsi" w:cstheme="minorBidi"/>
                <w:noProof/>
                <w:sz w:val="22"/>
                <w:szCs w:val="22"/>
                <w:lang w:eastAsia="sk-SK"/>
              </w:rPr>
              <w:tab/>
            </w:r>
            <w:r w:rsidRPr="00553EC9">
              <w:rPr>
                <w:rStyle w:val="Hypertextovprepojenie"/>
                <w:noProof/>
              </w:rPr>
              <w:t>Riadenie financovania</w:t>
            </w:r>
            <w:r>
              <w:rPr>
                <w:noProof/>
                <w:webHidden/>
              </w:rPr>
              <w:tab/>
            </w:r>
            <w:r>
              <w:rPr>
                <w:noProof/>
                <w:webHidden/>
              </w:rPr>
              <w:fldChar w:fldCharType="begin"/>
            </w:r>
            <w:r>
              <w:rPr>
                <w:noProof/>
                <w:webHidden/>
              </w:rPr>
              <w:instrText xml:space="preserve"> PAGEREF _Toc70711629 \h </w:instrText>
            </w:r>
            <w:r>
              <w:rPr>
                <w:noProof/>
                <w:webHidden/>
              </w:rPr>
            </w:r>
            <w:r>
              <w:rPr>
                <w:noProof/>
                <w:webHidden/>
              </w:rPr>
              <w:fldChar w:fldCharType="separate"/>
            </w:r>
            <w:r>
              <w:rPr>
                <w:noProof/>
                <w:webHidden/>
              </w:rPr>
              <w:t>64</w:t>
            </w:r>
            <w:r>
              <w:rPr>
                <w:noProof/>
                <w:webHidden/>
              </w:rPr>
              <w:fldChar w:fldCharType="end"/>
            </w:r>
          </w:hyperlink>
        </w:p>
        <w:p w14:paraId="0416C419" w14:textId="77CA8689" w:rsidR="00220AFF" w:rsidRDefault="00220AFF">
          <w:pPr>
            <w:pStyle w:val="Obsah2"/>
            <w:rPr>
              <w:rFonts w:asciiTheme="minorHAnsi" w:eastAsiaTheme="minorEastAsia" w:hAnsiTheme="minorHAnsi" w:cstheme="minorBidi"/>
              <w:noProof/>
              <w:sz w:val="22"/>
              <w:szCs w:val="22"/>
              <w:lang w:eastAsia="sk-SK"/>
            </w:rPr>
          </w:pPr>
          <w:hyperlink w:anchor="_Toc70711630" w:history="1">
            <w:r w:rsidRPr="00553EC9">
              <w:rPr>
                <w:rStyle w:val="Hypertextovprepojenie"/>
                <w:noProof/>
                <w14:scene3d>
                  <w14:camera w14:prst="orthographicFront"/>
                  <w14:lightRig w14:rig="threePt" w14:dir="t">
                    <w14:rot w14:lat="0" w14:lon="0" w14:rev="0"/>
                  </w14:lightRig>
                </w14:scene3d>
              </w:rPr>
              <w:t>6.5</w:t>
            </w:r>
            <w:r>
              <w:rPr>
                <w:rFonts w:asciiTheme="minorHAnsi" w:eastAsiaTheme="minorEastAsia" w:hAnsiTheme="minorHAnsi" w:cstheme="minorBidi"/>
                <w:noProof/>
                <w:sz w:val="22"/>
                <w:szCs w:val="22"/>
                <w:lang w:eastAsia="sk-SK"/>
              </w:rPr>
              <w:tab/>
            </w:r>
            <w:r w:rsidRPr="00553EC9">
              <w:rPr>
                <w:rStyle w:val="Hypertextovprepojenie"/>
                <w:noProof/>
              </w:rPr>
              <w:t>Merateľné ukazovatele</w:t>
            </w:r>
            <w:r>
              <w:rPr>
                <w:noProof/>
                <w:webHidden/>
              </w:rPr>
              <w:tab/>
            </w:r>
            <w:r>
              <w:rPr>
                <w:noProof/>
                <w:webHidden/>
              </w:rPr>
              <w:fldChar w:fldCharType="begin"/>
            </w:r>
            <w:r>
              <w:rPr>
                <w:noProof/>
                <w:webHidden/>
              </w:rPr>
              <w:instrText xml:space="preserve"> PAGEREF _Toc70711630 \h </w:instrText>
            </w:r>
            <w:r>
              <w:rPr>
                <w:noProof/>
                <w:webHidden/>
              </w:rPr>
            </w:r>
            <w:r>
              <w:rPr>
                <w:noProof/>
                <w:webHidden/>
              </w:rPr>
              <w:fldChar w:fldCharType="separate"/>
            </w:r>
            <w:r>
              <w:rPr>
                <w:noProof/>
                <w:webHidden/>
              </w:rPr>
              <w:t>65</w:t>
            </w:r>
            <w:r>
              <w:rPr>
                <w:noProof/>
                <w:webHidden/>
              </w:rPr>
              <w:fldChar w:fldCharType="end"/>
            </w:r>
          </w:hyperlink>
        </w:p>
        <w:p w14:paraId="786DAD86" w14:textId="09D92C43" w:rsidR="00220AFF" w:rsidRDefault="00220AFF">
          <w:pPr>
            <w:pStyle w:val="Obsah2"/>
            <w:rPr>
              <w:rFonts w:asciiTheme="minorHAnsi" w:eastAsiaTheme="minorEastAsia" w:hAnsiTheme="minorHAnsi" w:cstheme="minorBidi"/>
              <w:noProof/>
              <w:sz w:val="22"/>
              <w:szCs w:val="22"/>
              <w:lang w:eastAsia="sk-SK"/>
            </w:rPr>
          </w:pPr>
          <w:hyperlink w:anchor="_Toc70711631" w:history="1">
            <w:r w:rsidRPr="00553EC9">
              <w:rPr>
                <w:rStyle w:val="Hypertextovprepojenie"/>
                <w:noProof/>
                <w14:scene3d>
                  <w14:camera w14:prst="orthographicFront"/>
                  <w14:lightRig w14:rig="threePt" w14:dir="t">
                    <w14:rot w14:lat="0" w14:lon="0" w14:rev="0"/>
                  </w14:lightRig>
                </w14:scene3d>
              </w:rPr>
              <w:t>6.6</w:t>
            </w:r>
            <w:r>
              <w:rPr>
                <w:rFonts w:asciiTheme="minorHAnsi" w:eastAsiaTheme="minorEastAsia" w:hAnsiTheme="minorHAnsi" w:cstheme="minorBidi"/>
                <w:noProof/>
                <w:sz w:val="22"/>
                <w:szCs w:val="22"/>
                <w:lang w:eastAsia="sk-SK"/>
              </w:rPr>
              <w:tab/>
            </w:r>
            <w:r w:rsidRPr="00553EC9">
              <w:rPr>
                <w:rStyle w:val="Hypertextovprepojenie"/>
                <w:noProof/>
              </w:rPr>
              <w:t>Inovačné aktivity</w:t>
            </w:r>
            <w:r>
              <w:rPr>
                <w:noProof/>
                <w:webHidden/>
              </w:rPr>
              <w:tab/>
            </w:r>
            <w:r>
              <w:rPr>
                <w:noProof/>
                <w:webHidden/>
              </w:rPr>
              <w:fldChar w:fldCharType="begin"/>
            </w:r>
            <w:r>
              <w:rPr>
                <w:noProof/>
                <w:webHidden/>
              </w:rPr>
              <w:instrText xml:space="preserve"> PAGEREF _Toc70711631 \h </w:instrText>
            </w:r>
            <w:r>
              <w:rPr>
                <w:noProof/>
                <w:webHidden/>
              </w:rPr>
            </w:r>
            <w:r>
              <w:rPr>
                <w:noProof/>
                <w:webHidden/>
              </w:rPr>
              <w:fldChar w:fldCharType="separate"/>
            </w:r>
            <w:r>
              <w:rPr>
                <w:noProof/>
                <w:webHidden/>
              </w:rPr>
              <w:t>66</w:t>
            </w:r>
            <w:r>
              <w:rPr>
                <w:noProof/>
                <w:webHidden/>
              </w:rPr>
              <w:fldChar w:fldCharType="end"/>
            </w:r>
          </w:hyperlink>
        </w:p>
        <w:p w14:paraId="22A6E199" w14:textId="03804AAE" w:rsidR="00220AFF" w:rsidRDefault="00220AFF">
          <w:pPr>
            <w:pStyle w:val="Obsah2"/>
            <w:rPr>
              <w:rFonts w:asciiTheme="minorHAnsi" w:eastAsiaTheme="minorEastAsia" w:hAnsiTheme="minorHAnsi" w:cstheme="minorBidi"/>
              <w:noProof/>
              <w:sz w:val="22"/>
              <w:szCs w:val="22"/>
              <w:lang w:eastAsia="sk-SK"/>
            </w:rPr>
          </w:pPr>
          <w:hyperlink w:anchor="_Toc70711632" w:history="1">
            <w:r w:rsidRPr="00553EC9">
              <w:rPr>
                <w:rStyle w:val="Hypertextovprepojenie"/>
                <w:noProof/>
                <w14:scene3d>
                  <w14:camera w14:prst="orthographicFront"/>
                  <w14:lightRig w14:rig="threePt" w14:dir="t">
                    <w14:rot w14:lat="0" w14:lon="0" w14:rev="0"/>
                  </w14:lightRig>
                </w14:scene3d>
              </w:rPr>
              <w:t>6.7</w:t>
            </w:r>
            <w:r>
              <w:rPr>
                <w:rFonts w:asciiTheme="minorHAnsi" w:eastAsiaTheme="minorEastAsia" w:hAnsiTheme="minorHAnsi" w:cstheme="minorBidi"/>
                <w:noProof/>
                <w:sz w:val="22"/>
                <w:szCs w:val="22"/>
                <w:lang w:eastAsia="sk-SK"/>
              </w:rPr>
              <w:tab/>
            </w:r>
            <w:r w:rsidRPr="00553EC9">
              <w:rPr>
                <w:rStyle w:val="Hypertextovprepojenie"/>
                <w:noProof/>
              </w:rPr>
              <w:t>Riadenie rizík</w:t>
            </w:r>
            <w:r>
              <w:rPr>
                <w:noProof/>
                <w:webHidden/>
              </w:rPr>
              <w:tab/>
            </w:r>
            <w:r>
              <w:rPr>
                <w:noProof/>
                <w:webHidden/>
              </w:rPr>
              <w:fldChar w:fldCharType="begin"/>
            </w:r>
            <w:r>
              <w:rPr>
                <w:noProof/>
                <w:webHidden/>
              </w:rPr>
              <w:instrText xml:space="preserve"> PAGEREF _Toc70711632 \h </w:instrText>
            </w:r>
            <w:r>
              <w:rPr>
                <w:noProof/>
                <w:webHidden/>
              </w:rPr>
            </w:r>
            <w:r>
              <w:rPr>
                <w:noProof/>
                <w:webHidden/>
              </w:rPr>
              <w:fldChar w:fldCharType="separate"/>
            </w:r>
            <w:r>
              <w:rPr>
                <w:noProof/>
                <w:webHidden/>
              </w:rPr>
              <w:t>68</w:t>
            </w:r>
            <w:r>
              <w:rPr>
                <w:noProof/>
                <w:webHidden/>
              </w:rPr>
              <w:fldChar w:fldCharType="end"/>
            </w:r>
          </w:hyperlink>
        </w:p>
        <w:p w14:paraId="77295E0E" w14:textId="368F60EE" w:rsidR="00220AFF" w:rsidRDefault="00220AFF">
          <w:pPr>
            <w:pStyle w:val="Obsah1"/>
            <w:rPr>
              <w:rFonts w:asciiTheme="minorHAnsi" w:eastAsiaTheme="minorEastAsia" w:hAnsiTheme="minorHAnsi" w:cstheme="minorBidi"/>
              <w:noProof/>
              <w:sz w:val="22"/>
              <w:szCs w:val="22"/>
              <w:lang w:eastAsia="sk-SK"/>
            </w:rPr>
          </w:pPr>
          <w:hyperlink w:anchor="_Toc70711633" w:history="1">
            <w:r w:rsidRPr="00553EC9">
              <w:rPr>
                <w:rStyle w:val="Hypertextovprepojenie"/>
                <w:noProof/>
                <w14:scene3d>
                  <w14:camera w14:prst="orthographicFront"/>
                  <w14:lightRig w14:rig="threePt" w14:dir="t">
                    <w14:rot w14:lat="0" w14:lon="0" w14:rev="0"/>
                  </w14:lightRig>
                </w14:scene3d>
              </w:rPr>
              <w:t>7</w:t>
            </w:r>
            <w:r>
              <w:rPr>
                <w:rFonts w:asciiTheme="minorHAnsi" w:eastAsiaTheme="minorEastAsia" w:hAnsiTheme="minorHAnsi" w:cstheme="minorBidi"/>
                <w:noProof/>
                <w:sz w:val="22"/>
                <w:szCs w:val="22"/>
                <w:lang w:eastAsia="sk-SK"/>
              </w:rPr>
              <w:tab/>
            </w:r>
            <w:r w:rsidRPr="00553EC9">
              <w:rPr>
                <w:rStyle w:val="Hypertextovprepojenie"/>
                <w:noProof/>
              </w:rPr>
              <w:t>Záver</w:t>
            </w:r>
            <w:r>
              <w:rPr>
                <w:noProof/>
                <w:webHidden/>
              </w:rPr>
              <w:tab/>
            </w:r>
            <w:r>
              <w:rPr>
                <w:noProof/>
                <w:webHidden/>
              </w:rPr>
              <w:fldChar w:fldCharType="begin"/>
            </w:r>
            <w:r>
              <w:rPr>
                <w:noProof/>
                <w:webHidden/>
              </w:rPr>
              <w:instrText xml:space="preserve"> PAGEREF _Toc70711633 \h </w:instrText>
            </w:r>
            <w:r>
              <w:rPr>
                <w:noProof/>
                <w:webHidden/>
              </w:rPr>
            </w:r>
            <w:r>
              <w:rPr>
                <w:noProof/>
                <w:webHidden/>
              </w:rPr>
              <w:fldChar w:fldCharType="separate"/>
            </w:r>
            <w:r>
              <w:rPr>
                <w:noProof/>
                <w:webHidden/>
              </w:rPr>
              <w:t>72</w:t>
            </w:r>
            <w:r>
              <w:rPr>
                <w:noProof/>
                <w:webHidden/>
              </w:rPr>
              <w:fldChar w:fldCharType="end"/>
            </w:r>
          </w:hyperlink>
        </w:p>
        <w:p w14:paraId="090A3720" w14:textId="534C2CDE" w:rsidR="00220AFF" w:rsidRDefault="00220AFF">
          <w:pPr>
            <w:pStyle w:val="Obsah1"/>
            <w:rPr>
              <w:rFonts w:asciiTheme="minorHAnsi" w:eastAsiaTheme="minorEastAsia" w:hAnsiTheme="minorHAnsi" w:cstheme="minorBidi"/>
              <w:noProof/>
              <w:sz w:val="22"/>
              <w:szCs w:val="22"/>
              <w:lang w:eastAsia="sk-SK"/>
            </w:rPr>
          </w:pPr>
          <w:hyperlink w:anchor="_Toc70711634" w:history="1">
            <w:r w:rsidRPr="00553EC9">
              <w:rPr>
                <w:rStyle w:val="Hypertextovprepojenie"/>
                <w:noProof/>
                <w14:scene3d>
                  <w14:camera w14:prst="orthographicFront"/>
                  <w14:lightRig w14:rig="threePt" w14:dir="t">
                    <w14:rot w14:lat="0" w14:lon="0" w14:rev="0"/>
                  </w14:lightRig>
                </w14:scene3d>
              </w:rPr>
              <w:t>8</w:t>
            </w:r>
            <w:r>
              <w:rPr>
                <w:rFonts w:asciiTheme="minorHAnsi" w:eastAsiaTheme="minorEastAsia" w:hAnsiTheme="minorHAnsi" w:cstheme="minorBidi"/>
                <w:noProof/>
                <w:sz w:val="22"/>
                <w:szCs w:val="22"/>
                <w:lang w:eastAsia="sk-SK"/>
              </w:rPr>
              <w:tab/>
            </w:r>
            <w:r w:rsidRPr="00553EC9">
              <w:rPr>
                <w:rStyle w:val="Hypertextovprepojenie"/>
                <w:noProof/>
              </w:rPr>
              <w:t>Prílohy</w:t>
            </w:r>
            <w:r>
              <w:rPr>
                <w:noProof/>
                <w:webHidden/>
              </w:rPr>
              <w:tab/>
            </w:r>
            <w:r>
              <w:rPr>
                <w:noProof/>
                <w:webHidden/>
              </w:rPr>
              <w:fldChar w:fldCharType="begin"/>
            </w:r>
            <w:r>
              <w:rPr>
                <w:noProof/>
                <w:webHidden/>
              </w:rPr>
              <w:instrText xml:space="preserve"> PAGEREF _Toc70711634 \h </w:instrText>
            </w:r>
            <w:r>
              <w:rPr>
                <w:noProof/>
                <w:webHidden/>
              </w:rPr>
            </w:r>
            <w:r>
              <w:rPr>
                <w:noProof/>
                <w:webHidden/>
              </w:rPr>
              <w:fldChar w:fldCharType="separate"/>
            </w:r>
            <w:r>
              <w:rPr>
                <w:noProof/>
                <w:webHidden/>
              </w:rPr>
              <w:t>73</w:t>
            </w:r>
            <w:r>
              <w:rPr>
                <w:noProof/>
                <w:webHidden/>
              </w:rPr>
              <w:fldChar w:fldCharType="end"/>
            </w:r>
          </w:hyperlink>
        </w:p>
        <w:p w14:paraId="67F179CD" w14:textId="24C6ABEA" w:rsidR="00220AFF" w:rsidRDefault="00220AFF">
          <w:pPr>
            <w:pStyle w:val="Obsah2"/>
            <w:rPr>
              <w:rFonts w:asciiTheme="minorHAnsi" w:eastAsiaTheme="minorEastAsia" w:hAnsiTheme="minorHAnsi" w:cstheme="minorBidi"/>
              <w:noProof/>
              <w:sz w:val="22"/>
              <w:szCs w:val="22"/>
              <w:lang w:eastAsia="sk-SK"/>
            </w:rPr>
          </w:pPr>
          <w:hyperlink w:anchor="_Toc70711635" w:history="1">
            <w:r w:rsidRPr="00553EC9">
              <w:rPr>
                <w:rStyle w:val="Hypertextovprepojenie"/>
                <w:noProof/>
              </w:rPr>
              <w:t>Príloha č. 1 – Súvisiace strategické dokumenty EÚ pre oblasť e-Governmentu</w:t>
            </w:r>
            <w:r>
              <w:rPr>
                <w:noProof/>
                <w:webHidden/>
              </w:rPr>
              <w:tab/>
            </w:r>
            <w:r>
              <w:rPr>
                <w:noProof/>
                <w:webHidden/>
              </w:rPr>
              <w:fldChar w:fldCharType="begin"/>
            </w:r>
            <w:r>
              <w:rPr>
                <w:noProof/>
                <w:webHidden/>
              </w:rPr>
              <w:instrText xml:space="preserve"> PAGEREF _Toc70711635 \h </w:instrText>
            </w:r>
            <w:r>
              <w:rPr>
                <w:noProof/>
                <w:webHidden/>
              </w:rPr>
            </w:r>
            <w:r>
              <w:rPr>
                <w:noProof/>
                <w:webHidden/>
              </w:rPr>
              <w:fldChar w:fldCharType="separate"/>
            </w:r>
            <w:r>
              <w:rPr>
                <w:noProof/>
                <w:webHidden/>
              </w:rPr>
              <w:t>73</w:t>
            </w:r>
            <w:r>
              <w:rPr>
                <w:noProof/>
                <w:webHidden/>
              </w:rPr>
              <w:fldChar w:fldCharType="end"/>
            </w:r>
          </w:hyperlink>
        </w:p>
        <w:p w14:paraId="35DA89A3" w14:textId="18492C32" w:rsidR="00220AFF" w:rsidRDefault="00220AFF">
          <w:pPr>
            <w:pStyle w:val="Obsah2"/>
            <w:rPr>
              <w:rFonts w:asciiTheme="minorHAnsi" w:eastAsiaTheme="minorEastAsia" w:hAnsiTheme="minorHAnsi" w:cstheme="minorBidi"/>
              <w:noProof/>
              <w:sz w:val="22"/>
              <w:szCs w:val="22"/>
              <w:lang w:eastAsia="sk-SK"/>
            </w:rPr>
          </w:pPr>
          <w:hyperlink w:anchor="_Toc70711636" w:history="1">
            <w:r w:rsidRPr="00553EC9">
              <w:rPr>
                <w:rStyle w:val="Hypertextovprepojenie"/>
                <w:noProof/>
              </w:rPr>
              <w:t>Príloha č. 2 – Merateľné ukazovatele dosahovania cieľov</w:t>
            </w:r>
            <w:r>
              <w:rPr>
                <w:noProof/>
                <w:webHidden/>
              </w:rPr>
              <w:tab/>
            </w:r>
            <w:r>
              <w:rPr>
                <w:noProof/>
                <w:webHidden/>
              </w:rPr>
              <w:fldChar w:fldCharType="begin"/>
            </w:r>
            <w:r>
              <w:rPr>
                <w:noProof/>
                <w:webHidden/>
              </w:rPr>
              <w:instrText xml:space="preserve"> PAGEREF _Toc70711636 \h </w:instrText>
            </w:r>
            <w:r>
              <w:rPr>
                <w:noProof/>
                <w:webHidden/>
              </w:rPr>
            </w:r>
            <w:r>
              <w:rPr>
                <w:noProof/>
                <w:webHidden/>
              </w:rPr>
              <w:fldChar w:fldCharType="separate"/>
            </w:r>
            <w:r>
              <w:rPr>
                <w:noProof/>
                <w:webHidden/>
              </w:rPr>
              <w:t>75</w:t>
            </w:r>
            <w:r>
              <w:rPr>
                <w:noProof/>
                <w:webHidden/>
              </w:rPr>
              <w:fldChar w:fldCharType="end"/>
            </w:r>
          </w:hyperlink>
        </w:p>
        <w:p w14:paraId="1BDEF5BA" w14:textId="5C27819F" w:rsidR="00220AFF" w:rsidRDefault="00220AFF">
          <w:pPr>
            <w:pStyle w:val="Obsah2"/>
            <w:rPr>
              <w:rFonts w:asciiTheme="minorHAnsi" w:eastAsiaTheme="minorEastAsia" w:hAnsiTheme="minorHAnsi" w:cstheme="minorBidi"/>
              <w:noProof/>
              <w:sz w:val="22"/>
              <w:szCs w:val="22"/>
              <w:lang w:eastAsia="sk-SK"/>
            </w:rPr>
          </w:pPr>
          <w:hyperlink w:anchor="_Toc70711637" w:history="1">
            <w:r w:rsidRPr="00553EC9">
              <w:rPr>
                <w:rStyle w:val="Hypertextovprepojenie"/>
                <w:noProof/>
              </w:rPr>
              <w:t>Príloha č. 3 – Prepojenosť na iné strategické dokumenty</w:t>
            </w:r>
            <w:r>
              <w:rPr>
                <w:noProof/>
                <w:webHidden/>
              </w:rPr>
              <w:tab/>
            </w:r>
            <w:r>
              <w:rPr>
                <w:noProof/>
                <w:webHidden/>
              </w:rPr>
              <w:fldChar w:fldCharType="begin"/>
            </w:r>
            <w:r>
              <w:rPr>
                <w:noProof/>
                <w:webHidden/>
              </w:rPr>
              <w:instrText xml:space="preserve"> PAGEREF _Toc70711637 \h </w:instrText>
            </w:r>
            <w:r>
              <w:rPr>
                <w:noProof/>
                <w:webHidden/>
              </w:rPr>
            </w:r>
            <w:r>
              <w:rPr>
                <w:noProof/>
                <w:webHidden/>
              </w:rPr>
              <w:fldChar w:fldCharType="separate"/>
            </w:r>
            <w:r>
              <w:rPr>
                <w:noProof/>
                <w:webHidden/>
              </w:rPr>
              <w:t>80</w:t>
            </w:r>
            <w:r>
              <w:rPr>
                <w:noProof/>
                <w:webHidden/>
              </w:rPr>
              <w:fldChar w:fldCharType="end"/>
            </w:r>
          </w:hyperlink>
        </w:p>
        <w:p w14:paraId="5385AD4C" w14:textId="28C458A3" w:rsidR="00220AFF" w:rsidRDefault="00220AFF">
          <w:pPr>
            <w:pStyle w:val="Obsah2"/>
            <w:rPr>
              <w:rFonts w:asciiTheme="minorHAnsi" w:eastAsiaTheme="minorEastAsia" w:hAnsiTheme="minorHAnsi" w:cstheme="minorBidi"/>
              <w:noProof/>
              <w:sz w:val="22"/>
              <w:szCs w:val="22"/>
              <w:lang w:eastAsia="sk-SK"/>
            </w:rPr>
          </w:pPr>
          <w:hyperlink w:anchor="_Toc70711638" w:history="1">
            <w:r w:rsidRPr="00553EC9">
              <w:rPr>
                <w:rStyle w:val="Hypertextovprepojenie"/>
                <w:noProof/>
              </w:rPr>
              <w:t>Príloha č. 4 – Princípy riadenia architektúry ITVS</w:t>
            </w:r>
            <w:r>
              <w:rPr>
                <w:noProof/>
                <w:webHidden/>
              </w:rPr>
              <w:tab/>
            </w:r>
            <w:r>
              <w:rPr>
                <w:noProof/>
                <w:webHidden/>
              </w:rPr>
              <w:fldChar w:fldCharType="begin"/>
            </w:r>
            <w:r>
              <w:rPr>
                <w:noProof/>
                <w:webHidden/>
              </w:rPr>
              <w:instrText xml:space="preserve"> PAGEREF _Toc70711638 \h </w:instrText>
            </w:r>
            <w:r>
              <w:rPr>
                <w:noProof/>
                <w:webHidden/>
              </w:rPr>
            </w:r>
            <w:r>
              <w:rPr>
                <w:noProof/>
                <w:webHidden/>
              </w:rPr>
              <w:fldChar w:fldCharType="separate"/>
            </w:r>
            <w:r>
              <w:rPr>
                <w:noProof/>
                <w:webHidden/>
              </w:rPr>
              <w:t>84</w:t>
            </w:r>
            <w:r>
              <w:rPr>
                <w:noProof/>
                <w:webHidden/>
              </w:rPr>
              <w:fldChar w:fldCharType="end"/>
            </w:r>
          </w:hyperlink>
        </w:p>
        <w:p w14:paraId="4A561673" w14:textId="514C616C" w:rsidR="00220AFF" w:rsidRDefault="00220AFF">
          <w:pPr>
            <w:pStyle w:val="Obsah2"/>
            <w:rPr>
              <w:rFonts w:asciiTheme="minorHAnsi" w:eastAsiaTheme="minorEastAsia" w:hAnsiTheme="minorHAnsi" w:cstheme="minorBidi"/>
              <w:noProof/>
              <w:sz w:val="22"/>
              <w:szCs w:val="22"/>
              <w:lang w:eastAsia="sk-SK"/>
            </w:rPr>
          </w:pPr>
          <w:hyperlink w:anchor="_Toc70711639" w:history="1">
            <w:r w:rsidRPr="00553EC9">
              <w:rPr>
                <w:rStyle w:val="Hypertextovprepojenie"/>
                <w:noProof/>
              </w:rPr>
              <w:t>Príloha č. 5 – Základné členenie architektúry verejnej správy</w:t>
            </w:r>
            <w:r>
              <w:rPr>
                <w:noProof/>
                <w:webHidden/>
              </w:rPr>
              <w:tab/>
            </w:r>
            <w:r>
              <w:rPr>
                <w:noProof/>
                <w:webHidden/>
              </w:rPr>
              <w:fldChar w:fldCharType="begin"/>
            </w:r>
            <w:r>
              <w:rPr>
                <w:noProof/>
                <w:webHidden/>
              </w:rPr>
              <w:instrText xml:space="preserve"> PAGEREF _Toc70711639 \h </w:instrText>
            </w:r>
            <w:r>
              <w:rPr>
                <w:noProof/>
                <w:webHidden/>
              </w:rPr>
            </w:r>
            <w:r>
              <w:rPr>
                <w:noProof/>
                <w:webHidden/>
              </w:rPr>
              <w:fldChar w:fldCharType="separate"/>
            </w:r>
            <w:r>
              <w:rPr>
                <w:noProof/>
                <w:webHidden/>
              </w:rPr>
              <w:t>88</w:t>
            </w:r>
            <w:r>
              <w:rPr>
                <w:noProof/>
                <w:webHidden/>
              </w:rPr>
              <w:fldChar w:fldCharType="end"/>
            </w:r>
          </w:hyperlink>
        </w:p>
        <w:p w14:paraId="0CB9004E" w14:textId="63A80B73" w:rsidR="00EE548A" w:rsidRPr="004D73C4" w:rsidRDefault="00DF76AF">
          <w:r w:rsidRPr="004D73C4">
            <w:rPr>
              <w:rFonts w:asciiTheme="majorHAnsi" w:eastAsia="Times New Roman" w:hAnsiTheme="majorHAnsi" w:cs="Times New Roman"/>
              <w:color w:val="2B579A"/>
              <w:sz w:val="28"/>
              <w:szCs w:val="20"/>
              <w:shd w:val="clear" w:color="auto" w:fill="E6E6E6"/>
            </w:rPr>
            <w:fldChar w:fldCharType="end"/>
          </w:r>
        </w:p>
      </w:sdtContent>
    </w:sdt>
    <w:p w14:paraId="304D6071" w14:textId="77777777" w:rsidR="005B49BB" w:rsidRPr="004D73C4" w:rsidRDefault="005B49BB" w:rsidP="00D600EC">
      <w:pPr>
        <w:pStyle w:val="Nadpis1"/>
      </w:pPr>
      <w:bookmarkStart w:id="5" w:name="_Toc69297681"/>
      <w:bookmarkStart w:id="6" w:name="_Toc70369646"/>
      <w:bookmarkStart w:id="7" w:name="_Toc70711586"/>
      <w:r w:rsidRPr="004D73C4">
        <w:lastRenderedPageBreak/>
        <w:t>Manažérske zhrnutie</w:t>
      </w:r>
      <w:bookmarkEnd w:id="4"/>
      <w:bookmarkEnd w:id="5"/>
      <w:bookmarkEnd w:id="6"/>
      <w:bookmarkEnd w:id="7"/>
    </w:p>
    <w:p w14:paraId="23799A0E" w14:textId="77777777" w:rsidR="005B49BB" w:rsidRPr="004D73C4" w:rsidRDefault="005B49BB" w:rsidP="61FEEC5A">
      <w:r>
        <w:t>Tento dokument</w:t>
      </w:r>
      <w:r w:rsidR="006037B6">
        <w:t xml:space="preserve"> </w:t>
      </w:r>
      <w:r>
        <w:t>–</w:t>
      </w:r>
      <w:r w:rsidR="006037B6">
        <w:t xml:space="preserve"> </w:t>
      </w:r>
      <w:r w:rsidR="7236C600" w:rsidRPr="61FEEC5A">
        <w:rPr>
          <w:rFonts w:ascii="Calibri" w:eastAsia="Calibri" w:hAnsi="Calibri" w:cs="Calibri"/>
          <w:color w:val="000000" w:themeColor="text1"/>
        </w:rPr>
        <w:t>Národná koncepcia informatizácie verejnej správy Slovenskej republiky (ďalej len „NKIVS“ alebo „Koncepcia“):</w:t>
      </w:r>
    </w:p>
    <w:p w14:paraId="0B17DE1C" w14:textId="77777777" w:rsidR="005B49BB" w:rsidRPr="004D73C4" w:rsidRDefault="7236C600" w:rsidP="00F06821">
      <w:pPr>
        <w:pStyle w:val="Odsekzoznamu"/>
        <w:numPr>
          <w:ilvl w:val="0"/>
          <w:numId w:val="2"/>
        </w:numPr>
        <w:rPr>
          <w:rFonts w:eastAsiaTheme="minorEastAsia" w:cstheme="minorBidi"/>
          <w:szCs w:val="22"/>
        </w:rPr>
      </w:pPr>
      <w:r w:rsidRPr="61FEEC5A">
        <w:rPr>
          <w:rFonts w:ascii="Calibri" w:eastAsia="Calibri" w:hAnsi="Calibri" w:cs="Calibri"/>
          <w:szCs w:val="22"/>
        </w:rPr>
        <w:t>predstavuje systémový plán prípravy a realizácie zmien smerujúcich k napĺňaniu stanovených cieľov informatizácie verejnej správy,</w:t>
      </w:r>
    </w:p>
    <w:p w14:paraId="2DB0958A" w14:textId="77777777" w:rsidR="005B49BB" w:rsidRPr="004D73C4" w:rsidRDefault="7236C600" w:rsidP="00F06821">
      <w:pPr>
        <w:pStyle w:val="Odsekzoznamu"/>
        <w:numPr>
          <w:ilvl w:val="0"/>
          <w:numId w:val="2"/>
        </w:numPr>
        <w:rPr>
          <w:rFonts w:eastAsiaTheme="minorEastAsia" w:cstheme="minorBidi"/>
          <w:szCs w:val="22"/>
        </w:rPr>
      </w:pPr>
      <w:r w:rsidRPr="61FEEC5A">
        <w:rPr>
          <w:rFonts w:ascii="Calibri" w:eastAsia="Calibri" w:hAnsi="Calibri" w:cs="Calibri"/>
          <w:szCs w:val="22"/>
        </w:rPr>
        <w:t>obsahuje základné východiská a smerovanie,</w:t>
      </w:r>
    </w:p>
    <w:p w14:paraId="6A659FE7" w14:textId="77777777" w:rsidR="005B49BB" w:rsidRPr="004D73C4" w:rsidRDefault="7236C600" w:rsidP="00F06821">
      <w:pPr>
        <w:pStyle w:val="Odsekzoznamu"/>
        <w:numPr>
          <w:ilvl w:val="0"/>
          <w:numId w:val="2"/>
        </w:numPr>
        <w:rPr>
          <w:rFonts w:eastAsiaTheme="minorEastAsia" w:cstheme="minorBidi"/>
          <w:szCs w:val="22"/>
        </w:rPr>
      </w:pPr>
      <w:r w:rsidRPr="61FEEC5A">
        <w:rPr>
          <w:rFonts w:ascii="Calibri" w:eastAsia="Calibri" w:hAnsi="Calibri" w:cs="Calibri"/>
          <w:szCs w:val="22"/>
        </w:rPr>
        <w:t xml:space="preserve">vymedzuje konkrétne ciele a ich hodnoty. </w:t>
      </w:r>
    </w:p>
    <w:p w14:paraId="57B459C7" w14:textId="77777777" w:rsidR="005B49BB" w:rsidRPr="004D73C4" w:rsidRDefault="7236C600" w:rsidP="61FEEC5A">
      <w:pPr>
        <w:rPr>
          <w:rFonts w:ascii="Calibri" w:eastAsia="Calibri" w:hAnsi="Calibri" w:cs="Calibri"/>
          <w:color w:val="000000" w:themeColor="text1"/>
        </w:rPr>
      </w:pPr>
      <w:r w:rsidRPr="61FEEC5A">
        <w:rPr>
          <w:rFonts w:ascii="Calibri" w:eastAsia="Calibri" w:hAnsi="Calibri" w:cs="Calibri"/>
          <w:color w:val="000000" w:themeColor="text1"/>
        </w:rPr>
        <w:t xml:space="preserve">Koncepcia sa týka všetkých subjektov verejnej správy a tieto majú, pri dodržaní nastavenej filozofie a priorít pri budovaní a rozvoji informačných technológií verejnej správy (ďalej len „ITVS“), dosiahnuť vytýčené ciele </w:t>
      </w:r>
      <w:r w:rsidR="00433BD6">
        <w:rPr>
          <w:rFonts w:ascii="Calibri" w:eastAsia="Calibri" w:hAnsi="Calibri" w:cs="Calibri"/>
          <w:color w:val="000000" w:themeColor="text1"/>
        </w:rPr>
        <w:t>Do roku 2030</w:t>
      </w:r>
      <w:r w:rsidRPr="61FEEC5A">
        <w:rPr>
          <w:rFonts w:ascii="Calibri" w:eastAsia="Calibri" w:hAnsi="Calibri" w:cs="Calibri"/>
          <w:color w:val="000000" w:themeColor="text1"/>
        </w:rPr>
        <w:t>.</w:t>
      </w:r>
    </w:p>
    <w:p w14:paraId="3CE5009C" w14:textId="77777777" w:rsidR="005B49BB" w:rsidRPr="004D73C4" w:rsidRDefault="46D2D4E2" w:rsidP="61FEEC5A">
      <w:r w:rsidRPr="61FEEC5A">
        <w:rPr>
          <w:rFonts w:ascii="Calibri" w:eastAsia="Calibri" w:hAnsi="Calibri" w:cs="Calibri"/>
          <w:color w:val="000000" w:themeColor="text1"/>
        </w:rPr>
        <w:t>Koncepcia vychádza zo súčasného stavu architektúry ITVS, legislatívy, procesov, zrealizovaných projektov ITVS, zo zámeru vlády SR deklarovaného v Programovom vyhlásení vlády SR na roky 2020 – 2024, z:</w:t>
      </w:r>
    </w:p>
    <w:p w14:paraId="385527EE" w14:textId="77777777" w:rsidR="005B49BB" w:rsidRPr="004D73C4" w:rsidRDefault="46D2D4E2" w:rsidP="00F06821">
      <w:pPr>
        <w:pStyle w:val="Odsekzoznamu"/>
        <w:numPr>
          <w:ilvl w:val="0"/>
          <w:numId w:val="6"/>
        </w:numPr>
        <w:rPr>
          <w:rFonts w:eastAsiaTheme="minorEastAsia" w:cstheme="minorBidi"/>
          <w:szCs w:val="22"/>
        </w:rPr>
      </w:pPr>
      <w:r w:rsidRPr="61FEEC5A">
        <w:rPr>
          <w:rFonts w:ascii="Calibri" w:eastAsia="Calibri" w:hAnsi="Calibri" w:cs="Calibri"/>
          <w:szCs w:val="22"/>
        </w:rPr>
        <w:t xml:space="preserve">inovatívnych aktivít a nových trendov a </w:t>
      </w:r>
    </w:p>
    <w:p w14:paraId="35E9A556" w14:textId="77777777" w:rsidR="005B49BB" w:rsidRPr="004D73C4" w:rsidRDefault="46D2D4E2" w:rsidP="00F06821">
      <w:pPr>
        <w:pStyle w:val="Odsekzoznamu"/>
        <w:numPr>
          <w:ilvl w:val="0"/>
          <w:numId w:val="6"/>
        </w:numPr>
        <w:rPr>
          <w:rFonts w:eastAsiaTheme="minorEastAsia" w:cstheme="minorBidi"/>
          <w:szCs w:val="22"/>
        </w:rPr>
      </w:pPr>
      <w:r w:rsidRPr="61FEEC5A">
        <w:rPr>
          <w:rFonts w:ascii="Calibri" w:eastAsia="Calibri" w:hAnsi="Calibri" w:cs="Calibri"/>
          <w:szCs w:val="22"/>
        </w:rPr>
        <w:t xml:space="preserve">požiadaviek občanov a verejnej správy. </w:t>
      </w:r>
    </w:p>
    <w:p w14:paraId="5F789FD8" w14:textId="77777777" w:rsidR="005B49BB" w:rsidRPr="004D73C4" w:rsidRDefault="46D2D4E2" w:rsidP="61FEEC5A">
      <w:r w:rsidRPr="61FEEC5A">
        <w:rPr>
          <w:rFonts w:ascii="Calibri" w:eastAsia="Calibri" w:hAnsi="Calibri" w:cs="Calibri"/>
          <w:color w:val="000000" w:themeColor="text1"/>
        </w:rPr>
        <w:t>Taktiež buduje na súvisiacich národných stratégiách, európskych politikách, ako aj motivačných faktoroch, ktorými sú:</w:t>
      </w:r>
    </w:p>
    <w:p w14:paraId="319905E0" w14:textId="77777777" w:rsidR="005B49BB" w:rsidRPr="004D73C4" w:rsidRDefault="46D2D4E2" w:rsidP="00F06821">
      <w:pPr>
        <w:pStyle w:val="Odsekzoznamu"/>
        <w:numPr>
          <w:ilvl w:val="0"/>
          <w:numId w:val="5"/>
        </w:numPr>
        <w:rPr>
          <w:rFonts w:eastAsiaTheme="minorEastAsia" w:cstheme="minorBidi"/>
          <w:szCs w:val="22"/>
        </w:rPr>
      </w:pPr>
      <w:r w:rsidRPr="61FEEC5A">
        <w:rPr>
          <w:rFonts w:ascii="Calibri" w:eastAsia="Calibri" w:hAnsi="Calibri" w:cs="Calibri"/>
          <w:szCs w:val="22"/>
        </w:rPr>
        <w:t>hospodársky rast</w:t>
      </w:r>
    </w:p>
    <w:p w14:paraId="56832523" w14:textId="77777777" w:rsidR="005B49BB" w:rsidRPr="004D73C4" w:rsidRDefault="46D2D4E2" w:rsidP="00F06821">
      <w:pPr>
        <w:pStyle w:val="Odsekzoznamu"/>
        <w:numPr>
          <w:ilvl w:val="0"/>
          <w:numId w:val="5"/>
        </w:numPr>
        <w:rPr>
          <w:rFonts w:eastAsiaTheme="minorEastAsia" w:cstheme="minorBidi"/>
          <w:szCs w:val="22"/>
        </w:rPr>
      </w:pPr>
      <w:r w:rsidRPr="61FEEC5A">
        <w:rPr>
          <w:rFonts w:ascii="Calibri" w:eastAsia="Calibri" w:hAnsi="Calibri" w:cs="Calibri"/>
          <w:szCs w:val="22"/>
        </w:rPr>
        <w:t>zvyšovanie konkurencieschopnosti</w:t>
      </w:r>
    </w:p>
    <w:p w14:paraId="0034837D" w14:textId="77777777" w:rsidR="005B49BB" w:rsidRPr="004D73C4" w:rsidRDefault="46D2D4E2" w:rsidP="00F06821">
      <w:pPr>
        <w:pStyle w:val="Odsekzoznamu"/>
        <w:numPr>
          <w:ilvl w:val="0"/>
          <w:numId w:val="5"/>
        </w:numPr>
        <w:rPr>
          <w:rFonts w:eastAsiaTheme="minorEastAsia" w:cstheme="minorBidi"/>
          <w:szCs w:val="22"/>
        </w:rPr>
      </w:pPr>
      <w:r w:rsidRPr="61FEEC5A">
        <w:rPr>
          <w:rFonts w:ascii="Calibri" w:eastAsia="Calibri" w:hAnsi="Calibri" w:cs="Calibri"/>
          <w:szCs w:val="22"/>
        </w:rPr>
        <w:t xml:space="preserve">posilňovanie ekonomiky s vyššou pridanou hodnotou ako aj s tým súvisiacim zefektívňovaním verejnej správy. </w:t>
      </w:r>
    </w:p>
    <w:p w14:paraId="79A508BB" w14:textId="77777777" w:rsidR="005B49BB" w:rsidRPr="004D73C4" w:rsidRDefault="46D2D4E2" w:rsidP="61FEEC5A">
      <w:r w:rsidRPr="61FEEC5A">
        <w:rPr>
          <w:rFonts w:ascii="Calibri" w:eastAsia="Calibri" w:hAnsi="Calibri" w:cs="Calibri"/>
          <w:color w:val="000000" w:themeColor="text1"/>
        </w:rPr>
        <w:t>Má ambíciu byť nadčasová a odolná voči politickým zmenám.</w:t>
      </w:r>
    </w:p>
    <w:p w14:paraId="4B4CE239" w14:textId="77777777" w:rsidR="005B49BB" w:rsidRPr="004D73C4" w:rsidRDefault="46D2D4E2" w:rsidP="61FEEC5A">
      <w:r w:rsidRPr="61FEEC5A">
        <w:rPr>
          <w:rFonts w:ascii="Calibri" w:eastAsia="Calibri" w:hAnsi="Calibri" w:cs="Calibri"/>
          <w:color w:val="000000" w:themeColor="text1"/>
        </w:rPr>
        <w:t xml:space="preserve">Materiál určuje rámec, ktorý bude implementovaný pri vypracovaní koncepcií rozvoja informačných technológií (ďalej len „KRIT“) orgánov riadenia vo verejnej správe, pri spracúvaní dokumentácie projektov ITVS, ako aj pri rozhodovaní o využívaní verejných prostriedkov vo verejnej správe na informačné technológie. </w:t>
      </w:r>
    </w:p>
    <w:p w14:paraId="5F8F8956" w14:textId="77777777" w:rsidR="005B49BB" w:rsidRPr="004D73C4" w:rsidRDefault="46D2D4E2" w:rsidP="61FEEC5A">
      <w:r w:rsidRPr="61FEEC5A">
        <w:rPr>
          <w:rFonts w:ascii="Calibri" w:eastAsia="Calibri" w:hAnsi="Calibri" w:cs="Calibri"/>
          <w:color w:val="000000" w:themeColor="text1"/>
        </w:rPr>
        <w:t>Povinnosťou zodpovedných orgánov verejnej správy je:</w:t>
      </w:r>
    </w:p>
    <w:p w14:paraId="20947FE9" w14:textId="77777777" w:rsidR="005B49BB" w:rsidRPr="004D73C4" w:rsidRDefault="46D2D4E2" w:rsidP="00F06821">
      <w:pPr>
        <w:pStyle w:val="Odsekzoznamu"/>
        <w:numPr>
          <w:ilvl w:val="0"/>
          <w:numId w:val="4"/>
        </w:numPr>
        <w:rPr>
          <w:rFonts w:eastAsiaTheme="minorEastAsia" w:cstheme="minorBidi"/>
          <w:szCs w:val="22"/>
        </w:rPr>
      </w:pPr>
      <w:r w:rsidRPr="61FEEC5A">
        <w:rPr>
          <w:rFonts w:ascii="Calibri" w:eastAsia="Calibri" w:hAnsi="Calibri" w:cs="Calibri"/>
          <w:szCs w:val="22"/>
        </w:rPr>
        <w:t xml:space="preserve">zabezpečiť dosiahnutie všetkých relevantných cieľov na národnej úrovni, ktorých výstupmi budú hospodársky rast, </w:t>
      </w:r>
    </w:p>
    <w:p w14:paraId="7BFBD50C" w14:textId="77777777" w:rsidR="005B49BB" w:rsidRPr="004D73C4" w:rsidRDefault="46D2D4E2" w:rsidP="00F06821">
      <w:pPr>
        <w:pStyle w:val="Odsekzoznamu"/>
        <w:numPr>
          <w:ilvl w:val="0"/>
          <w:numId w:val="4"/>
        </w:numPr>
        <w:rPr>
          <w:rFonts w:eastAsiaTheme="minorEastAsia" w:cstheme="minorBidi"/>
          <w:szCs w:val="22"/>
        </w:rPr>
      </w:pPr>
      <w:r w:rsidRPr="61FEEC5A">
        <w:rPr>
          <w:rFonts w:ascii="Calibri" w:eastAsia="Calibri" w:hAnsi="Calibri" w:cs="Calibri"/>
          <w:szCs w:val="22"/>
        </w:rPr>
        <w:t xml:space="preserve">zvyšovanie konkurencie-schopnosti, synergie medzi jednotlivými politikami EÚ, </w:t>
      </w:r>
    </w:p>
    <w:p w14:paraId="07293189" w14:textId="77777777" w:rsidR="005B49BB" w:rsidRPr="004D73C4" w:rsidRDefault="46D2D4E2" w:rsidP="00F06821">
      <w:pPr>
        <w:pStyle w:val="Odsekzoznamu"/>
        <w:numPr>
          <w:ilvl w:val="0"/>
          <w:numId w:val="4"/>
        </w:numPr>
        <w:rPr>
          <w:rFonts w:eastAsiaTheme="minorEastAsia" w:cstheme="minorBidi"/>
          <w:szCs w:val="22"/>
        </w:rPr>
      </w:pPr>
      <w:r w:rsidRPr="61FEEC5A">
        <w:rPr>
          <w:rFonts w:ascii="Calibri" w:eastAsia="Calibri" w:hAnsi="Calibri" w:cs="Calibri"/>
          <w:szCs w:val="22"/>
        </w:rPr>
        <w:t xml:space="preserve">posilňovanie ekonomiky s vyššou pridanou hodnotou, pri aktívnom budovaní a podpore „zelenej ekonomiky“, s tým súvisiace </w:t>
      </w:r>
    </w:p>
    <w:p w14:paraId="525E1821" w14:textId="77777777" w:rsidR="005B49BB" w:rsidRPr="004D73C4" w:rsidRDefault="46D2D4E2" w:rsidP="00F06821">
      <w:pPr>
        <w:pStyle w:val="Odsekzoznamu"/>
        <w:numPr>
          <w:ilvl w:val="0"/>
          <w:numId w:val="4"/>
        </w:numPr>
        <w:rPr>
          <w:rFonts w:eastAsiaTheme="minorEastAsia" w:cstheme="minorBidi"/>
          <w:szCs w:val="22"/>
        </w:rPr>
      </w:pPr>
      <w:r w:rsidRPr="61FEEC5A">
        <w:rPr>
          <w:rFonts w:ascii="Calibri" w:eastAsia="Calibri" w:hAnsi="Calibri" w:cs="Calibri"/>
          <w:szCs w:val="22"/>
        </w:rPr>
        <w:t xml:space="preserve">zefektívňovanie verejnej správy, lepšia komunikácia s verejnou správou, aktívny prístup k zlepšovaniu a rozvoju ITVS, </w:t>
      </w:r>
    </w:p>
    <w:p w14:paraId="7ED08F23" w14:textId="77777777" w:rsidR="005B49BB" w:rsidRPr="004D73C4" w:rsidRDefault="46D2D4E2" w:rsidP="00F06821">
      <w:pPr>
        <w:pStyle w:val="Odsekzoznamu"/>
        <w:numPr>
          <w:ilvl w:val="0"/>
          <w:numId w:val="4"/>
        </w:numPr>
        <w:rPr>
          <w:rFonts w:eastAsiaTheme="minorEastAsia" w:cstheme="minorBidi"/>
          <w:szCs w:val="22"/>
        </w:rPr>
      </w:pPr>
      <w:r w:rsidRPr="61FEEC5A">
        <w:rPr>
          <w:rFonts w:ascii="Calibri" w:eastAsia="Calibri" w:hAnsi="Calibri" w:cs="Calibri"/>
          <w:szCs w:val="22"/>
        </w:rPr>
        <w:t xml:space="preserve">zvyšovanie kvality života občanov, zvýšenie kvality a dostupnosti e-Government služieb pre podnikateľov aj pre fyzické osoby, </w:t>
      </w:r>
    </w:p>
    <w:p w14:paraId="22103A29" w14:textId="77777777" w:rsidR="005B49BB" w:rsidRPr="004D73C4" w:rsidRDefault="46D2D4E2" w:rsidP="00F06821">
      <w:pPr>
        <w:pStyle w:val="Odsekzoznamu"/>
        <w:numPr>
          <w:ilvl w:val="0"/>
          <w:numId w:val="4"/>
        </w:numPr>
        <w:rPr>
          <w:rFonts w:eastAsiaTheme="minorEastAsia" w:cstheme="minorBidi"/>
          <w:szCs w:val="22"/>
        </w:rPr>
      </w:pPr>
      <w:r w:rsidRPr="61FEEC5A">
        <w:rPr>
          <w:rFonts w:ascii="Calibri" w:eastAsia="Calibri" w:hAnsi="Calibri" w:cs="Calibri"/>
          <w:szCs w:val="22"/>
        </w:rPr>
        <w:t>modernizácia a racionalizácia verejnej správy a zlepšenie informačnej bezpečnosti.</w:t>
      </w:r>
    </w:p>
    <w:p w14:paraId="639407E4" w14:textId="77777777" w:rsidR="005B49BB" w:rsidRPr="004D73C4" w:rsidRDefault="46D2D4E2" w:rsidP="61FEEC5A">
      <w:r w:rsidRPr="61FEEC5A">
        <w:rPr>
          <w:rFonts w:ascii="Calibri" w:eastAsia="Calibri" w:hAnsi="Calibri" w:cs="Calibri"/>
          <w:color w:val="000000" w:themeColor="text1"/>
        </w:rPr>
        <w:t>Dokument prináša analýzu súčasného stavu vychádzajúcu z rôznych správ o stave informatizácie na Slovensku. Každoročne je taktiež predkladaná vláde SR informácia o plnení, ktorá hodnotí dosahovanie definovaných cieľov NKIVS, ako aj medzinárodné hodnotenie súvisiace s e-Governmentom.</w:t>
      </w:r>
    </w:p>
    <w:p w14:paraId="40FF9D3B" w14:textId="77777777" w:rsidR="005B49BB" w:rsidRPr="004D73C4" w:rsidRDefault="46D2D4E2" w:rsidP="61FEEC5A">
      <w:r w:rsidRPr="61FEEC5A">
        <w:rPr>
          <w:rFonts w:ascii="Calibri" w:eastAsia="Calibri" w:hAnsi="Calibri" w:cs="Calibri"/>
          <w:color w:val="000000" w:themeColor="text1"/>
        </w:rPr>
        <w:t>Strategické smerovanie NKIVS bolo stanovené správne, výsledky však zaostávajú za ambicióznymi cieľmi, ktoré boli stanovené. Problémom bol:</w:t>
      </w:r>
    </w:p>
    <w:p w14:paraId="293FAD63" w14:textId="77777777" w:rsidR="005B49BB" w:rsidRPr="004D73C4" w:rsidRDefault="46D2D4E2" w:rsidP="00F06821">
      <w:pPr>
        <w:pStyle w:val="Odsekzoznamu"/>
        <w:numPr>
          <w:ilvl w:val="0"/>
          <w:numId w:val="3"/>
        </w:numPr>
        <w:rPr>
          <w:rFonts w:eastAsiaTheme="minorEastAsia" w:cstheme="minorBidi"/>
          <w:szCs w:val="22"/>
        </w:rPr>
      </w:pPr>
      <w:r w:rsidRPr="61FEEC5A">
        <w:rPr>
          <w:rFonts w:ascii="Calibri" w:eastAsia="Calibri" w:hAnsi="Calibri" w:cs="Calibri"/>
          <w:szCs w:val="22"/>
        </w:rPr>
        <w:t xml:space="preserve">nedostatočný dôraz na legislatívne, procesné, metodické a organizačné zmeny a </w:t>
      </w:r>
    </w:p>
    <w:p w14:paraId="0AEB7759" w14:textId="77777777" w:rsidR="005B49BB" w:rsidRPr="004D73C4" w:rsidRDefault="46D2D4E2" w:rsidP="00F06821">
      <w:pPr>
        <w:pStyle w:val="Odsekzoznamu"/>
        <w:numPr>
          <w:ilvl w:val="0"/>
          <w:numId w:val="3"/>
        </w:numPr>
        <w:rPr>
          <w:rFonts w:eastAsiaTheme="minorEastAsia" w:cstheme="minorBidi"/>
          <w:szCs w:val="22"/>
        </w:rPr>
      </w:pPr>
      <w:r w:rsidRPr="61FEEC5A">
        <w:rPr>
          <w:rFonts w:ascii="Calibri" w:eastAsia="Calibri" w:hAnsi="Calibri" w:cs="Calibri"/>
          <w:szCs w:val="22"/>
        </w:rPr>
        <w:t>personálna poddimenzovanosť orgánov riadenia,</w:t>
      </w:r>
    </w:p>
    <w:p w14:paraId="064E56A5" w14:textId="77777777" w:rsidR="005B49BB" w:rsidRPr="004D73C4" w:rsidRDefault="46D2D4E2" w:rsidP="00F06821">
      <w:pPr>
        <w:pStyle w:val="Odsekzoznamu"/>
        <w:numPr>
          <w:ilvl w:val="0"/>
          <w:numId w:val="3"/>
        </w:numPr>
        <w:rPr>
          <w:rFonts w:eastAsiaTheme="minorEastAsia" w:cstheme="minorBidi"/>
          <w:szCs w:val="22"/>
        </w:rPr>
      </w:pPr>
      <w:r w:rsidRPr="61FEEC5A">
        <w:rPr>
          <w:rFonts w:ascii="Calibri" w:eastAsia="Calibri" w:hAnsi="Calibri" w:cs="Calibri"/>
          <w:szCs w:val="22"/>
        </w:rPr>
        <w:t xml:space="preserve">nedostatočná väzba medzi centrálnou architektúrou a transformačnými požiadavkami, </w:t>
      </w:r>
    </w:p>
    <w:p w14:paraId="065EAC18" w14:textId="77777777" w:rsidR="005B49BB" w:rsidRPr="004D73C4" w:rsidRDefault="46D2D4E2" w:rsidP="00F06821">
      <w:pPr>
        <w:pStyle w:val="Odsekzoznamu"/>
        <w:numPr>
          <w:ilvl w:val="0"/>
          <w:numId w:val="3"/>
        </w:numPr>
        <w:rPr>
          <w:rFonts w:eastAsiaTheme="minorEastAsia" w:cstheme="minorBidi"/>
          <w:szCs w:val="22"/>
        </w:rPr>
      </w:pPr>
      <w:r w:rsidRPr="61FEEC5A">
        <w:rPr>
          <w:rFonts w:ascii="Calibri" w:eastAsia="Calibri" w:hAnsi="Calibri" w:cs="Calibri"/>
          <w:szCs w:val="22"/>
        </w:rPr>
        <w:t xml:space="preserve">slabé ukotvenie transformačných krokov do akčného plánu, </w:t>
      </w:r>
    </w:p>
    <w:p w14:paraId="78FCD860" w14:textId="77777777" w:rsidR="005B49BB" w:rsidRPr="004D73C4" w:rsidRDefault="46D2D4E2" w:rsidP="00F06821">
      <w:pPr>
        <w:pStyle w:val="Odsekzoznamu"/>
        <w:numPr>
          <w:ilvl w:val="0"/>
          <w:numId w:val="3"/>
        </w:numPr>
        <w:rPr>
          <w:rFonts w:eastAsiaTheme="minorEastAsia" w:cstheme="minorBidi"/>
          <w:szCs w:val="22"/>
        </w:rPr>
      </w:pPr>
      <w:r w:rsidRPr="61FEEC5A">
        <w:rPr>
          <w:rFonts w:ascii="Calibri" w:eastAsia="Calibri" w:hAnsi="Calibri" w:cs="Calibri"/>
          <w:szCs w:val="22"/>
        </w:rPr>
        <w:lastRenderedPageBreak/>
        <w:t xml:space="preserve">nedostatočná prioritizácia, nesymetrické postavenie štátnej správy voči dodávateľom, </w:t>
      </w:r>
    </w:p>
    <w:p w14:paraId="1705DBE8" w14:textId="77777777" w:rsidR="005B49BB" w:rsidRPr="004D73C4" w:rsidRDefault="46D2D4E2" w:rsidP="00F06821">
      <w:pPr>
        <w:pStyle w:val="Odsekzoznamu"/>
        <w:numPr>
          <w:ilvl w:val="0"/>
          <w:numId w:val="3"/>
        </w:numPr>
        <w:rPr>
          <w:rFonts w:eastAsiaTheme="minorEastAsia" w:cstheme="minorBidi"/>
          <w:szCs w:val="22"/>
        </w:rPr>
      </w:pPr>
      <w:r w:rsidRPr="61FEEC5A">
        <w:rPr>
          <w:rFonts w:ascii="Calibri" w:eastAsia="Calibri" w:hAnsi="Calibri" w:cs="Calibri"/>
          <w:szCs w:val="22"/>
        </w:rPr>
        <w:t xml:space="preserve">komunikačné problémy pri riadení procesu informatizácie a </w:t>
      </w:r>
    </w:p>
    <w:p w14:paraId="56D1FEAA" w14:textId="77777777" w:rsidR="005B49BB" w:rsidRPr="004D73C4" w:rsidRDefault="46D2D4E2" w:rsidP="00F06821">
      <w:pPr>
        <w:pStyle w:val="Odsekzoznamu"/>
        <w:numPr>
          <w:ilvl w:val="0"/>
          <w:numId w:val="3"/>
        </w:numPr>
        <w:rPr>
          <w:rFonts w:eastAsiaTheme="minorEastAsia" w:cstheme="minorBidi"/>
          <w:szCs w:val="22"/>
        </w:rPr>
      </w:pPr>
      <w:r w:rsidRPr="61FEEC5A">
        <w:rPr>
          <w:rFonts w:ascii="Calibri" w:eastAsia="Calibri" w:hAnsi="Calibri" w:cs="Calibri"/>
          <w:szCs w:val="22"/>
        </w:rPr>
        <w:t>súčasne nedôsledná novelizácia súvisiacich osobitných predpisov v gescii iných ústredných orgánov štátnej správy.</w:t>
      </w:r>
    </w:p>
    <w:p w14:paraId="5123A01D" w14:textId="77777777" w:rsidR="005B49BB" w:rsidRPr="004D73C4" w:rsidRDefault="46D2D4E2" w:rsidP="61FEEC5A">
      <w:r w:rsidRPr="61FEEC5A">
        <w:rPr>
          <w:rFonts w:ascii="Calibri" w:eastAsia="Calibri" w:hAnsi="Calibri" w:cs="Calibri"/>
          <w:color w:val="000000" w:themeColor="text1"/>
        </w:rPr>
        <w:t xml:space="preserve">Koncepcia definuje ciele v horizonte </w:t>
      </w:r>
      <w:r w:rsidR="00433BD6">
        <w:rPr>
          <w:rFonts w:ascii="Calibri" w:eastAsia="Calibri" w:hAnsi="Calibri" w:cs="Calibri"/>
          <w:color w:val="000000" w:themeColor="text1"/>
        </w:rPr>
        <w:t>Do roku 2030</w:t>
      </w:r>
      <w:r w:rsidRPr="61FEEC5A">
        <w:rPr>
          <w:rFonts w:ascii="Calibri" w:eastAsia="Calibri" w:hAnsi="Calibri" w:cs="Calibri"/>
          <w:color w:val="000000" w:themeColor="text1"/>
        </w:rPr>
        <w:t>. Hlavné strategické ciele vychádzajú primárne z rozpracovania Programového vyhlásenia vlády a pokrývajú tri hlavné oblasti informatizácie verejnej správy:</w:t>
      </w:r>
    </w:p>
    <w:p w14:paraId="5EC26900" w14:textId="2B5531AD" w:rsidR="005B49BB" w:rsidRPr="004D73C4" w:rsidRDefault="46D2D4E2" w:rsidP="00F06821">
      <w:pPr>
        <w:pStyle w:val="Odsekzoznamu"/>
        <w:numPr>
          <w:ilvl w:val="0"/>
          <w:numId w:val="40"/>
        </w:numPr>
      </w:pPr>
      <w:r w:rsidRPr="008554FF">
        <w:rPr>
          <w:rFonts w:ascii="Calibri" w:eastAsia="Calibri" w:hAnsi="Calibri" w:cs="Calibri"/>
        </w:rPr>
        <w:t>digitálne služby</w:t>
      </w:r>
      <w:r w:rsidR="008554FF">
        <w:rPr>
          <w:rFonts w:ascii="Calibri" w:eastAsia="Calibri" w:hAnsi="Calibri" w:cs="Calibri"/>
        </w:rPr>
        <w:t>,</w:t>
      </w:r>
    </w:p>
    <w:p w14:paraId="6343177D" w14:textId="7E5F7650" w:rsidR="005B49BB" w:rsidRPr="004D73C4" w:rsidRDefault="46D2D4E2" w:rsidP="00F06821">
      <w:pPr>
        <w:pStyle w:val="Odsekzoznamu"/>
        <w:numPr>
          <w:ilvl w:val="0"/>
          <w:numId w:val="40"/>
        </w:numPr>
      </w:pPr>
      <w:r w:rsidRPr="008554FF">
        <w:rPr>
          <w:rFonts w:ascii="Calibri" w:eastAsia="Calibri" w:hAnsi="Calibri" w:cs="Calibri"/>
        </w:rPr>
        <w:t>digitálnu transformáciu</w:t>
      </w:r>
      <w:r w:rsidR="008554FF">
        <w:rPr>
          <w:rFonts w:ascii="Calibri" w:eastAsia="Calibri" w:hAnsi="Calibri" w:cs="Calibri"/>
        </w:rPr>
        <w:t>,</w:t>
      </w:r>
    </w:p>
    <w:p w14:paraId="1FE9053B" w14:textId="2F4ACB4E" w:rsidR="005B49BB" w:rsidRPr="004D73C4" w:rsidRDefault="46D2D4E2" w:rsidP="00F06821">
      <w:pPr>
        <w:pStyle w:val="Odsekzoznamu"/>
        <w:numPr>
          <w:ilvl w:val="0"/>
          <w:numId w:val="40"/>
        </w:numPr>
      </w:pPr>
      <w:r w:rsidRPr="008554FF">
        <w:rPr>
          <w:rFonts w:ascii="Calibri" w:eastAsia="Calibri" w:hAnsi="Calibri" w:cs="Calibri"/>
        </w:rPr>
        <w:t>efektívne riadenie IT</w:t>
      </w:r>
      <w:r w:rsidR="008554FF">
        <w:rPr>
          <w:rFonts w:ascii="Calibri" w:eastAsia="Calibri" w:hAnsi="Calibri" w:cs="Calibri"/>
        </w:rPr>
        <w:t>.</w:t>
      </w:r>
    </w:p>
    <w:p w14:paraId="497A74B6" w14:textId="77777777" w:rsidR="005B49BB" w:rsidRPr="004D73C4" w:rsidRDefault="46D2D4E2" w:rsidP="61FEEC5A">
      <w:r w:rsidRPr="61FEEC5A">
        <w:rPr>
          <w:rFonts w:ascii="Calibri" w:eastAsia="Calibri" w:hAnsi="Calibri" w:cs="Calibri"/>
          <w:color w:val="000000" w:themeColor="text1"/>
        </w:rPr>
        <w:t>Predkladaná Koncepcia zároveň popisuje cestu, postupné kroky a nevyhnutné opatrenia na dosiahnutie uvedených cieľov v troch časových horizontoch (</w:t>
      </w:r>
      <w:r w:rsidR="00433BD6">
        <w:rPr>
          <w:rFonts w:ascii="Calibri" w:eastAsia="Calibri" w:hAnsi="Calibri" w:cs="Calibri"/>
          <w:color w:val="000000" w:themeColor="text1"/>
        </w:rPr>
        <w:t>Do roku 2023</w:t>
      </w:r>
      <w:r w:rsidRPr="61FEEC5A">
        <w:rPr>
          <w:rFonts w:ascii="Calibri" w:eastAsia="Calibri" w:hAnsi="Calibri" w:cs="Calibri"/>
          <w:color w:val="000000" w:themeColor="text1"/>
        </w:rPr>
        <w:t>, 2026 a 2030) a zohľadňuje tri zásadné zdroje financovania.</w:t>
      </w:r>
    </w:p>
    <w:p w14:paraId="79DC4082" w14:textId="77777777" w:rsidR="005B49BB" w:rsidRPr="004D73C4" w:rsidRDefault="46D2D4E2" w:rsidP="61FEEC5A">
      <w:pPr>
        <w:rPr>
          <w:rFonts w:ascii="Calibri" w:eastAsia="Calibri" w:hAnsi="Calibri" w:cs="Calibri"/>
          <w:color w:val="000000" w:themeColor="text1"/>
        </w:rPr>
      </w:pPr>
      <w:r w:rsidRPr="61FEEC5A">
        <w:rPr>
          <w:rFonts w:ascii="Calibri" w:eastAsia="Calibri" w:hAnsi="Calibri" w:cs="Calibri"/>
          <w:color w:val="000000" w:themeColor="text1"/>
        </w:rPr>
        <w:t>Koncepcia, vrátane jej úloh, je záväzným centrálnym plánom na rozvoj digitalizácie verejnej správy, pričom jej platnosť je naviazaná na schválenie vládou SR</w:t>
      </w:r>
      <w:r w:rsidR="789D5C64" w:rsidRPr="61FEEC5A">
        <w:rPr>
          <w:rFonts w:ascii="Calibri" w:eastAsia="Calibri" w:hAnsi="Calibri" w:cs="Calibri"/>
          <w:color w:val="000000" w:themeColor="text1"/>
        </w:rPr>
        <w:t>.</w:t>
      </w:r>
    </w:p>
    <w:p w14:paraId="11A3A5A1" w14:textId="77777777" w:rsidR="005B49BB" w:rsidRPr="004D73C4" w:rsidRDefault="2A80AB92" w:rsidP="008B0E07">
      <w:r w:rsidRPr="004D73C4">
        <w:t xml:space="preserve">Okrem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 zmysle navrhovanej </w:t>
      </w:r>
      <w:r w:rsidR="2E08E07C" w:rsidRPr="004D73C4">
        <w:t>K</w:t>
      </w:r>
      <w:r w:rsidRPr="004D73C4">
        <w:t xml:space="preserve">oncepcie. </w:t>
      </w:r>
    </w:p>
    <w:p w14:paraId="4E15C244" w14:textId="77777777" w:rsidR="005B49BB" w:rsidRPr="004D73C4" w:rsidRDefault="005B49BB" w:rsidP="008B0E07"/>
    <w:p w14:paraId="33CA8E0F" w14:textId="77777777" w:rsidR="005B49BB" w:rsidRPr="004D73C4" w:rsidRDefault="005B49BB" w:rsidP="00D600EC">
      <w:pPr>
        <w:pStyle w:val="Nadpis1"/>
      </w:pPr>
      <w:bookmarkStart w:id="8" w:name="_Toc69297682"/>
      <w:bookmarkStart w:id="9" w:name="_Toc70369647"/>
      <w:bookmarkStart w:id="10" w:name="_Toc70711587"/>
      <w:r w:rsidRPr="004D73C4">
        <w:lastRenderedPageBreak/>
        <w:t>Úvod</w:t>
      </w:r>
      <w:bookmarkEnd w:id="8"/>
      <w:bookmarkEnd w:id="9"/>
      <w:bookmarkEnd w:id="10"/>
    </w:p>
    <w:p w14:paraId="7CB8A9BD" w14:textId="77777777" w:rsidR="00105998" w:rsidRPr="004D73C4" w:rsidRDefault="00720741" w:rsidP="008B0E07">
      <w:r w:rsidRPr="004D73C4">
        <w:t>Koncepcia</w:t>
      </w:r>
      <w:r w:rsidR="005B49BB" w:rsidRPr="004D73C4">
        <w:t xml:space="preserve">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bookmarkEnd w:id="0"/>
      <w:bookmarkEnd w:id="1"/>
      <w:bookmarkEnd w:id="2"/>
      <w:bookmarkEnd w:id="3"/>
      <w:r w:rsidR="00105998" w:rsidRPr="004D73C4">
        <w:t>.</w:t>
      </w:r>
      <w:r w:rsidR="00105998" w:rsidRPr="004D73C4">
        <w:rPr>
          <w:rStyle w:val="Odkaznapoznmkupodiarou"/>
        </w:rPr>
        <w:footnoteReference w:id="2"/>
      </w:r>
      <w:r w:rsidR="00105998" w:rsidRPr="004D73C4">
        <w:t>) Navrhovaná je na indikatívne obdobie 2021 – 2030.</w:t>
      </w:r>
    </w:p>
    <w:p w14:paraId="5354C520" w14:textId="77777777" w:rsidR="00105998" w:rsidRPr="004D73C4" w:rsidRDefault="00105998" w:rsidP="008B0E07">
      <w:r w:rsidRPr="004D73C4">
        <w:t>Na revíziu Koncepcie je niekoľko dôvodov:</w:t>
      </w:r>
    </w:p>
    <w:p w14:paraId="761B3410" w14:textId="77777777" w:rsidR="00105998" w:rsidRPr="004D73C4" w:rsidRDefault="490157B0" w:rsidP="008B0E07">
      <w:pPr>
        <w:pStyle w:val="Odsekzoznamu"/>
      </w:pPr>
      <w:r w:rsidRPr="190F7DBA">
        <w:rPr>
          <w:u w:val="single"/>
        </w:rPr>
        <w:t>Legislatíva</w:t>
      </w:r>
      <w:r>
        <w:t xml:space="preserve"> – v rámci vytvárania pravidiel správy IT v nadväznosti na už prijatú legislatívu, ale aj nevyhnutnosť ďalších legislatívnych zmien osobitných právnych predpisov v gescii iných ústredných orgánov štátnej správ, musí byť zabezpečená kontinuita existujúcich inštitútov a prispôsobenie sa na nové povinnosti najmä pre správcov a prevádzkovateľov ITVS novou Koncepciou</w:t>
      </w:r>
      <w:r w:rsidR="77104F19">
        <w:t>.</w:t>
      </w:r>
    </w:p>
    <w:p w14:paraId="0CA9490B" w14:textId="77777777" w:rsidR="00105998" w:rsidRPr="004D73C4" w:rsidRDefault="17A34D77" w:rsidP="008B0E07">
      <w:pPr>
        <w:pStyle w:val="Odsekzoznamu"/>
      </w:pPr>
      <w:r w:rsidRPr="190F7DBA">
        <w:rPr>
          <w:u w:val="single"/>
        </w:rPr>
        <w:t xml:space="preserve">Očakávania </w:t>
      </w:r>
      <w:r w:rsidR="299D2632" w:rsidRPr="190F7DBA">
        <w:rPr>
          <w:u w:val="single"/>
        </w:rPr>
        <w:t xml:space="preserve">občanov </w:t>
      </w:r>
      <w:r w:rsidRPr="190F7DBA">
        <w:rPr>
          <w:u w:val="single"/>
        </w:rPr>
        <w:t>a úradníkov štátnej správy</w:t>
      </w:r>
      <w:r>
        <w:t xml:space="preserve"> – strategické smerovanie Slovenska </w:t>
      </w:r>
      <w:r w:rsidR="299D2632">
        <w:t xml:space="preserve">napĺňa vláda svojim </w:t>
      </w:r>
      <w:r w:rsidR="490157B0">
        <w:t>programom, ktorý pomôže riešiť</w:t>
      </w:r>
      <w:r>
        <w:t xml:space="preserve"> </w:t>
      </w:r>
      <w:r w:rsidR="490157B0">
        <w:t>aktuálne problémy</w:t>
      </w:r>
      <w:r w:rsidR="299D2632">
        <w:t xml:space="preserve"> občanov a úradníkov</w:t>
      </w:r>
      <w:r w:rsidR="490157B0">
        <w:t xml:space="preserve">. </w:t>
      </w:r>
    </w:p>
    <w:p w14:paraId="5563EEF4" w14:textId="77777777" w:rsidR="00105998" w:rsidRPr="004D73C4" w:rsidRDefault="490157B0" w:rsidP="008B0E07">
      <w:pPr>
        <w:pStyle w:val="Odsekzoznamu"/>
      </w:pPr>
      <w:r w:rsidRPr="190F7DBA">
        <w:rPr>
          <w:u w:val="single"/>
        </w:rPr>
        <w:t>Motivačné faktory</w:t>
      </w:r>
      <w:r>
        <w:t xml:space="preserve"> – efektívna verejná správa ako podpora hospodárskeho rastu, zvyšovanie konkurencieschopnosti, synergie s</w:t>
      </w:r>
      <w:r w:rsidR="17A34D77">
        <w:t xml:space="preserve"> národnými a európskymi stratégiami a </w:t>
      </w:r>
      <w:r>
        <w:t xml:space="preserve">politikami, v záujme posilňovania ekonomiky s vyššou pridanou hodnotou a zvyšovanie kybernetickej a informačnej bezpečnosti (ďalej len „KIB“). </w:t>
      </w:r>
    </w:p>
    <w:p w14:paraId="75D2FD2D" w14:textId="77777777" w:rsidR="00105998" w:rsidRPr="004D73C4" w:rsidRDefault="00105998" w:rsidP="00A576CC">
      <w:pPr>
        <w:ind w:left="360"/>
      </w:pPr>
    </w:p>
    <w:p w14:paraId="3A478ED3" w14:textId="77777777" w:rsidR="00105998" w:rsidRPr="004D73C4" w:rsidRDefault="00105998" w:rsidP="002B60D7">
      <w:pPr>
        <w:pStyle w:val="Nadpis2"/>
      </w:pPr>
      <w:bookmarkStart w:id="11" w:name="_Toc69297683"/>
      <w:bookmarkStart w:id="12" w:name="_Toc70369648"/>
      <w:bookmarkStart w:id="13" w:name="_Toc70711588"/>
      <w:r w:rsidRPr="004D73C4">
        <w:t>Analýza súčasného stavu</w:t>
      </w:r>
      <w:bookmarkEnd w:id="11"/>
      <w:bookmarkEnd w:id="12"/>
      <w:bookmarkEnd w:id="13"/>
    </w:p>
    <w:p w14:paraId="663F08A5" w14:textId="77777777" w:rsidR="00105998" w:rsidRPr="004D73C4" w:rsidRDefault="00105998" w:rsidP="008B0E07">
      <w:r w:rsidRPr="004D73C4">
        <w:t>Predošlá verzia NKIVS obsahovala princípy a ciele budovania e-Governmentu na Slovensku, ktoré mali reformný charakter. Priniesla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verejnej správy, zvýšiť spokojnosť verejnosti s fungovaním štátu a efektívne využívať zdroje potrebné na výkon funkcií verejnej správy.</w:t>
      </w:r>
    </w:p>
    <w:p w14:paraId="1B3B9389" w14:textId="77777777" w:rsidR="00105998" w:rsidRPr="004D73C4" w:rsidRDefault="00105998" w:rsidP="008B0E07">
      <w:pPr>
        <w:tabs>
          <w:tab w:val="left" w:pos="851"/>
          <w:tab w:val="left" w:pos="5103"/>
          <w:tab w:val="left" w:pos="8222"/>
        </w:tabs>
      </w:pPr>
      <w:r w:rsidRPr="004D73C4">
        <w:t>NKIVS ustanovila šesť strategických cieľov informatizácie verejnej správy, a to:</w:t>
      </w:r>
    </w:p>
    <w:p w14:paraId="5797B055" w14:textId="77777777" w:rsidR="00105998" w:rsidRPr="004D73C4" w:rsidRDefault="490157B0" w:rsidP="008B0E07">
      <w:pPr>
        <w:pStyle w:val="Odsekzoznamu"/>
      </w:pPr>
      <w:r>
        <w:t>posun k službám zameraným na zvyšovanie kvality života,</w:t>
      </w:r>
    </w:p>
    <w:p w14:paraId="7154843E" w14:textId="77777777" w:rsidR="00105998" w:rsidRPr="004D73C4" w:rsidRDefault="490157B0" w:rsidP="008B0E07">
      <w:pPr>
        <w:pStyle w:val="Odsekzoznamu"/>
      </w:pPr>
      <w:r>
        <w:t>posun k službám zameraným na nárast konkurencieschopnosti,</w:t>
      </w:r>
    </w:p>
    <w:p w14:paraId="526236C8" w14:textId="77777777" w:rsidR="00105998" w:rsidRPr="004D73C4" w:rsidRDefault="490157B0" w:rsidP="008B0E07">
      <w:pPr>
        <w:pStyle w:val="Odsekzoznamu"/>
      </w:pPr>
      <w:r>
        <w:t>priblíženie verejnej správy k maximálnemu využívaniu údajov,</w:t>
      </w:r>
    </w:p>
    <w:p w14:paraId="1CDC8507" w14:textId="77777777" w:rsidR="00105998" w:rsidRPr="004D73C4" w:rsidRDefault="490157B0" w:rsidP="008B0E07">
      <w:pPr>
        <w:pStyle w:val="Odsekzoznamu"/>
      </w:pPr>
      <w:r>
        <w:t xml:space="preserve">umožnenie modernizácie a racionalizácie verejnej správy </w:t>
      </w:r>
      <w:r w:rsidR="14906EEA">
        <w:t>prostriedkami informačných a komunikačných technológií (ďalej len „IKT“)</w:t>
      </w:r>
      <w:r>
        <w:t xml:space="preserve">, </w:t>
      </w:r>
    </w:p>
    <w:p w14:paraId="52E8265F" w14:textId="77777777" w:rsidR="00105998" w:rsidRPr="004D73C4" w:rsidRDefault="490157B0" w:rsidP="008B0E07">
      <w:pPr>
        <w:pStyle w:val="Odsekzoznamu"/>
      </w:pPr>
      <w:r>
        <w:t>optimalizácia využitia ITVS vďaka platforme zdieľaných služieb,</w:t>
      </w:r>
    </w:p>
    <w:p w14:paraId="2F14F9A2" w14:textId="77777777" w:rsidR="00105998" w:rsidRPr="004D73C4" w:rsidRDefault="490157B0" w:rsidP="008B0E07">
      <w:pPr>
        <w:pStyle w:val="Odsekzoznamu"/>
      </w:pPr>
      <w:r>
        <w:t>bezpečnosť kybernetického priestoru.</w:t>
      </w:r>
    </w:p>
    <w:p w14:paraId="52B97DA3" w14:textId="77F506F6" w:rsidR="00105998" w:rsidRPr="004D73C4" w:rsidRDefault="01FCF9BD" w:rsidP="6CAFDB33">
      <w:r w:rsidRPr="004D73C4">
        <w:t xml:space="preserve">Táto Koncepcia vychádza z vykonaných analýz súčasného stavu, a to z </w:t>
      </w:r>
      <w:r w:rsidR="490157B0" w:rsidRPr="004D73C4">
        <w:t>Informáci</w:t>
      </w:r>
      <w:r w:rsidR="678B98E5" w:rsidRPr="004D73C4">
        <w:t>e</w:t>
      </w:r>
      <w:r w:rsidR="490157B0" w:rsidRPr="004D73C4">
        <w:t xml:space="preserve"> o plnení NKIVS</w:t>
      </w:r>
      <w:r w:rsidR="15E1CE87" w:rsidRPr="004D73C4">
        <w:t>,</w:t>
      </w:r>
      <w:r w:rsidR="008554FF">
        <w:rPr>
          <w:rStyle w:val="Odkaznapoznmkupodiarou"/>
        </w:rPr>
        <w:footnoteReference w:id="3"/>
      </w:r>
      <w:r w:rsidR="490157B0" w:rsidRPr="004D73C4">
        <w:t>)</w:t>
      </w:r>
      <w:r w:rsidR="0336D12B" w:rsidRPr="004D73C4">
        <w:t xml:space="preserve"> z </w:t>
      </w:r>
      <w:r w:rsidR="0336D12B" w:rsidRPr="6CAFDB33">
        <w:rPr>
          <w:rFonts w:ascii="Calibri" w:eastAsia="Calibri" w:hAnsi="Calibri" w:cs="Calibri"/>
        </w:rPr>
        <w:t xml:space="preserve">analýzy k materiálu Stratégia a akčný plán na zlepšenie postavenia SR v indexe DESI do roku 2025, ako aj </w:t>
      </w:r>
      <w:r w:rsidR="5F71437A" w:rsidRPr="6CAFDB33">
        <w:rPr>
          <w:rFonts w:ascii="Calibri" w:eastAsia="Calibri" w:hAnsi="Calibri" w:cs="Calibri"/>
        </w:rPr>
        <w:t xml:space="preserve">z analytického materiálu </w:t>
      </w:r>
      <w:r w:rsidR="00D6171B">
        <w:rPr>
          <w:rFonts w:ascii="Calibri" w:eastAsia="Calibri" w:hAnsi="Calibri" w:cs="Calibri"/>
        </w:rPr>
        <w:t>„</w:t>
      </w:r>
      <w:r w:rsidR="5F71437A" w:rsidRPr="6CAFDB33">
        <w:rPr>
          <w:rFonts w:ascii="Calibri" w:eastAsia="Calibri" w:hAnsi="Calibri" w:cs="Calibri"/>
        </w:rPr>
        <w:t>kDE S</w:t>
      </w:r>
      <w:r w:rsidR="75BF86A5" w:rsidRPr="6CAFDB33">
        <w:rPr>
          <w:rFonts w:ascii="Calibri" w:eastAsia="Calibri" w:hAnsi="Calibri" w:cs="Calibri"/>
        </w:rPr>
        <w:t xml:space="preserve">I </w:t>
      </w:r>
      <w:r w:rsidR="5F71437A" w:rsidRPr="6CAFDB33">
        <w:rPr>
          <w:rFonts w:ascii="Calibri" w:eastAsia="Calibri" w:hAnsi="Calibri" w:cs="Calibri"/>
        </w:rPr>
        <w:t>Slovensko?”</w:t>
      </w:r>
      <w:r w:rsidR="7FA3AE75" w:rsidRPr="6CAFDB33">
        <w:rPr>
          <w:rFonts w:ascii="Calibri" w:eastAsia="Calibri" w:hAnsi="Calibri" w:cs="Calibri"/>
        </w:rPr>
        <w:t>.</w:t>
      </w:r>
      <w:r w:rsidR="00105998" w:rsidRPr="6CAFDB33">
        <w:rPr>
          <w:vertAlign w:val="superscript"/>
        </w:rPr>
        <w:footnoteReference w:id="4"/>
      </w:r>
      <w:r w:rsidR="001B04F4" w:rsidRPr="004D73C4">
        <w:t>)</w:t>
      </w:r>
      <w:r w:rsidR="490157B0" w:rsidRPr="004D73C4">
        <w:t xml:space="preserve"> </w:t>
      </w:r>
    </w:p>
    <w:p w14:paraId="3115C27D" w14:textId="71E65178" w:rsidR="00105998" w:rsidRPr="004D73C4" w:rsidRDefault="00105998" w:rsidP="6CAFDB33">
      <w:r>
        <w:t xml:space="preserve">Obsahom </w:t>
      </w:r>
      <w:r w:rsidR="6607228D">
        <w:t>informácie o plnení</w:t>
      </w:r>
      <w:r w:rsidR="564C80D8">
        <w:t xml:space="preserve"> NKIVS</w:t>
      </w:r>
      <w:r w:rsidR="61FEE67F">
        <w:t xml:space="preserve"> </w:t>
      </w:r>
      <w:r>
        <w:t xml:space="preserve">je zhodnotenie stavu IT vo forme hodnotenia dosahovania cieľov </w:t>
      </w:r>
      <w:r w:rsidR="00213A7E">
        <w:t>NKIVS</w:t>
      </w:r>
      <w:r>
        <w:t xml:space="preserve">, medzinárodné hodnotenie, prístup k procesu informatizácie na legislatívnej úrovni, prístup k procesu informatizácie na úrovni koordinácie, dohľad nad dodržiavaním </w:t>
      </w:r>
      <w:r w:rsidR="00213A7E">
        <w:t>NKIVS</w:t>
      </w:r>
      <w:r>
        <w:t>, stav centrálnej architektúry a taktiež plnenie</w:t>
      </w:r>
      <w:r w:rsidR="00D6171B">
        <w:t xml:space="preserve"> </w:t>
      </w:r>
      <w:r>
        <w:t>plánu realizácie.</w:t>
      </w:r>
    </w:p>
    <w:p w14:paraId="2AD2FAF2" w14:textId="77777777" w:rsidR="00105998" w:rsidRPr="00ED0B6E" w:rsidRDefault="00105998" w:rsidP="008B0E07">
      <w:pPr>
        <w:tabs>
          <w:tab w:val="left" w:pos="851"/>
          <w:tab w:val="left" w:pos="5103"/>
          <w:tab w:val="left" w:pos="8222"/>
        </w:tabs>
      </w:pPr>
      <w:r w:rsidRPr="004D73C4">
        <w:lastRenderedPageBreak/>
        <w:t>K strategickým cieľom NKIVS bolo zadefinovaných 40 ukazovateľov, z ktorých bolo 31.12</w:t>
      </w:r>
      <w:r w:rsidR="0095226B" w:rsidRPr="004D73C4">
        <w:t>.2020 splnených 20</w:t>
      </w:r>
      <w:r w:rsidRPr="004D73C4">
        <w:t>. Pri ukončení projektov Operačného programu Integrovaná infraštruktúra</w:t>
      </w:r>
      <w:r w:rsidR="0095226B" w:rsidRPr="004D73C4">
        <w:t>, prioritná os 7 (ďalej len „OP</w:t>
      </w:r>
      <w:r w:rsidRPr="004D73C4">
        <w:t>II“) v časovom horizonte 31.12.2023 sa dá predpokladať,</w:t>
      </w:r>
      <w:r w:rsidRPr="00ED0B6E">
        <w:t xml:space="preserve"> </w:t>
      </w:r>
      <w:r w:rsidR="00ED0B6E" w:rsidRPr="00ED0B6E">
        <w:t>že budú dosiahnuté aj ďalšie cieľové hodnoty ukazovateľov NKIVS.</w:t>
      </w:r>
    </w:p>
    <w:p w14:paraId="7AF1DEF7" w14:textId="77777777" w:rsidR="00105998" w:rsidRPr="004D73C4" w:rsidRDefault="00105998" w:rsidP="00914881">
      <w:r w:rsidRPr="004D73C4">
        <w:t>Podľa Indexu digitálnej ekonomiky a spoločnosti (</w:t>
      </w:r>
      <w:r w:rsidR="00213A7E" w:rsidRPr="004D73C4">
        <w:t>ďalej len „</w:t>
      </w:r>
      <w:r w:rsidRPr="004D73C4">
        <w:t>DESI</w:t>
      </w:r>
      <w:r w:rsidR="00213A7E" w:rsidRPr="004D73C4">
        <w:t>“</w:t>
      </w:r>
      <w:r w:rsidRPr="004D73C4">
        <w:t>), pomocou ktorého Európska komisia monitoruje digitálny pokrok členských štátov, Slovensko obsadilo v roku 2020 22. miesto spomedzi 28 členských štátov EÚ.</w:t>
      </w:r>
      <w:r w:rsidR="004163F1" w:rsidRPr="004D73C4">
        <w:rPr>
          <w:rStyle w:val="Odkaznapoznmkupodiarou"/>
        </w:rPr>
        <w:footnoteReference w:id="5"/>
      </w:r>
      <w:r w:rsidR="004163F1" w:rsidRPr="004D73C4">
        <w:t>)</w:t>
      </w:r>
      <w:r w:rsidRPr="004D73C4">
        <w:t xml:space="preserve"> Od roku 2016 sa síce skóre DESI zlepšilo vo všetkých meraných ukazovateľoch, napriek tomu výrazne zaostávajú výsledky informatizácie za priemerom EÚ a pozícia Slovenska sa v porovnaní s inými krajinami nezlepšuje. </w:t>
      </w:r>
    </w:p>
    <w:p w14:paraId="2C03ADC1" w14:textId="77777777" w:rsidR="00105998" w:rsidRPr="004D73C4" w:rsidRDefault="00105998" w:rsidP="00D600EC">
      <w:r w:rsidRPr="004D73C4">
        <w:t>Podľa medzinárodného ukazovateľa EK e-Government Benchmark 2020 je pre Slovensko typická stredne nízka úroveň digitalizácie aj penetrácie, krajina plne nevyužíva IKT príležitosti. Úroveň výkonnosti Slovenska v oblasti digitalizácie a penetrácie však je iba o málo nižšia ako je európsky priemer. Ale zatiaľ čo za ostatné štyri roky sa úroveň digitalizácie výrazne zvýšila, úroveň penetrácie sa znížila a tým sa zväčšila medzera od zvyšku Európy.</w:t>
      </w:r>
    </w:p>
    <w:p w14:paraId="242DA10D" w14:textId="65C6B325" w:rsidR="00105998" w:rsidRPr="004D73C4" w:rsidRDefault="490157B0" w:rsidP="00740448">
      <w:pPr>
        <w:pStyle w:val="Popis"/>
      </w:pPr>
      <w:r w:rsidRPr="004D73C4">
        <w:t xml:space="preserve">Obrázok </w:t>
      </w:r>
      <w:r>
        <w:fldChar w:fldCharType="begin"/>
      </w:r>
      <w:r>
        <w:instrText>SEQ Obrázok \* ARABIC</w:instrText>
      </w:r>
      <w:r>
        <w:fldChar w:fldCharType="separate"/>
      </w:r>
      <w:r w:rsidR="00873A9F">
        <w:rPr>
          <w:noProof/>
        </w:rPr>
        <w:t>1</w:t>
      </w:r>
      <w:r>
        <w:fldChar w:fldCharType="end"/>
      </w:r>
      <w:r w:rsidR="00105998" w:rsidRPr="004D73C4">
        <w:rPr>
          <w:noProof/>
          <w:color w:val="2B579A"/>
          <w:shd w:val="clear" w:color="auto" w:fill="E6E6E6"/>
          <w:lang w:eastAsia="sk-SK"/>
        </w:rPr>
        <w:drawing>
          <wp:anchor distT="0" distB="0" distL="114300" distR="114300" simplePos="0" relativeHeight="251634688" behindDoc="0" locked="0" layoutInCell="1" allowOverlap="1" wp14:anchorId="6B242C8C" wp14:editId="65CDF6D6">
            <wp:simplePos x="0" y="0"/>
            <wp:positionH relativeFrom="column">
              <wp:align>center</wp:align>
            </wp:positionH>
            <wp:positionV relativeFrom="paragraph">
              <wp:posOffset>0</wp:posOffset>
            </wp:positionV>
            <wp:extent cx="4197600" cy="2880000"/>
            <wp:effectExtent l="0" t="0" r="0"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197600" cy="2880000"/>
                    </a:xfrm>
                    <a:prstGeom prst="rect">
                      <a:avLst/>
                    </a:prstGeom>
                  </pic:spPr>
                </pic:pic>
              </a:graphicData>
            </a:graphic>
            <wp14:sizeRelH relativeFrom="margin">
              <wp14:pctWidth>0</wp14:pctWidth>
            </wp14:sizeRelH>
            <wp14:sizeRelV relativeFrom="margin">
              <wp14:pctHeight>0</wp14:pctHeight>
            </wp14:sizeRelV>
          </wp:anchor>
        </w:drawing>
      </w:r>
      <w:r w:rsidRPr="004D73C4">
        <w:t>: Ukazovatele výkonnosti Slovenska v e-Gov Benchmarku EK</w:t>
      </w:r>
    </w:p>
    <w:p w14:paraId="058844B2" w14:textId="77777777" w:rsidR="00105998" w:rsidRPr="004D73C4" w:rsidRDefault="00105998" w:rsidP="008B0E07">
      <w:r w:rsidRPr="004D73C4">
        <w:t>Aby Slovensko mohlo dosiahnuť úroveň EU2</w:t>
      </w:r>
      <w:r w:rsidR="00E046AB">
        <w:t>7</w:t>
      </w:r>
      <w:r w:rsidRPr="004D73C4">
        <w:t>+</w:t>
      </w:r>
      <w:r w:rsidR="00E046AB">
        <w:t>,</w:t>
      </w:r>
      <w:r w:rsidRPr="004D73C4">
        <w:t xml:space="preserve"> potrebuje zlepšiť:</w:t>
      </w:r>
    </w:p>
    <w:p w14:paraId="57C01364" w14:textId="77777777" w:rsidR="00105998" w:rsidRPr="004D73C4" w:rsidRDefault="490157B0" w:rsidP="00FF7B9D">
      <w:pPr>
        <w:pStyle w:val="Odsekzoznamu"/>
        <w:rPr>
          <w:rFonts w:eastAsiaTheme="majorEastAsia"/>
        </w:rPr>
      </w:pPr>
      <w:r>
        <w:t>vzájomnú dátovú interoperabilitu údajov informačných systémov (ďalej len „IS“), ktorá je dnes nízka. IS používajú svoje vlastné štruktúry na objekty existujúce naprieč všetkými IS verejnej správy,</w:t>
      </w:r>
    </w:p>
    <w:p w14:paraId="7EB4BC0A" w14:textId="77777777" w:rsidR="00105998" w:rsidRPr="004D73C4" w:rsidRDefault="490157B0" w:rsidP="00FF7B9D">
      <w:pPr>
        <w:pStyle w:val="Odsekzoznamu"/>
      </w:pPr>
      <w:r>
        <w:t>využívanie moderný</w:t>
      </w:r>
      <w:r w:rsidR="0DF9386A">
        <w:t>ch</w:t>
      </w:r>
      <w:r>
        <w:t xml:space="preserve"> prístupov budovania IS už pri verejnom obstarávaní a najmä p</w:t>
      </w:r>
      <w:r w:rsidR="6DC91310">
        <w:t>ri financovaní z prostriedkov EÚ</w:t>
      </w:r>
      <w:r>
        <w:t>,</w:t>
      </w:r>
    </w:p>
    <w:p w14:paraId="769ECE3B" w14:textId="77777777" w:rsidR="00105998" w:rsidRPr="004D73C4" w:rsidRDefault="490157B0" w:rsidP="00FF7B9D">
      <w:pPr>
        <w:pStyle w:val="Odsekzoznamu"/>
        <w:rPr>
          <w:rFonts w:eastAsiaTheme="majorEastAsia"/>
        </w:rPr>
      </w:pPr>
      <w:r>
        <w:t>riadenie informatizácie</w:t>
      </w:r>
      <w:r w:rsidR="6C3EDA31">
        <w:t xml:space="preserve"> </w:t>
      </w:r>
      <w:r>
        <w:t>orientáciou na používateľa a informatizáciu služieb pomocou životných situácií (ďalej len „ŽS“),</w:t>
      </w:r>
    </w:p>
    <w:p w14:paraId="455A9E5A" w14:textId="77777777" w:rsidR="00105998" w:rsidRPr="004D73C4" w:rsidRDefault="490157B0" w:rsidP="00FF7B9D">
      <w:pPr>
        <w:pStyle w:val="Odsekzoznamu"/>
      </w:pPr>
      <w:r>
        <w:t>orientáciu or</w:t>
      </w:r>
      <w:r w:rsidR="66906518">
        <w:t>gánov verejnej moci (ďalej len „</w:t>
      </w:r>
      <w:r>
        <w:t>OVM</w:t>
      </w:r>
      <w:r w:rsidR="0F05B312">
        <w:t>“</w:t>
      </w:r>
      <w:r>
        <w:t>) na projekty zamerané na vzájomnú previazanosť agendových systémov a ich prínosu pre používateľa,</w:t>
      </w:r>
    </w:p>
    <w:p w14:paraId="4079B258" w14:textId="77777777" w:rsidR="00105998" w:rsidRPr="004D73C4" w:rsidRDefault="490157B0" w:rsidP="00FF7B9D">
      <w:pPr>
        <w:pStyle w:val="Odsekzoznamu"/>
      </w:pPr>
      <w:r>
        <w:t>využívanie oficiálnych dát verejnej správy v komerčnom sektore,</w:t>
      </w:r>
    </w:p>
    <w:p w14:paraId="17BBB708" w14:textId="77777777" w:rsidR="00105998" w:rsidRPr="004D73C4" w:rsidRDefault="490157B0" w:rsidP="00FF7B9D">
      <w:pPr>
        <w:pStyle w:val="Odsekzoznamu"/>
      </w:pPr>
      <w:r>
        <w:t xml:space="preserve">stav IS, evidencií a registrov, ktoré neumožňujú plnenie požiadaviek v dátovej oblasti (prevencia vzniku chýb, export otvorených údajov, integrácia, atď.), </w:t>
      </w:r>
    </w:p>
    <w:p w14:paraId="17697850" w14:textId="77777777" w:rsidR="00105998" w:rsidRPr="004D73C4" w:rsidRDefault="490157B0" w:rsidP="00FF7B9D">
      <w:pPr>
        <w:pStyle w:val="Odsekzoznamu"/>
      </w:pPr>
      <w:r>
        <w:t xml:space="preserve">koordináciu verejnej správy pri informatizácii, </w:t>
      </w:r>
    </w:p>
    <w:p w14:paraId="443956B3" w14:textId="77777777" w:rsidR="00105998" w:rsidRPr="004D73C4" w:rsidRDefault="490157B0" w:rsidP="00595336">
      <w:pPr>
        <w:pStyle w:val="Odsekzoznamu"/>
      </w:pPr>
      <w:r>
        <w:t xml:space="preserve">plnenie povinnosti orgánov riadenia vyplývajúcich zo zákona </w:t>
      </w:r>
      <w:r w:rsidR="31432F2F">
        <w:t xml:space="preserve">o </w:t>
      </w:r>
      <w:r>
        <w:t xml:space="preserve">ITVS. </w:t>
      </w:r>
    </w:p>
    <w:p w14:paraId="06A43D9C" w14:textId="77777777" w:rsidR="003A25C2" w:rsidRDefault="003A25C2" w:rsidP="008B0E07"/>
    <w:p w14:paraId="66BFEF5C" w14:textId="13D25219" w:rsidR="00105998" w:rsidRPr="004D73C4" w:rsidRDefault="00105998" w:rsidP="008B0E07">
      <w:r w:rsidRPr="004D73C4">
        <w:lastRenderedPageBreak/>
        <w:t xml:space="preserve">Identifikované </w:t>
      </w:r>
      <w:r w:rsidR="00ED0B6E">
        <w:t>oblasti na zlepšenie</w:t>
      </w:r>
      <w:r w:rsidRPr="004D73C4">
        <w:t xml:space="preserve"> </w:t>
      </w:r>
      <w:r w:rsidR="00ED0B6E">
        <w:t>plnenia</w:t>
      </w:r>
      <w:r w:rsidRPr="004D73C4">
        <w:t xml:space="preserve"> cieľov NKIVS z roku 2016 sú najmä:</w:t>
      </w:r>
    </w:p>
    <w:p w14:paraId="6C4E908F" w14:textId="77777777" w:rsidR="00105998" w:rsidRPr="004D73C4" w:rsidRDefault="00105998" w:rsidP="00F06821">
      <w:pPr>
        <w:pStyle w:val="Odsekzoznamu"/>
        <w:numPr>
          <w:ilvl w:val="0"/>
          <w:numId w:val="14"/>
        </w:numPr>
        <w:suppressAutoHyphens/>
        <w:ind w:left="714" w:hanging="357"/>
        <w:rPr>
          <w:rFonts w:eastAsiaTheme="minorEastAsia" w:cstheme="minorBidi"/>
          <w:b/>
          <w:bCs/>
          <w:szCs w:val="22"/>
        </w:rPr>
      </w:pPr>
      <w:r w:rsidRPr="004D73C4">
        <w:t>zvýšenie angažovania sa zo strany vrcholných predstaviteľov OVM a vlastníkov procesov, dôraz na dôsledné dodržiavanie legislatívy súvisiacej s IKT a tiež zvýšenie akceptácie nových trendov v digitalizácii, ako aj zastavenie podpory existencie „dočasných náhradných riešení</w:t>
      </w:r>
      <w:r w:rsidR="00B611AB" w:rsidRPr="004D73C4">
        <w:t>“</w:t>
      </w:r>
      <w:r w:rsidRPr="004D73C4">
        <w:t xml:space="preserve"> pri digitalizácii </w:t>
      </w:r>
      <w:r w:rsidR="000D2930" w:rsidRPr="004D73C4">
        <w:t>informačných systémov verejnej správy (ďalej len „ISVS“)</w:t>
      </w:r>
      <w:r w:rsidRPr="004D73C4">
        <w:t>,</w:t>
      </w:r>
    </w:p>
    <w:p w14:paraId="1D0CAC9F" w14:textId="77777777" w:rsidR="00105998" w:rsidRPr="004D73C4" w:rsidRDefault="00105998" w:rsidP="00F06821">
      <w:pPr>
        <w:pStyle w:val="Odsekzoznamu"/>
        <w:numPr>
          <w:ilvl w:val="0"/>
          <w:numId w:val="14"/>
        </w:numPr>
      </w:pPr>
      <w:r w:rsidRPr="004D73C4">
        <w:t>prechod k postupnému zlepšovaniu namiesto skokového spoliehania sa na veľké projekty,</w:t>
      </w:r>
    </w:p>
    <w:p w14:paraId="0A470E2E" w14:textId="77777777" w:rsidR="00105998" w:rsidRPr="004D73C4" w:rsidRDefault="00105998" w:rsidP="00F06821">
      <w:pPr>
        <w:pStyle w:val="Odsekzoznamu"/>
        <w:numPr>
          <w:ilvl w:val="0"/>
          <w:numId w:val="14"/>
        </w:numPr>
        <w:suppressAutoHyphens/>
        <w:rPr>
          <w:rFonts w:eastAsiaTheme="minorEastAsia" w:cstheme="minorBidi"/>
          <w:b/>
          <w:bCs/>
          <w:szCs w:val="22"/>
        </w:rPr>
      </w:pPr>
      <w:r>
        <w:t>znižovanie komplexnosti pravidiel a povinností,</w:t>
      </w:r>
    </w:p>
    <w:p w14:paraId="62F7B9F3" w14:textId="77777777" w:rsidR="00105998" w:rsidRPr="004D73C4" w:rsidRDefault="00105998" w:rsidP="00F06821">
      <w:pPr>
        <w:pStyle w:val="Odsekzoznamu"/>
        <w:numPr>
          <w:ilvl w:val="0"/>
          <w:numId w:val="14"/>
        </w:numPr>
        <w:suppressAutoHyphens/>
        <w:rPr>
          <w:b/>
          <w:bCs/>
          <w:szCs w:val="22"/>
        </w:rPr>
      </w:pPr>
      <w:r>
        <w:t>zvyšovanie úrovne digitalizácie a automatizácie jednotlivých úkonov príslušných orgánov verejnej správy,</w:t>
      </w:r>
    </w:p>
    <w:p w14:paraId="54A584CE" w14:textId="77777777" w:rsidR="00105998" w:rsidRPr="004D73C4" w:rsidRDefault="00105998" w:rsidP="00F06821">
      <w:pPr>
        <w:pStyle w:val="Odsekzoznamu"/>
        <w:numPr>
          <w:ilvl w:val="0"/>
          <w:numId w:val="14"/>
        </w:numPr>
        <w:suppressAutoHyphens/>
        <w:rPr>
          <w:b/>
        </w:rPr>
      </w:pPr>
      <w:r w:rsidRPr="004D73C4">
        <w:t>zlepšenie medzirezortnej koordinácie a spolupráce,</w:t>
      </w:r>
    </w:p>
    <w:p w14:paraId="6CE4B165" w14:textId="77777777" w:rsidR="00105998" w:rsidRPr="004D73C4" w:rsidRDefault="00105998" w:rsidP="00F06821">
      <w:pPr>
        <w:pStyle w:val="Odsekzoznamu"/>
        <w:numPr>
          <w:ilvl w:val="0"/>
          <w:numId w:val="14"/>
        </w:numPr>
        <w:suppressAutoHyphens/>
        <w:rPr>
          <w:b/>
          <w:bCs/>
        </w:rPr>
      </w:pPr>
      <w:r w:rsidRPr="004D73C4">
        <w:t xml:space="preserve">včasná metodická a legislatívna podpora navrhnutých iniciatív, </w:t>
      </w:r>
    </w:p>
    <w:p w14:paraId="1C765260" w14:textId="77777777" w:rsidR="00105998" w:rsidRPr="004D73C4" w:rsidRDefault="00105998" w:rsidP="00F06821">
      <w:pPr>
        <w:pStyle w:val="Odsekzoznamu"/>
        <w:numPr>
          <w:ilvl w:val="0"/>
          <w:numId w:val="14"/>
        </w:numPr>
        <w:ind w:left="714" w:hanging="357"/>
        <w:rPr>
          <w:b/>
        </w:rPr>
      </w:pPr>
      <w:r w:rsidRPr="004D73C4">
        <w:t>zohľadnenie špecifík IT odvetvia v procesoch obstarávania,</w:t>
      </w:r>
    </w:p>
    <w:p w14:paraId="0242E8E6" w14:textId="77777777" w:rsidR="00105998" w:rsidRPr="004D73C4" w:rsidRDefault="00105998" w:rsidP="00F06821">
      <w:pPr>
        <w:pStyle w:val="Odsekzoznamu"/>
        <w:numPr>
          <w:ilvl w:val="0"/>
          <w:numId w:val="14"/>
        </w:numPr>
        <w:ind w:left="714" w:hanging="357"/>
        <w:rPr>
          <w:szCs w:val="22"/>
        </w:rPr>
      </w:pPr>
      <w:r w:rsidRPr="004D73C4">
        <w:t>monitoring a spätná väzba a včasná aplikácia nápravných opatrení,</w:t>
      </w:r>
    </w:p>
    <w:p w14:paraId="5BED5F9F" w14:textId="77777777" w:rsidR="00105998" w:rsidRPr="004D73C4" w:rsidRDefault="00105998" w:rsidP="00F06821">
      <w:pPr>
        <w:pStyle w:val="Odsekzoznamu"/>
        <w:numPr>
          <w:ilvl w:val="0"/>
          <w:numId w:val="14"/>
        </w:numPr>
        <w:ind w:left="714" w:hanging="357"/>
        <w:rPr>
          <w:szCs w:val="22"/>
        </w:rPr>
      </w:pPr>
      <w:r w:rsidRPr="004D73C4">
        <w:t>dostatok kvalifikovaných ľudských zdrojov v oblasti IT a ich motivácia,</w:t>
      </w:r>
    </w:p>
    <w:p w14:paraId="3C7A4D14" w14:textId="77777777" w:rsidR="00105998" w:rsidRPr="004D73C4" w:rsidRDefault="00105998" w:rsidP="00F06821">
      <w:pPr>
        <w:pStyle w:val="Odsekzoznamu"/>
        <w:numPr>
          <w:ilvl w:val="0"/>
          <w:numId w:val="14"/>
        </w:numPr>
        <w:ind w:left="714" w:hanging="357"/>
        <w:rPr>
          <w:szCs w:val="22"/>
        </w:rPr>
      </w:pPr>
      <w:r w:rsidRPr="004D73C4">
        <w:t>využívanie centrálnych zdrojov infraštruktúry.</w:t>
      </w:r>
    </w:p>
    <w:p w14:paraId="3AEBBB7A" w14:textId="77777777" w:rsidR="00105998" w:rsidRPr="004D73C4" w:rsidRDefault="00105998" w:rsidP="008B0E07">
      <w:r w:rsidRPr="004D73C4">
        <w:t xml:space="preserve">Navrhovaná </w:t>
      </w:r>
      <w:r w:rsidR="00213A7E" w:rsidRPr="004D73C4">
        <w:t>Koncepcia</w:t>
      </w:r>
      <w:r w:rsidRPr="004D73C4">
        <w:t xml:space="preserve"> </w:t>
      </w:r>
      <w:r w:rsidR="002201F4">
        <w:t>si</w:t>
      </w:r>
      <w:r w:rsidRPr="004D73C4">
        <w:t xml:space="preserve"> kladie za cieľ adresovať identifikované oblasti zlepšenia, na ktoré ukazujú viaceré hodnotiace dokumenty.</w:t>
      </w:r>
    </w:p>
    <w:p w14:paraId="00840E8B" w14:textId="77777777" w:rsidR="00105998" w:rsidRPr="004D73C4" w:rsidRDefault="00105998" w:rsidP="008B0E07"/>
    <w:p w14:paraId="652E8817" w14:textId="77777777" w:rsidR="00105998" w:rsidRPr="004D73C4" w:rsidRDefault="00105998" w:rsidP="002B60D7">
      <w:pPr>
        <w:pStyle w:val="Nadpis2"/>
      </w:pPr>
      <w:bookmarkStart w:id="14" w:name="_Toc69297684"/>
      <w:bookmarkStart w:id="15" w:name="_Toc70369649"/>
      <w:bookmarkStart w:id="16" w:name="_Toc70711589"/>
      <w:r w:rsidRPr="004D73C4">
        <w:t>Zameranie dokumentu</w:t>
      </w:r>
      <w:bookmarkEnd w:id="14"/>
      <w:bookmarkEnd w:id="15"/>
      <w:bookmarkEnd w:id="16"/>
      <w:r w:rsidRPr="004D73C4">
        <w:t xml:space="preserve"> </w:t>
      </w:r>
    </w:p>
    <w:p w14:paraId="4527D0E5" w14:textId="77777777" w:rsidR="00105998" w:rsidRPr="004D73C4" w:rsidRDefault="00105998" w:rsidP="00640C6E">
      <w:r w:rsidRPr="004D73C4">
        <w:t>Koncepcia určuje strategické ciele informatizácie, priority a smerovanie e-Governmentu Slovenska na nasledujúce obdobie. Definuje organizačné, technické a technologické nástroje informatizácie štátnej správy a územnej samosprávy v celom jej kontexte, a to prostredníctvom:</w:t>
      </w:r>
    </w:p>
    <w:p w14:paraId="2385ADC5" w14:textId="77777777" w:rsidR="00105998" w:rsidRPr="004D73C4" w:rsidRDefault="490157B0" w:rsidP="008B0E07">
      <w:pPr>
        <w:pStyle w:val="Odsekzoznamu"/>
      </w:pPr>
      <w:r w:rsidRPr="190F7DBA">
        <w:rPr>
          <w:u w:val="single"/>
        </w:rPr>
        <w:t>strategických cieľov</w:t>
      </w:r>
      <w:r>
        <w:t xml:space="preserve"> informatizácie,</w:t>
      </w:r>
    </w:p>
    <w:p w14:paraId="5A682A78" w14:textId="77777777" w:rsidR="00105998" w:rsidRPr="004D73C4" w:rsidRDefault="490157B0" w:rsidP="008B0E07">
      <w:pPr>
        <w:pStyle w:val="Odsekzoznamu"/>
      </w:pPr>
      <w:r w:rsidRPr="190F7DBA">
        <w:rPr>
          <w:u w:val="single"/>
        </w:rPr>
        <w:t>dizajnu centrálnej architektúry</w:t>
      </w:r>
      <w:r>
        <w:t xml:space="preserve"> verejnej správy na všetkých úrovniach hierarchie,</w:t>
      </w:r>
    </w:p>
    <w:p w14:paraId="69321781" w14:textId="77777777" w:rsidR="00105998" w:rsidRPr="004D73C4" w:rsidRDefault="490157B0" w:rsidP="008B0E07">
      <w:pPr>
        <w:pStyle w:val="Odsekzoznamu"/>
      </w:pPr>
      <w:r w:rsidRPr="190F7DBA">
        <w:rPr>
          <w:u w:val="single"/>
        </w:rPr>
        <w:t xml:space="preserve">návrhu </w:t>
      </w:r>
      <w:r w:rsidR="299D2632" w:rsidRPr="190F7DBA">
        <w:rPr>
          <w:u w:val="single"/>
        </w:rPr>
        <w:t xml:space="preserve">opatrení pre </w:t>
      </w:r>
      <w:r w:rsidRPr="190F7DBA">
        <w:rPr>
          <w:u w:val="single"/>
        </w:rPr>
        <w:t>realizáci</w:t>
      </w:r>
      <w:r w:rsidR="299D2632" w:rsidRPr="190F7DBA">
        <w:rPr>
          <w:u w:val="single"/>
        </w:rPr>
        <w:t>u</w:t>
      </w:r>
      <w:r>
        <w:t xml:space="preserve"> informatizácie verejnej správy.</w:t>
      </w:r>
    </w:p>
    <w:p w14:paraId="41BCAEDE" w14:textId="77777777" w:rsidR="00105998" w:rsidRPr="004D73C4" w:rsidRDefault="00105998" w:rsidP="008B0E07">
      <w:r w:rsidRPr="004D73C4">
        <w:t xml:space="preserve">Zabezpečí sa tak posun informatizácie verejnej správy na ďalšiu úroveň, najmä v oblasti optimalizácie a redefinície existujúcich procesov, formou zdieľania údajov a informácií, aplikačných komponentov a infraštruktúry. Vytvorí sa priestor pre komplexný rozvoj a zefektívňovanie verejnej správy ako harmonizovaného celku. </w:t>
      </w:r>
    </w:p>
    <w:p w14:paraId="0E3FB8F9" w14:textId="3F3520F2" w:rsidR="004F338E" w:rsidRDefault="6DF24AE1" w:rsidP="007071D9">
      <w:r w:rsidRPr="3912845A">
        <w:rPr>
          <w:rFonts w:ascii="Calibri" w:eastAsia="Calibri" w:hAnsi="Calibri" w:cs="Calibri"/>
        </w:rPr>
        <w:t>V zmysle definovaného modelu sa na Slovensku implementujú projekty financované z</w:t>
      </w:r>
      <w:r w:rsidR="004F2A6B">
        <w:rPr>
          <w:rFonts w:ascii="Calibri" w:eastAsia="Calibri" w:hAnsi="Calibri" w:cs="Calibri"/>
        </w:rPr>
        <w:t> </w:t>
      </w:r>
      <w:r w:rsidRPr="3912845A">
        <w:rPr>
          <w:rFonts w:ascii="Calibri" w:eastAsia="Calibri" w:hAnsi="Calibri" w:cs="Calibri"/>
        </w:rPr>
        <w:t>OPII</w:t>
      </w:r>
      <w:r w:rsidR="004F2A6B">
        <w:rPr>
          <w:rFonts w:ascii="Calibri" w:eastAsia="Calibri" w:hAnsi="Calibri" w:cs="Calibri"/>
        </w:rPr>
        <w:t>,</w:t>
      </w:r>
      <w:r w:rsidRPr="3912845A">
        <w:rPr>
          <w:rFonts w:ascii="Calibri" w:eastAsia="Calibri" w:hAnsi="Calibri" w:cs="Calibri"/>
        </w:rPr>
        <w:t xml:space="preserve"> ktoré je možné charakterizovať v zmysle definície ako súčasť t-government. Keďže NKIVS má za cieľ a ambíciu ovplyvňovať dianie </w:t>
      </w:r>
      <w:r w:rsidR="004F2A6B">
        <w:rPr>
          <w:rFonts w:ascii="Calibri" w:eastAsia="Calibri" w:hAnsi="Calibri" w:cs="Calibri"/>
        </w:rPr>
        <w:t>d</w:t>
      </w:r>
      <w:r w:rsidR="00433BD6">
        <w:rPr>
          <w:rFonts w:ascii="Calibri" w:eastAsia="Calibri" w:hAnsi="Calibri" w:cs="Calibri"/>
        </w:rPr>
        <w:t>o roku 2030</w:t>
      </w:r>
      <w:r w:rsidRPr="3912845A">
        <w:rPr>
          <w:rFonts w:ascii="Calibri" w:eastAsia="Calibri" w:hAnsi="Calibri" w:cs="Calibri"/>
        </w:rPr>
        <w:t xml:space="preserve"> je potrebné zohľadniť aj očakávania a ciele definované l-government.</w:t>
      </w:r>
      <w:r w:rsidR="1D11CC5E">
        <w:t xml:space="preserve"> Pre to, aby smerovanie bolo úspešné, celé transformačné úsilie potrebuje novú paradigmu a nie inkrementálne zlepšovanie existujúcich systémov. </w:t>
      </w:r>
    </w:p>
    <w:p w14:paraId="743DB8BB" w14:textId="77777777" w:rsidR="00942E9A" w:rsidRPr="004D73C4" w:rsidRDefault="00942E9A" w:rsidP="007071D9"/>
    <w:p w14:paraId="3DA7F0C3" w14:textId="77777777" w:rsidR="00B65C38" w:rsidRPr="004D73C4" w:rsidRDefault="00E31469" w:rsidP="007071D9">
      <w:r w:rsidRPr="004D73C4">
        <w:rPr>
          <w:noProof/>
          <w:color w:val="2B579A"/>
          <w:shd w:val="clear" w:color="auto" w:fill="E6E6E6"/>
          <w:lang w:eastAsia="sk-SK"/>
        </w:rPr>
        <mc:AlternateContent>
          <mc:Choice Requires="wps">
            <w:drawing>
              <wp:anchor distT="0" distB="0" distL="114300" distR="114300" simplePos="0" relativeHeight="251662336" behindDoc="0" locked="0" layoutInCell="1" allowOverlap="1" wp14:anchorId="298352E0" wp14:editId="2E0F1AC4">
                <wp:simplePos x="0" y="0"/>
                <wp:positionH relativeFrom="column">
                  <wp:posOffset>3857199</wp:posOffset>
                </wp:positionH>
                <wp:positionV relativeFrom="paragraph">
                  <wp:posOffset>0</wp:posOffset>
                </wp:positionV>
                <wp:extent cx="1036800" cy="201600"/>
                <wp:effectExtent l="0" t="0" r="11430" b="27305"/>
                <wp:wrapNone/>
                <wp:docPr id="24" name="Zahnutá šípka nadol 24"/>
                <wp:cNvGraphicFramePr/>
                <a:graphic xmlns:a="http://schemas.openxmlformats.org/drawingml/2006/main">
                  <a:graphicData uri="http://schemas.microsoft.com/office/word/2010/wordprocessingShape">
                    <wps:wsp>
                      <wps:cNvSpPr/>
                      <wps:spPr>
                        <a:xfrm>
                          <a:off x="0" y="0"/>
                          <a:ext cx="1036800" cy="201600"/>
                        </a:xfrm>
                        <a:prstGeom prst="curvedDownArrow">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C109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Zahnutá šípka nadol 24" o:spid="_x0000_s1026" type="#_x0000_t105" style="position:absolute;margin-left:303.7pt;margin-top:0;width:81.65pt;height: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" adj="19500,21075,16200" filled="f" strokecolor="black [1600]" strokeweight="2pt"/>
            </w:pict>
          </mc:Fallback>
        </mc:AlternateContent>
      </w:r>
      <w:r w:rsidRPr="004D73C4">
        <w:rPr>
          <w:noProof/>
          <w:color w:val="2B579A"/>
          <w:shd w:val="clear" w:color="auto" w:fill="E6E6E6"/>
          <w:lang w:eastAsia="sk-SK"/>
        </w:rPr>
        <mc:AlternateContent>
          <mc:Choice Requires="wps">
            <w:drawing>
              <wp:anchor distT="0" distB="0" distL="114300" distR="114300" simplePos="0" relativeHeight="251659264" behindDoc="0" locked="0" layoutInCell="1" allowOverlap="1" wp14:anchorId="14829E4F" wp14:editId="71FFECA7">
                <wp:simplePos x="0" y="0"/>
                <wp:positionH relativeFrom="column">
                  <wp:posOffset>2387817</wp:posOffset>
                </wp:positionH>
                <wp:positionV relativeFrom="paragraph">
                  <wp:posOffset>-664</wp:posOffset>
                </wp:positionV>
                <wp:extent cx="1035685" cy="200660"/>
                <wp:effectExtent l="0" t="0" r="12065" b="27940"/>
                <wp:wrapNone/>
                <wp:docPr id="21" name="Zahnutá šípka nadol 21"/>
                <wp:cNvGraphicFramePr/>
                <a:graphic xmlns:a="http://schemas.openxmlformats.org/drawingml/2006/main">
                  <a:graphicData uri="http://schemas.microsoft.com/office/word/2010/wordprocessingShape">
                    <wps:wsp>
                      <wps:cNvSpPr/>
                      <wps:spPr>
                        <a:xfrm>
                          <a:off x="0" y="0"/>
                          <a:ext cx="1035685" cy="200660"/>
                        </a:xfrm>
                        <a:prstGeom prst="curvedDownArrow">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BAD8FF" id="Zahnutá šípka nadol 21" o:spid="_x0000_s1026" type="#_x0000_t105" style="position:absolute;margin-left:188pt;margin-top:-.05pt;width:81.55pt;height:15.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" adj="19508,21077,16200" filled="f" strokecolor="black [1600]" strokeweight="2pt"/>
            </w:pict>
          </mc:Fallback>
        </mc:AlternateContent>
      </w:r>
      <w:r w:rsidRPr="004D73C4">
        <w:rPr>
          <w:noProof/>
          <w:color w:val="2B579A"/>
          <w:shd w:val="clear" w:color="auto" w:fill="E6E6E6"/>
          <w:lang w:eastAsia="sk-SK"/>
        </w:rPr>
        <mc:AlternateContent>
          <mc:Choice Requires="wps">
            <w:drawing>
              <wp:anchor distT="0" distB="0" distL="114300" distR="114300" simplePos="0" relativeHeight="251657216" behindDoc="0" locked="0" layoutInCell="1" allowOverlap="1" wp14:anchorId="0226A61A" wp14:editId="1FBEE86C">
                <wp:simplePos x="0" y="0"/>
                <wp:positionH relativeFrom="column">
                  <wp:posOffset>918434</wp:posOffset>
                </wp:positionH>
                <wp:positionV relativeFrom="paragraph">
                  <wp:posOffset>-664</wp:posOffset>
                </wp:positionV>
                <wp:extent cx="1035685" cy="200660"/>
                <wp:effectExtent l="0" t="0" r="12065" b="27940"/>
                <wp:wrapNone/>
                <wp:docPr id="1" name="Zahnutá šípka nadol 1"/>
                <wp:cNvGraphicFramePr/>
                <a:graphic xmlns:a="http://schemas.openxmlformats.org/drawingml/2006/main">
                  <a:graphicData uri="http://schemas.microsoft.com/office/word/2010/wordprocessingShape">
                    <wps:wsp>
                      <wps:cNvSpPr/>
                      <wps:spPr>
                        <a:xfrm>
                          <a:off x="0" y="0"/>
                          <a:ext cx="1035685" cy="200660"/>
                        </a:xfrm>
                        <a:prstGeom prst="curvedDownArrow">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2F60FE" id="Zahnutá šípka nadol 1" o:spid="_x0000_s1026" type="#_x0000_t105" style="position:absolute;margin-left:72.3pt;margin-top:-.05pt;width:81.55pt;height:15.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" adj="19508,21077,16200" filled="f" strokecolor="black [1600]" strokeweight="2pt"/>
            </w:pict>
          </mc:Fallback>
        </mc:AlternateContent>
      </w:r>
    </w:p>
    <w:tbl>
      <w:tblPr>
        <w:tblStyle w:val="Mriekatabuky"/>
        <w:tblW w:w="9063" w:type="dxa"/>
        <w:tblLook w:val="04A0" w:firstRow="1" w:lastRow="0" w:firstColumn="1" w:lastColumn="0" w:noHBand="0" w:noVBand="1"/>
      </w:tblPr>
      <w:tblGrid>
        <w:gridCol w:w="2098"/>
        <w:gridCol w:w="222"/>
        <w:gridCol w:w="2098"/>
        <w:gridCol w:w="222"/>
        <w:gridCol w:w="2098"/>
        <w:gridCol w:w="227"/>
        <w:gridCol w:w="2098"/>
      </w:tblGrid>
      <w:tr w:rsidR="004F338E" w:rsidRPr="004D73C4" w14:paraId="7A8C8C82" w14:textId="77777777" w:rsidTr="004F338E">
        <w:tc>
          <w:tcPr>
            <w:tcW w:w="2098" w:type="dxa"/>
            <w:tcBorders>
              <w:top w:val="single" w:sz="12" w:space="0" w:color="auto"/>
              <w:left w:val="single" w:sz="12" w:space="0" w:color="auto"/>
              <w:right w:val="single" w:sz="12" w:space="0" w:color="auto"/>
            </w:tcBorders>
            <w:shd w:val="clear" w:color="auto" w:fill="548DD4" w:themeFill="text2" w:themeFillTint="99"/>
          </w:tcPr>
          <w:p w14:paraId="6ECC4D8A" w14:textId="77777777" w:rsidR="00B65C38" w:rsidRPr="004D73C4" w:rsidRDefault="00B65C38" w:rsidP="00B65C38">
            <w:pPr>
              <w:jc w:val="center"/>
              <w:rPr>
                <w:b/>
                <w:color w:val="FFFFFF" w:themeColor="background1"/>
                <w:sz w:val="22"/>
                <w:szCs w:val="22"/>
              </w:rPr>
            </w:pPr>
            <w:r w:rsidRPr="004D73C4">
              <w:rPr>
                <w:b/>
                <w:color w:val="FFFFFF" w:themeColor="background1"/>
                <w:sz w:val="22"/>
                <w:szCs w:val="22"/>
              </w:rPr>
              <w:t>e-government</w:t>
            </w:r>
          </w:p>
        </w:tc>
        <w:tc>
          <w:tcPr>
            <w:tcW w:w="222" w:type="dxa"/>
            <w:tcBorders>
              <w:top w:val="nil"/>
              <w:left w:val="single" w:sz="12" w:space="0" w:color="auto"/>
              <w:bottom w:val="nil"/>
              <w:right w:val="single" w:sz="12" w:space="0" w:color="auto"/>
            </w:tcBorders>
            <w:shd w:val="clear" w:color="auto" w:fill="FFFFFF" w:themeFill="background1"/>
          </w:tcPr>
          <w:p w14:paraId="2EC7AC22" w14:textId="77777777" w:rsidR="00B65C38" w:rsidRPr="004D73C4" w:rsidRDefault="00B65C38" w:rsidP="00B65C38">
            <w:pPr>
              <w:jc w:val="center"/>
              <w:rPr>
                <w:b/>
                <w:color w:val="FFFFFF" w:themeColor="background1"/>
                <w:sz w:val="22"/>
                <w:szCs w:val="22"/>
              </w:rPr>
            </w:pPr>
          </w:p>
        </w:tc>
        <w:tc>
          <w:tcPr>
            <w:tcW w:w="2098" w:type="dxa"/>
            <w:tcBorders>
              <w:top w:val="single" w:sz="12" w:space="0" w:color="auto"/>
              <w:left w:val="single" w:sz="12" w:space="0" w:color="auto"/>
              <w:right w:val="single" w:sz="12" w:space="0" w:color="auto"/>
            </w:tcBorders>
            <w:shd w:val="clear" w:color="auto" w:fill="548DD4" w:themeFill="text2" w:themeFillTint="99"/>
          </w:tcPr>
          <w:p w14:paraId="3D2357B6" w14:textId="77777777" w:rsidR="00B65C38" w:rsidRPr="004D73C4" w:rsidRDefault="00B65C38" w:rsidP="00B65C38">
            <w:pPr>
              <w:jc w:val="center"/>
              <w:rPr>
                <w:b/>
                <w:color w:val="FFFFFF" w:themeColor="background1"/>
                <w:sz w:val="22"/>
                <w:szCs w:val="22"/>
              </w:rPr>
            </w:pPr>
            <w:r w:rsidRPr="004D73C4">
              <w:rPr>
                <w:b/>
                <w:color w:val="FFFFFF" w:themeColor="background1"/>
                <w:sz w:val="22"/>
                <w:szCs w:val="22"/>
              </w:rPr>
              <w:t>t-government</w:t>
            </w:r>
          </w:p>
        </w:tc>
        <w:tc>
          <w:tcPr>
            <w:tcW w:w="222" w:type="dxa"/>
            <w:tcBorders>
              <w:top w:val="nil"/>
              <w:left w:val="single" w:sz="12" w:space="0" w:color="auto"/>
              <w:bottom w:val="nil"/>
              <w:right w:val="single" w:sz="12" w:space="0" w:color="auto"/>
            </w:tcBorders>
            <w:shd w:val="clear" w:color="auto" w:fill="FFFFFF" w:themeFill="background1"/>
          </w:tcPr>
          <w:p w14:paraId="0FE8C646" w14:textId="77777777" w:rsidR="00B65C38" w:rsidRPr="004D73C4" w:rsidRDefault="00B65C38" w:rsidP="00B65C38">
            <w:pPr>
              <w:jc w:val="center"/>
              <w:rPr>
                <w:b/>
                <w:color w:val="FFFFFF" w:themeColor="background1"/>
                <w:sz w:val="22"/>
                <w:szCs w:val="22"/>
              </w:rPr>
            </w:pPr>
          </w:p>
        </w:tc>
        <w:tc>
          <w:tcPr>
            <w:tcW w:w="2098" w:type="dxa"/>
            <w:tcBorders>
              <w:top w:val="single" w:sz="12" w:space="0" w:color="auto"/>
              <w:left w:val="single" w:sz="12" w:space="0" w:color="auto"/>
              <w:right w:val="single" w:sz="12" w:space="0" w:color="auto"/>
            </w:tcBorders>
            <w:shd w:val="clear" w:color="auto" w:fill="548DD4" w:themeFill="text2" w:themeFillTint="99"/>
          </w:tcPr>
          <w:p w14:paraId="700B2725" w14:textId="77777777" w:rsidR="00B65C38" w:rsidRPr="004D73C4" w:rsidRDefault="00B65C38" w:rsidP="00B65C38">
            <w:pPr>
              <w:jc w:val="center"/>
              <w:rPr>
                <w:b/>
                <w:color w:val="FFFFFF" w:themeColor="background1"/>
                <w:sz w:val="22"/>
                <w:szCs w:val="22"/>
              </w:rPr>
            </w:pPr>
            <w:r w:rsidRPr="004D73C4">
              <w:rPr>
                <w:b/>
                <w:color w:val="FFFFFF" w:themeColor="background1"/>
                <w:sz w:val="22"/>
                <w:szCs w:val="22"/>
              </w:rPr>
              <w:t>l-government</w:t>
            </w:r>
          </w:p>
        </w:tc>
        <w:tc>
          <w:tcPr>
            <w:tcW w:w="227" w:type="dxa"/>
            <w:tcBorders>
              <w:top w:val="nil"/>
              <w:left w:val="single" w:sz="12" w:space="0" w:color="auto"/>
              <w:bottom w:val="nil"/>
              <w:right w:val="single" w:sz="12" w:space="0" w:color="auto"/>
            </w:tcBorders>
            <w:shd w:val="clear" w:color="auto" w:fill="FFFFFF" w:themeFill="background1"/>
          </w:tcPr>
          <w:p w14:paraId="76E9ADB9" w14:textId="77777777" w:rsidR="00B65C38" w:rsidRPr="004D73C4" w:rsidRDefault="00B65C38" w:rsidP="00B65C38">
            <w:pPr>
              <w:jc w:val="center"/>
              <w:rPr>
                <w:b/>
                <w:color w:val="FFFFFF" w:themeColor="background1"/>
                <w:sz w:val="22"/>
                <w:szCs w:val="22"/>
              </w:rPr>
            </w:pPr>
          </w:p>
        </w:tc>
        <w:tc>
          <w:tcPr>
            <w:tcW w:w="2098" w:type="dxa"/>
            <w:tcBorders>
              <w:top w:val="single" w:sz="12" w:space="0" w:color="auto"/>
              <w:left w:val="single" w:sz="12" w:space="0" w:color="auto"/>
              <w:right w:val="single" w:sz="12" w:space="0" w:color="auto"/>
            </w:tcBorders>
            <w:shd w:val="clear" w:color="auto" w:fill="548DD4" w:themeFill="text2" w:themeFillTint="99"/>
          </w:tcPr>
          <w:p w14:paraId="7DBA9900" w14:textId="77777777" w:rsidR="00B65C38" w:rsidRPr="004D73C4" w:rsidRDefault="00B65C38" w:rsidP="00B65C38">
            <w:pPr>
              <w:jc w:val="center"/>
              <w:rPr>
                <w:b/>
                <w:color w:val="FFFFFF" w:themeColor="background1"/>
                <w:sz w:val="22"/>
                <w:szCs w:val="22"/>
              </w:rPr>
            </w:pPr>
            <w:r w:rsidRPr="004D73C4">
              <w:rPr>
                <w:b/>
                <w:color w:val="FFFFFF" w:themeColor="background1"/>
                <w:sz w:val="22"/>
                <w:szCs w:val="22"/>
              </w:rPr>
              <w:t>o-government</w:t>
            </w:r>
          </w:p>
        </w:tc>
      </w:tr>
      <w:tr w:rsidR="00B65C38" w:rsidRPr="004D73C4" w14:paraId="4DDF0990" w14:textId="77777777" w:rsidTr="00E31469">
        <w:tc>
          <w:tcPr>
            <w:tcW w:w="2098" w:type="dxa"/>
            <w:tcBorders>
              <w:left w:val="single" w:sz="12" w:space="0" w:color="auto"/>
              <w:right w:val="single" w:sz="12" w:space="0" w:color="auto"/>
            </w:tcBorders>
          </w:tcPr>
          <w:p w14:paraId="7CF74CA3" w14:textId="77777777" w:rsidR="00B65C38" w:rsidRPr="004D73C4" w:rsidRDefault="00B65C38" w:rsidP="00B65C38">
            <w:pPr>
              <w:jc w:val="center"/>
            </w:pPr>
            <w:r w:rsidRPr="004D73C4">
              <w:t>Nasadenie IKT pre doručovanie služieb</w:t>
            </w:r>
          </w:p>
        </w:tc>
        <w:tc>
          <w:tcPr>
            <w:tcW w:w="222" w:type="dxa"/>
            <w:tcBorders>
              <w:top w:val="nil"/>
              <w:left w:val="single" w:sz="12" w:space="0" w:color="auto"/>
              <w:bottom w:val="nil"/>
              <w:right w:val="single" w:sz="12" w:space="0" w:color="auto"/>
            </w:tcBorders>
          </w:tcPr>
          <w:p w14:paraId="3643FB55" w14:textId="77777777" w:rsidR="00B65C38" w:rsidRPr="004D73C4" w:rsidRDefault="00B65C38" w:rsidP="00B65C38">
            <w:pPr>
              <w:jc w:val="center"/>
            </w:pPr>
          </w:p>
        </w:tc>
        <w:tc>
          <w:tcPr>
            <w:tcW w:w="2098" w:type="dxa"/>
            <w:tcBorders>
              <w:left w:val="single" w:sz="12" w:space="0" w:color="auto"/>
              <w:right w:val="single" w:sz="12" w:space="0" w:color="auto"/>
            </w:tcBorders>
          </w:tcPr>
          <w:p w14:paraId="690DB7EE" w14:textId="77777777" w:rsidR="00B65C38" w:rsidRPr="004D73C4" w:rsidRDefault="00B65C38" w:rsidP="00B65C38">
            <w:pPr>
              <w:jc w:val="center"/>
            </w:pPr>
            <w:r w:rsidRPr="004D73C4">
              <w:t>Reformovanie byrokracie</w:t>
            </w:r>
          </w:p>
        </w:tc>
        <w:tc>
          <w:tcPr>
            <w:tcW w:w="222" w:type="dxa"/>
            <w:tcBorders>
              <w:top w:val="nil"/>
              <w:left w:val="single" w:sz="12" w:space="0" w:color="auto"/>
              <w:bottom w:val="nil"/>
              <w:right w:val="single" w:sz="12" w:space="0" w:color="auto"/>
            </w:tcBorders>
          </w:tcPr>
          <w:p w14:paraId="4E560D50" w14:textId="77777777" w:rsidR="00B65C38" w:rsidRPr="004D73C4" w:rsidRDefault="00B65C38" w:rsidP="00B65C38">
            <w:pPr>
              <w:jc w:val="center"/>
            </w:pPr>
          </w:p>
        </w:tc>
        <w:tc>
          <w:tcPr>
            <w:tcW w:w="2098" w:type="dxa"/>
            <w:tcBorders>
              <w:left w:val="single" w:sz="12" w:space="0" w:color="auto"/>
              <w:right w:val="single" w:sz="12" w:space="0" w:color="auto"/>
            </w:tcBorders>
          </w:tcPr>
          <w:p w14:paraId="56498676" w14:textId="77777777" w:rsidR="00B65C38" w:rsidRPr="004D73C4" w:rsidRDefault="00B65C38" w:rsidP="00B65C38">
            <w:pPr>
              <w:jc w:val="center"/>
            </w:pPr>
            <w:r w:rsidRPr="004D73C4">
              <w:t>Robiť viac s menej zdrojmi</w:t>
            </w:r>
          </w:p>
        </w:tc>
        <w:tc>
          <w:tcPr>
            <w:tcW w:w="227" w:type="dxa"/>
            <w:tcBorders>
              <w:top w:val="nil"/>
              <w:left w:val="single" w:sz="12" w:space="0" w:color="auto"/>
              <w:bottom w:val="nil"/>
              <w:right w:val="single" w:sz="12" w:space="0" w:color="auto"/>
            </w:tcBorders>
          </w:tcPr>
          <w:p w14:paraId="5DB832E2" w14:textId="77777777" w:rsidR="00B65C38" w:rsidRPr="004D73C4" w:rsidRDefault="00B65C38" w:rsidP="00B65C38">
            <w:pPr>
              <w:jc w:val="center"/>
            </w:pPr>
          </w:p>
        </w:tc>
        <w:tc>
          <w:tcPr>
            <w:tcW w:w="2098" w:type="dxa"/>
            <w:tcBorders>
              <w:left w:val="single" w:sz="12" w:space="0" w:color="auto"/>
              <w:right w:val="single" w:sz="12" w:space="0" w:color="auto"/>
            </w:tcBorders>
          </w:tcPr>
          <w:p w14:paraId="7E84F605" w14:textId="77777777" w:rsidR="00B65C38" w:rsidRPr="004D73C4" w:rsidRDefault="00B65C38" w:rsidP="00B65C38">
            <w:pPr>
              <w:jc w:val="center"/>
            </w:pPr>
            <w:r w:rsidRPr="004D73C4">
              <w:t>Robiť viac s prístupom otvorenosti</w:t>
            </w:r>
          </w:p>
        </w:tc>
      </w:tr>
      <w:tr w:rsidR="00E31469" w:rsidRPr="004D73C4" w14:paraId="64469627" w14:textId="77777777" w:rsidTr="00E31469">
        <w:trPr>
          <w:trHeight w:val="1134"/>
        </w:trPr>
        <w:tc>
          <w:tcPr>
            <w:tcW w:w="2098" w:type="dxa"/>
            <w:vMerge w:val="restart"/>
            <w:tcBorders>
              <w:left w:val="single" w:sz="12" w:space="0" w:color="auto"/>
              <w:right w:val="single" w:sz="12" w:space="0" w:color="auto"/>
            </w:tcBorders>
          </w:tcPr>
          <w:p w14:paraId="007EBAF3" w14:textId="77777777" w:rsidR="00E31469" w:rsidRPr="004D73C4" w:rsidRDefault="006B4E35" w:rsidP="00B65C38">
            <w:pPr>
              <w:jc w:val="center"/>
            </w:pPr>
            <w:r w:rsidRPr="004D73C4">
              <w:t>Elektronický</w:t>
            </w:r>
            <w:r w:rsidRPr="004D73C4">
              <w:br/>
            </w:r>
            <w:r w:rsidR="00E31469" w:rsidRPr="004D73C4">
              <w:t>govenrment</w:t>
            </w:r>
          </w:p>
          <w:p w14:paraId="18D6A365" w14:textId="77777777" w:rsidR="00E31469" w:rsidRPr="004D73C4" w:rsidRDefault="00E31469" w:rsidP="00E476C1">
            <w:pPr>
              <w:jc w:val="center"/>
            </w:pPr>
            <w:r w:rsidRPr="004D73C4">
              <w:t>Nasadenie IKT do existujúceho systému verejnej správy</w:t>
            </w:r>
          </w:p>
        </w:tc>
        <w:tc>
          <w:tcPr>
            <w:tcW w:w="222" w:type="dxa"/>
            <w:tcBorders>
              <w:top w:val="nil"/>
              <w:left w:val="single" w:sz="12" w:space="0" w:color="auto"/>
              <w:bottom w:val="nil"/>
              <w:right w:val="single" w:sz="12" w:space="0" w:color="auto"/>
            </w:tcBorders>
          </w:tcPr>
          <w:p w14:paraId="7D47061F" w14:textId="77777777" w:rsidR="00E31469" w:rsidRPr="004D73C4" w:rsidRDefault="00E31469" w:rsidP="00B65C38">
            <w:pPr>
              <w:jc w:val="center"/>
            </w:pPr>
          </w:p>
        </w:tc>
        <w:tc>
          <w:tcPr>
            <w:tcW w:w="2098" w:type="dxa"/>
            <w:vMerge w:val="restart"/>
            <w:tcBorders>
              <w:left w:val="single" w:sz="12" w:space="0" w:color="auto"/>
              <w:right w:val="single" w:sz="12" w:space="0" w:color="auto"/>
            </w:tcBorders>
          </w:tcPr>
          <w:p w14:paraId="28C2D3F4" w14:textId="77777777" w:rsidR="00E31469" w:rsidRPr="004D73C4" w:rsidRDefault="006B4E35" w:rsidP="00B65C38">
            <w:pPr>
              <w:jc w:val="center"/>
            </w:pPr>
            <w:r w:rsidRPr="004D73C4">
              <w:t>Transformovaný</w:t>
            </w:r>
            <w:r w:rsidRPr="004D73C4">
              <w:br/>
            </w:r>
            <w:r w:rsidR="00E31469" w:rsidRPr="004D73C4">
              <w:t>government</w:t>
            </w:r>
          </w:p>
          <w:p w14:paraId="5549FD19" w14:textId="77777777" w:rsidR="00E31469" w:rsidRPr="004D73C4" w:rsidRDefault="00E31469" w:rsidP="00E476C1">
            <w:pPr>
              <w:jc w:val="center"/>
            </w:pPr>
            <w:r w:rsidRPr="004D73C4">
              <w:t xml:space="preserve">Využívanie IKT na </w:t>
            </w:r>
            <w:r w:rsidR="00E476C1" w:rsidRPr="004D73C4">
              <w:t>zvýšenie efektívnosti a výkonnosti</w:t>
            </w:r>
            <w:r w:rsidRPr="004D73C4">
              <w:t xml:space="preserve"> verejnej správy</w:t>
            </w:r>
          </w:p>
        </w:tc>
        <w:tc>
          <w:tcPr>
            <w:tcW w:w="222" w:type="dxa"/>
            <w:tcBorders>
              <w:top w:val="nil"/>
              <w:left w:val="single" w:sz="12" w:space="0" w:color="auto"/>
              <w:bottom w:val="nil"/>
              <w:right w:val="single" w:sz="12" w:space="0" w:color="auto"/>
            </w:tcBorders>
          </w:tcPr>
          <w:p w14:paraId="127F9089" w14:textId="77777777" w:rsidR="00E31469" w:rsidRPr="004D73C4" w:rsidRDefault="00E31469" w:rsidP="00B65C38">
            <w:pPr>
              <w:jc w:val="center"/>
            </w:pPr>
          </w:p>
        </w:tc>
        <w:tc>
          <w:tcPr>
            <w:tcW w:w="2098" w:type="dxa"/>
            <w:vMerge w:val="restart"/>
            <w:tcBorders>
              <w:left w:val="single" w:sz="12" w:space="0" w:color="auto"/>
              <w:right w:val="single" w:sz="12" w:space="0" w:color="auto"/>
            </w:tcBorders>
          </w:tcPr>
          <w:p w14:paraId="42D89330" w14:textId="77777777" w:rsidR="00E31469" w:rsidRPr="004D73C4" w:rsidRDefault="00E31469" w:rsidP="00E31469">
            <w:pPr>
              <w:jc w:val="center"/>
            </w:pPr>
            <w:r w:rsidRPr="004D73C4">
              <w:t xml:space="preserve">Štíhly </w:t>
            </w:r>
            <w:r w:rsidRPr="004D73C4">
              <w:br/>
              <w:t>government</w:t>
            </w:r>
          </w:p>
          <w:p w14:paraId="099373DB" w14:textId="77777777" w:rsidR="00E31469" w:rsidRPr="004D73C4" w:rsidRDefault="00E31469" w:rsidP="00E476C1">
            <w:pPr>
              <w:jc w:val="center"/>
            </w:pPr>
            <w:r w:rsidRPr="004D73C4">
              <w:t>Využívanie IKT na zoštíhlenie verejnej správy</w:t>
            </w:r>
          </w:p>
        </w:tc>
        <w:tc>
          <w:tcPr>
            <w:tcW w:w="227" w:type="dxa"/>
            <w:tcBorders>
              <w:top w:val="nil"/>
              <w:left w:val="single" w:sz="12" w:space="0" w:color="auto"/>
              <w:bottom w:val="nil"/>
              <w:right w:val="single" w:sz="12" w:space="0" w:color="auto"/>
            </w:tcBorders>
          </w:tcPr>
          <w:p w14:paraId="78D03CBF" w14:textId="77777777" w:rsidR="00E31469" w:rsidRPr="004D73C4" w:rsidRDefault="00E31469" w:rsidP="00B65C38">
            <w:pPr>
              <w:jc w:val="center"/>
            </w:pPr>
          </w:p>
        </w:tc>
        <w:tc>
          <w:tcPr>
            <w:tcW w:w="2098" w:type="dxa"/>
            <w:vMerge w:val="restart"/>
            <w:tcBorders>
              <w:left w:val="single" w:sz="12" w:space="0" w:color="auto"/>
              <w:right w:val="single" w:sz="12" w:space="0" w:color="auto"/>
            </w:tcBorders>
          </w:tcPr>
          <w:p w14:paraId="67B76152" w14:textId="77777777" w:rsidR="00E31469" w:rsidRPr="004D73C4" w:rsidRDefault="00E31469" w:rsidP="00B65C38">
            <w:pPr>
              <w:jc w:val="center"/>
            </w:pPr>
            <w:r w:rsidRPr="004D73C4">
              <w:t xml:space="preserve">Otvorený </w:t>
            </w:r>
            <w:r w:rsidRPr="004D73C4">
              <w:br/>
              <w:t>government</w:t>
            </w:r>
          </w:p>
          <w:p w14:paraId="011D8366" w14:textId="77777777" w:rsidR="00E31469" w:rsidRPr="004D73C4" w:rsidRDefault="00E31469" w:rsidP="00B65C38">
            <w:pPr>
              <w:jc w:val="center"/>
            </w:pPr>
            <w:r w:rsidRPr="004D73C4">
              <w:t>Využívanie IKT na otvorenú kolaboráciu s externými subjektmi</w:t>
            </w:r>
          </w:p>
        </w:tc>
      </w:tr>
      <w:tr w:rsidR="00E31469" w:rsidRPr="004D73C4" w14:paraId="2ACDAD2A" w14:textId="77777777" w:rsidTr="00E31469">
        <w:tc>
          <w:tcPr>
            <w:tcW w:w="2098" w:type="dxa"/>
            <w:vMerge/>
            <w:tcBorders>
              <w:left w:val="single" w:sz="12" w:space="0" w:color="auto"/>
              <w:bottom w:val="single" w:sz="12" w:space="0" w:color="auto"/>
              <w:right w:val="single" w:sz="12" w:space="0" w:color="auto"/>
            </w:tcBorders>
          </w:tcPr>
          <w:p w14:paraId="02FB358F" w14:textId="77777777" w:rsidR="00E31469" w:rsidRPr="004D73C4" w:rsidRDefault="00E31469" w:rsidP="00B65C38">
            <w:pPr>
              <w:jc w:val="center"/>
              <w:rPr>
                <w:sz w:val="22"/>
              </w:rPr>
            </w:pPr>
          </w:p>
        </w:tc>
        <w:tc>
          <w:tcPr>
            <w:tcW w:w="222" w:type="dxa"/>
            <w:tcBorders>
              <w:top w:val="nil"/>
              <w:left w:val="single" w:sz="12" w:space="0" w:color="auto"/>
              <w:bottom w:val="nil"/>
              <w:right w:val="single" w:sz="12" w:space="0" w:color="auto"/>
            </w:tcBorders>
          </w:tcPr>
          <w:p w14:paraId="7A42504A" w14:textId="77777777" w:rsidR="00E31469" w:rsidRPr="004D73C4" w:rsidRDefault="00E31469" w:rsidP="00B65C38">
            <w:pPr>
              <w:jc w:val="center"/>
              <w:rPr>
                <w:sz w:val="22"/>
              </w:rPr>
            </w:pPr>
          </w:p>
        </w:tc>
        <w:tc>
          <w:tcPr>
            <w:tcW w:w="2098" w:type="dxa"/>
            <w:vMerge/>
            <w:tcBorders>
              <w:left w:val="single" w:sz="12" w:space="0" w:color="auto"/>
              <w:bottom w:val="single" w:sz="12" w:space="0" w:color="auto"/>
              <w:right w:val="single" w:sz="12" w:space="0" w:color="auto"/>
            </w:tcBorders>
          </w:tcPr>
          <w:p w14:paraId="5D0F2091" w14:textId="77777777" w:rsidR="00E31469" w:rsidRPr="004D73C4" w:rsidRDefault="00E31469" w:rsidP="00B65C38">
            <w:pPr>
              <w:jc w:val="center"/>
              <w:rPr>
                <w:sz w:val="22"/>
              </w:rPr>
            </w:pPr>
          </w:p>
        </w:tc>
        <w:tc>
          <w:tcPr>
            <w:tcW w:w="222" w:type="dxa"/>
            <w:tcBorders>
              <w:top w:val="nil"/>
              <w:left w:val="single" w:sz="12" w:space="0" w:color="auto"/>
              <w:bottom w:val="nil"/>
              <w:right w:val="single" w:sz="12" w:space="0" w:color="auto"/>
            </w:tcBorders>
          </w:tcPr>
          <w:p w14:paraId="28614AFF" w14:textId="77777777" w:rsidR="00E31469" w:rsidRPr="004D73C4" w:rsidRDefault="00E31469" w:rsidP="00B65C38">
            <w:pPr>
              <w:jc w:val="center"/>
              <w:rPr>
                <w:sz w:val="22"/>
              </w:rPr>
            </w:pPr>
          </w:p>
        </w:tc>
        <w:tc>
          <w:tcPr>
            <w:tcW w:w="2098" w:type="dxa"/>
            <w:vMerge/>
            <w:tcBorders>
              <w:left w:val="single" w:sz="12" w:space="0" w:color="auto"/>
              <w:bottom w:val="single" w:sz="12" w:space="0" w:color="auto"/>
              <w:right w:val="single" w:sz="12" w:space="0" w:color="auto"/>
            </w:tcBorders>
          </w:tcPr>
          <w:p w14:paraId="3786D6D4" w14:textId="77777777" w:rsidR="00E31469" w:rsidRPr="004D73C4" w:rsidRDefault="00E31469" w:rsidP="00B65C38">
            <w:pPr>
              <w:jc w:val="center"/>
              <w:rPr>
                <w:sz w:val="22"/>
              </w:rPr>
            </w:pPr>
          </w:p>
        </w:tc>
        <w:tc>
          <w:tcPr>
            <w:tcW w:w="227" w:type="dxa"/>
            <w:tcBorders>
              <w:top w:val="nil"/>
              <w:left w:val="single" w:sz="12" w:space="0" w:color="auto"/>
              <w:bottom w:val="nil"/>
              <w:right w:val="single" w:sz="12" w:space="0" w:color="auto"/>
            </w:tcBorders>
          </w:tcPr>
          <w:p w14:paraId="4AEC53B7" w14:textId="77777777" w:rsidR="00E31469" w:rsidRPr="004D73C4" w:rsidRDefault="00E31469" w:rsidP="00B65C38">
            <w:pPr>
              <w:jc w:val="center"/>
              <w:rPr>
                <w:sz w:val="22"/>
              </w:rPr>
            </w:pPr>
          </w:p>
        </w:tc>
        <w:tc>
          <w:tcPr>
            <w:tcW w:w="2098" w:type="dxa"/>
            <w:vMerge/>
            <w:tcBorders>
              <w:left w:val="single" w:sz="12" w:space="0" w:color="auto"/>
              <w:bottom w:val="single" w:sz="12" w:space="0" w:color="auto"/>
              <w:right w:val="single" w:sz="12" w:space="0" w:color="auto"/>
            </w:tcBorders>
          </w:tcPr>
          <w:p w14:paraId="67545F02" w14:textId="77777777" w:rsidR="00E31469" w:rsidRPr="004D73C4" w:rsidRDefault="00E31469" w:rsidP="00B65C38">
            <w:pPr>
              <w:jc w:val="center"/>
              <w:rPr>
                <w:sz w:val="22"/>
              </w:rPr>
            </w:pPr>
          </w:p>
        </w:tc>
      </w:tr>
    </w:tbl>
    <w:p w14:paraId="2F78EB24" w14:textId="0EFA1038" w:rsidR="00530E6A" w:rsidRPr="004D73C4" w:rsidRDefault="00E31469" w:rsidP="00E31469">
      <w:pPr>
        <w:pStyle w:val="Popis"/>
      </w:pPr>
      <w:r w:rsidRPr="004D73C4">
        <w:t xml:space="preserve">Tabuľka </w:t>
      </w:r>
      <w:r>
        <w:fldChar w:fldCharType="begin"/>
      </w:r>
      <w:r>
        <w:instrText>SEQ Tabuľka \* ARABIC</w:instrText>
      </w:r>
      <w:r>
        <w:fldChar w:fldCharType="separate"/>
      </w:r>
      <w:r w:rsidR="00873A9F">
        <w:rPr>
          <w:noProof/>
        </w:rPr>
        <w:t>1</w:t>
      </w:r>
      <w:r>
        <w:fldChar w:fldCharType="end"/>
      </w:r>
      <w:r w:rsidRPr="004D73C4">
        <w:t>: Štyri vlny evolúcie e-Governmentu (zdroj: Millard (2015))</w:t>
      </w:r>
    </w:p>
    <w:p w14:paraId="4CE19779" w14:textId="77777777" w:rsidR="00B93D99" w:rsidRPr="00322384" w:rsidRDefault="00B93D99" w:rsidP="00B93D99">
      <w:r>
        <w:lastRenderedPageBreak/>
        <w:t>Tento koncept môžeme vysvetliť aj používaním stavebných blokov. Pokiaľ máte stavebné bloky dostatočne malé, tak môžete z toho vytvoriť fungujúci komplexný celok. To znamená, že nebudeme budovať rovnaké veci niekoľkokrát. Dobrým príkladom môže byť vládny cloud alebo nástroj na tvorbu webov jednotnom dizajnovom manuáli digitálnych služieb (ďalej len „ID-SK“). Sú to jednotlivé bloky, ktoré určujú dizajn webov a z ktorých ľubovoľný web môže byť postavený tak</w:t>
      </w:r>
      <w:r w:rsidR="00322384">
        <w:t>,</w:t>
      </w:r>
      <w:r>
        <w:t xml:space="preserve"> aby pre používateľa mal stále rovnaký dizajn, ovládanie, užívateľský komfort. To pre ďalšie smerovanie IT vo verejnom sektore znamená, že sa z vertikálneho pohľadu jednotlivých ministerstiev prejde na horizontálny pohľad pre informatizáciu. Má to zásadný vplyv na architektúru systémov a využívanie spoločných blokov.</w:t>
      </w:r>
    </w:p>
    <w:p w14:paraId="057CDD2B" w14:textId="77777777" w:rsidR="00B93D99" w:rsidRDefault="00B93D99" w:rsidP="008B0E07">
      <w:r>
        <w:t>Transformácia verejnej správy bude smerovať k platforme otvorenej verejnej správy (o-government), kde organizácia práce verejnej správy využíva</w:t>
      </w:r>
      <w:r w:rsidRPr="000E2089">
        <w:t xml:space="preserve"> sieť spoločne využívaných komponentov a ich </w:t>
      </w:r>
      <w:r>
        <w:t xml:space="preserve">služieb a </w:t>
      </w:r>
      <w:r w:rsidRPr="000E2089">
        <w:t>rozhraní, otvorených štandardov, spoločne využívaných dát, aby pracovníci verejnej správy a partneri verejnej správy mohli spolupracovať pri poskytovaní radikálne lepších služieb verejnosti efektívnejšie, bezpečnejšie a zodpovednejšie.</w:t>
      </w:r>
      <w:r>
        <w:t xml:space="preserve"> </w:t>
      </w:r>
    </w:p>
    <w:p w14:paraId="223D76CA" w14:textId="77777777" w:rsidR="00105998" w:rsidRPr="004D73C4" w:rsidRDefault="00105998" w:rsidP="008B0E07">
      <w:r w:rsidRPr="004D73C4">
        <w:t xml:space="preserve">Navrhovaná Koncepcia je určená osobám alebo inštitúciám, </w:t>
      </w:r>
      <w:r w:rsidRPr="004D73C4">
        <w:rPr>
          <w:rFonts w:eastAsia="Arial"/>
        </w:rPr>
        <w:t xml:space="preserve">na ktoré bude mať realizácia Koncepcie zamýšľaný dosah. Teda </w:t>
      </w:r>
      <w:r w:rsidRPr="004D73C4">
        <w:t xml:space="preserve">orgánom riadenia, ich manažérom, ako aj architektom na úrovni centrálnej a referenčnej architektúry a riešení konkrétnych informačných systémov verejnej správy, a to štátnej správy a samosprávy. </w:t>
      </w:r>
    </w:p>
    <w:p w14:paraId="2B02F7C1" w14:textId="77777777" w:rsidR="00105998" w:rsidRPr="004D73C4" w:rsidRDefault="00105998" w:rsidP="008B0E07">
      <w:r w:rsidRPr="004D73C4">
        <w:t xml:space="preserve">Nadväzne na schválenie </w:t>
      </w:r>
      <w:r w:rsidR="00C15C23" w:rsidRPr="004D73C4">
        <w:t>Koncepcie</w:t>
      </w:r>
      <w:r w:rsidRPr="004D73C4">
        <w:t xml:space="preserve"> budú jednotlivé orgány riadenia spracovávať KRIT tak, aby poskytovali prehľad o</w:t>
      </w:r>
      <w:r w:rsidR="00236B39">
        <w:t> </w:t>
      </w:r>
      <w:r w:rsidRPr="004D73C4">
        <w:t>ITVS, ktoré budú rozvíjané v</w:t>
      </w:r>
      <w:r w:rsidR="00236B39">
        <w:t> </w:t>
      </w:r>
      <w:r w:rsidRPr="004D73C4">
        <w:t>súlade</w:t>
      </w:r>
      <w:r w:rsidR="00236B39">
        <w:t xml:space="preserve"> </w:t>
      </w:r>
      <w:r w:rsidRPr="004D73C4">
        <w:t>s</w:t>
      </w:r>
      <w:r w:rsidR="00236B39">
        <w:t> </w:t>
      </w:r>
      <w:r w:rsidR="0095226B" w:rsidRPr="004D73C4">
        <w:t>Koncepciou</w:t>
      </w:r>
      <w:r w:rsidR="00236B39">
        <w:t xml:space="preserve"> </w:t>
      </w:r>
      <w:r w:rsidRPr="004D73C4">
        <w:t>a</w:t>
      </w:r>
      <w:r w:rsidR="00236B39">
        <w:t> </w:t>
      </w:r>
      <w:r w:rsidRPr="004D73C4">
        <w:t>v</w:t>
      </w:r>
      <w:r w:rsidR="00236B39">
        <w:t> </w:t>
      </w:r>
      <w:r w:rsidRPr="004D73C4">
        <w:t>nadväznosti</w:t>
      </w:r>
      <w:r w:rsidR="00236B39">
        <w:t xml:space="preserve"> </w:t>
      </w:r>
      <w:r w:rsidRPr="004D73C4">
        <w:t>na ich financovanie</w:t>
      </w:r>
      <w:r w:rsidR="00236B39">
        <w:t>.</w:t>
      </w:r>
    </w:p>
    <w:p w14:paraId="2BE76ED2" w14:textId="77777777" w:rsidR="00105998" w:rsidRPr="004D73C4" w:rsidRDefault="00105998" w:rsidP="57A63F5E">
      <w:pPr>
        <w:rPr>
          <w:rFonts w:ascii="Calibri" w:hAnsi="Calibri"/>
        </w:rPr>
      </w:pPr>
      <w:bookmarkStart w:id="17" w:name="_Toc432424438"/>
      <w:bookmarkStart w:id="18" w:name="_Toc432348184"/>
      <w:bookmarkEnd w:id="17"/>
      <w:bookmarkEnd w:id="18"/>
      <w:r w:rsidRPr="004D73C4">
        <w:t>Táto Koncepcia je v súlade s ostatnými strategickými dokument</w:t>
      </w:r>
      <w:r w:rsidR="00ED0B6E">
        <w:t>mi a politikami, nadväzuje na nich</w:t>
      </w:r>
      <w:r w:rsidRPr="004D73C4">
        <w:t xml:space="preserve"> a komplementárne ich dopĺňa, pričom ich neduplikuje. Sú to predovšetkým:</w:t>
      </w:r>
    </w:p>
    <w:p w14:paraId="6893419B" w14:textId="77777777" w:rsidR="00105998" w:rsidRPr="004D73C4" w:rsidRDefault="0DF9386A" w:rsidP="008B0E07">
      <w:pPr>
        <w:pStyle w:val="Odsekzoznamu"/>
      </w:pPr>
      <w:r>
        <w:t>OP</w:t>
      </w:r>
      <w:r w:rsidR="490157B0">
        <w:t xml:space="preserve">II, špecifický cieľ </w:t>
      </w:r>
      <w:r w:rsidR="6DC91310">
        <w:t>7.</w:t>
      </w:r>
      <w:r w:rsidR="490157B0">
        <w:t xml:space="preserve">1 Zvýšenie pokrytia širokopásmovým internetom a špecifický cieľ </w:t>
      </w:r>
      <w:r w:rsidR="6DC91310">
        <w:t>7.</w:t>
      </w:r>
      <w:r w:rsidR="490157B0">
        <w:t xml:space="preserve">2 Zvýšenie inovačnej kapacity najmä malých a stredných podnikateľov v digitálnej ekonomike, </w:t>
      </w:r>
    </w:p>
    <w:p w14:paraId="7448D6E9" w14:textId="77777777" w:rsidR="00105998" w:rsidRPr="004D73C4" w:rsidRDefault="490157B0" w:rsidP="008B0E07">
      <w:pPr>
        <w:pStyle w:val="Odsekzoznamu"/>
      </w:pPr>
      <w:r>
        <w:t>OPEVS, ktorý poskytuje finančné zdroje na zriadenie analytických jednotiek a na budovanie špe</w:t>
      </w:r>
      <w:r w:rsidR="20C9DA9A">
        <w:t>cializovaných jednotiek, napr. d</w:t>
      </w:r>
      <w:r>
        <w:t>átovej kancelárie a kancelárie behaviorálnych inovácií,</w:t>
      </w:r>
    </w:p>
    <w:p w14:paraId="29698F4C" w14:textId="77777777" w:rsidR="00105998" w:rsidRPr="004D73C4" w:rsidRDefault="490157B0" w:rsidP="008B0E07">
      <w:pPr>
        <w:pStyle w:val="Odsekzoznamu"/>
      </w:pPr>
      <w:r>
        <w:t>Stratégia digitálnej transformácie Slovenska, ktorá sa týka digitálnej ekonomiky, pričom verejná správa je jednou z jej piatich častí,</w:t>
      </w:r>
    </w:p>
    <w:p w14:paraId="51AB2AC1" w14:textId="77777777" w:rsidR="1D7C8025" w:rsidRDefault="4A1EDF72" w:rsidP="6CAFDB33">
      <w:pPr>
        <w:pStyle w:val="Odsekzoznamu"/>
        <w:rPr>
          <w:rFonts w:eastAsiaTheme="minorEastAsia" w:cstheme="minorBidi"/>
        </w:rPr>
      </w:pPr>
      <w:r>
        <w:t xml:space="preserve">Akčný plán digitálnej transformácie Slovenska na roky 2019-2022, </w:t>
      </w:r>
    </w:p>
    <w:p w14:paraId="2E940748" w14:textId="77777777" w:rsidR="1D7C8025" w:rsidRDefault="4A1EDF72" w:rsidP="6CAFDB33">
      <w:pPr>
        <w:pStyle w:val="Odsekzoznamu"/>
      </w:pPr>
      <w:r>
        <w:t xml:space="preserve">Stratégia a akčný plán na zlepšenie postavenia SR v indexe DESI do roku 2025, </w:t>
      </w:r>
    </w:p>
    <w:p w14:paraId="7FE80E79" w14:textId="77777777" w:rsidR="1D7C8025" w:rsidRDefault="4A1EDF72" w:rsidP="6CAFDB33">
      <w:pPr>
        <w:pStyle w:val="Odsekzoznamu"/>
      </w:pPr>
      <w:r>
        <w:t>Plánu obnovy a odolnosti Slovenskej republiky,</w:t>
      </w:r>
    </w:p>
    <w:p w14:paraId="04803671" w14:textId="77777777" w:rsidR="1D7C8025" w:rsidRDefault="4A1EDF72" w:rsidP="6CAFDB33">
      <w:pPr>
        <w:pStyle w:val="Odsekzoznamu"/>
        <w:rPr>
          <w:rFonts w:eastAsiaTheme="minorEastAsia" w:cstheme="minorBidi"/>
        </w:rPr>
      </w:pPr>
      <w:r>
        <w:t xml:space="preserve">Vízia a stratégia rozvoja Slovenska </w:t>
      </w:r>
      <w:r w:rsidR="00433BD6">
        <w:t>Do roku 2030</w:t>
      </w:r>
      <w:r>
        <w:t>,</w:t>
      </w:r>
    </w:p>
    <w:p w14:paraId="45B5318A" w14:textId="77777777" w:rsidR="00105998" w:rsidRPr="004D73C4" w:rsidRDefault="490157B0" w:rsidP="008B0E07">
      <w:pPr>
        <w:pStyle w:val="Odsekzoznamu"/>
      </w:pPr>
      <w:r>
        <w:t>Partnerská dohoda SR na roky 2021 – 2027, ktorej jedným zo špecifických cieľov je využívanie výhod digitalizác</w:t>
      </w:r>
      <w:r w:rsidR="00AF486C">
        <w:t>ie pre občanov, podniky a vlády</w:t>
      </w:r>
      <w:r>
        <w:t xml:space="preserve">, na základe ktorej bude prostredníctvom Operačného programu Slovensko podporené zvyšovanie kvality poskytovaných verejných služieb, posilňovanie </w:t>
      </w:r>
      <w:r w:rsidR="494288FF">
        <w:t xml:space="preserve">KIB </w:t>
      </w:r>
      <w:r>
        <w:t>a zvyšovanie digitálnych kompetencií a zručností,</w:t>
      </w:r>
    </w:p>
    <w:p w14:paraId="533A6694" w14:textId="77777777" w:rsidR="00105998" w:rsidRPr="004D73C4" w:rsidRDefault="490157B0" w:rsidP="008B0E07">
      <w:pPr>
        <w:pStyle w:val="Odsekzoznamu"/>
      </w:pPr>
      <w:r>
        <w:t>Národná stratégia kybernetickej bezpečnosti, pričom kybernetická bezpečnosť vo verejnej správe je jej súčasťou,</w:t>
      </w:r>
    </w:p>
    <w:p w14:paraId="027E27BE" w14:textId="77777777" w:rsidR="00105998" w:rsidRPr="004D73C4" w:rsidRDefault="490157B0" w:rsidP="008B0E07">
      <w:pPr>
        <w:pStyle w:val="Odsekzoznamu"/>
        <w:rPr>
          <w:b/>
          <w:bCs/>
        </w:rPr>
      </w:pPr>
      <w:r>
        <w:t>Národný plán širokopásmového pripojenia, ktorého cieľom je, aby všetky domácnosti, či už vidiecke alebo mestské, mali</w:t>
      </w:r>
      <w:r w:rsidR="053242DC">
        <w:t xml:space="preserve"> </w:t>
      </w:r>
      <w:r w:rsidR="00433BD6">
        <w:t>Do roku 2030</w:t>
      </w:r>
      <w:r>
        <w:t xml:space="preserve"> prístup k internetovému pripojeniu s rýchlosťou aspoň 100 megabitov za sekundu s možnosťou rozšírenia na gigabitovú rýchlosť, a druhým cieľom, aby mali subjekty, ako sú školy, dopravné uzly či hlavní poskytovatelia verejných služieb, </w:t>
      </w:r>
      <w:r w:rsidR="00433BD6">
        <w:t>Do roku 2030</w:t>
      </w:r>
      <w:r>
        <w:t xml:space="preserve"> prístup ku gigabitovému pripojeniu,</w:t>
      </w:r>
    </w:p>
    <w:p w14:paraId="3CC74DAF" w14:textId="77777777" w:rsidR="00105998" w:rsidRPr="004D73C4" w:rsidRDefault="490157B0" w:rsidP="008B0E07">
      <w:pPr>
        <w:pStyle w:val="Odsekzoznamu"/>
        <w:rPr>
          <w:b/>
          <w:bCs/>
        </w:rPr>
      </w:pPr>
      <w:r>
        <w:t>Európsky sociálny fond, určený pre investovanie do ľudí, do ich vzdelávania a odbornej prípravy, zručností, kreativity, potenciálu vytvárať podniky a inovovať,</w:t>
      </w:r>
    </w:p>
    <w:p w14:paraId="44FC0C1E" w14:textId="77777777" w:rsidR="00105998" w:rsidRPr="00F162BC" w:rsidRDefault="490157B0" w:rsidP="00F162BC">
      <w:pPr>
        <w:pStyle w:val="Odsekzoznamu"/>
        <w:rPr>
          <w:b/>
          <w:bCs/>
        </w:rPr>
      </w:pPr>
      <w:r>
        <w:t>Stratégia Inteligentnej Špecializácie RIS 3 – V návrhu aktualizá</w:t>
      </w:r>
      <w:r w:rsidR="46E0C78E">
        <w:t>cie stratégie</w:t>
      </w:r>
      <w:r>
        <w:t xml:space="preserve"> RIS3 bola zadefinovaná doména:</w:t>
      </w:r>
      <w:r w:rsidR="6C3EDA31">
        <w:t xml:space="preserve"> </w:t>
      </w:r>
      <w:r>
        <w:t xml:space="preserve">Digitálna transformácia Slovenska s odôvodním, že SR podporuje digitálnu transformáciu všetkých oblastí spoločnosti na zvýšenie kvality života občanov, zvýšenie konkurencieschopnosti priemyslu a celého hospodárstva a na zabezpečenie efektívneho výkonu štátnej správy vrátane verejnej správy. </w:t>
      </w:r>
    </w:p>
    <w:p w14:paraId="1469A7B4" w14:textId="77777777" w:rsidR="00105998" w:rsidRPr="004D73C4" w:rsidRDefault="00105998" w:rsidP="009D5A03">
      <w:pPr>
        <w:pStyle w:val="Nadpis1"/>
      </w:pPr>
      <w:bookmarkStart w:id="19" w:name="_Toc69297685"/>
      <w:bookmarkStart w:id="20" w:name="_Toc70369650"/>
      <w:bookmarkStart w:id="21" w:name="_Toc432348198"/>
      <w:bookmarkStart w:id="22" w:name="_Toc460261201"/>
      <w:bookmarkStart w:id="23" w:name="_Toc57535601"/>
      <w:bookmarkStart w:id="24" w:name="_Toc70711590"/>
      <w:r w:rsidRPr="004D73C4">
        <w:lastRenderedPageBreak/>
        <w:t xml:space="preserve">Strategické ciele </w:t>
      </w:r>
      <w:r w:rsidR="001A71F4">
        <w:t xml:space="preserve">a priority </w:t>
      </w:r>
      <w:r w:rsidRPr="004D73C4">
        <w:t>informatizácie verejnej správy</w:t>
      </w:r>
      <w:bookmarkEnd w:id="19"/>
      <w:bookmarkEnd w:id="20"/>
      <w:bookmarkEnd w:id="24"/>
    </w:p>
    <w:p w14:paraId="34535ED6" w14:textId="77777777" w:rsidR="00105998" w:rsidRPr="004D73C4" w:rsidRDefault="00105998" w:rsidP="002B60D7">
      <w:pPr>
        <w:pStyle w:val="Nadpis2"/>
      </w:pPr>
      <w:bookmarkStart w:id="25" w:name="_Toc58697728"/>
      <w:bookmarkStart w:id="26" w:name="_Toc69297686"/>
      <w:bookmarkStart w:id="27" w:name="_Toc70369651"/>
      <w:bookmarkStart w:id="28" w:name="_Toc70711591"/>
      <w:r w:rsidRPr="004D73C4">
        <w:t>Vízia</w:t>
      </w:r>
      <w:bookmarkEnd w:id="25"/>
      <w:bookmarkEnd w:id="26"/>
      <w:bookmarkEnd w:id="27"/>
      <w:bookmarkEnd w:id="28"/>
    </w:p>
    <w:p w14:paraId="7D6A054A" w14:textId="77777777" w:rsidR="00105998" w:rsidRPr="004D73C4" w:rsidRDefault="00105998" w:rsidP="009D5A03">
      <w:r w:rsidRPr="004D73C4">
        <w:t>Programové vyhlásenie vlády SR na roky 2020 – 2024 definuje víziu pre oblasť digitalizácie Slovenska</w:t>
      </w:r>
      <w:r w:rsidR="00B611AB" w:rsidRPr="004D73C4">
        <w:t xml:space="preserve"> </w:t>
      </w:r>
      <w:r w:rsidRPr="004D73C4">
        <w:t xml:space="preserve">ako </w:t>
      </w:r>
    </w:p>
    <w:p w14:paraId="6759E802" w14:textId="77777777" w:rsidR="00105998" w:rsidRPr="004D73C4" w:rsidRDefault="00105998" w:rsidP="009D5A03">
      <w:pPr>
        <w:pStyle w:val="Zvraznencitcia"/>
        <w:ind w:left="567" w:right="567"/>
      </w:pPr>
      <w:r w:rsidRPr="004D73C4">
        <w:t>...„Smart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14:paraId="7F2685F1" w14:textId="77777777" w:rsidR="00730133" w:rsidRDefault="00730133" w:rsidP="00730133">
      <w:bookmarkStart w:id="29" w:name="_Toc58697729"/>
      <w:bookmarkStart w:id="30" w:name="_Toc69297687"/>
      <w:bookmarkStart w:id="31" w:name="_Toc70369652"/>
    </w:p>
    <w:p w14:paraId="03ED5A01" w14:textId="77777777" w:rsidR="00105998" w:rsidRPr="004D73C4" w:rsidRDefault="00EC6AF6" w:rsidP="002B60D7">
      <w:pPr>
        <w:pStyle w:val="Nadpis2"/>
      </w:pPr>
      <w:bookmarkStart w:id="32" w:name="_Toc70711592"/>
      <w:r w:rsidRPr="004D73C4">
        <w:t>Strategické c</w:t>
      </w:r>
      <w:r w:rsidR="00105998" w:rsidRPr="004D73C4">
        <w:t>iele</w:t>
      </w:r>
      <w:bookmarkEnd w:id="29"/>
      <w:r w:rsidR="00E13200" w:rsidRPr="004D73C4">
        <w:t xml:space="preserve"> a priority</w:t>
      </w:r>
      <w:bookmarkEnd w:id="30"/>
      <w:bookmarkEnd w:id="31"/>
      <w:bookmarkEnd w:id="32"/>
    </w:p>
    <w:p w14:paraId="43A277C2" w14:textId="77777777" w:rsidR="00105998" w:rsidRPr="004D73C4" w:rsidRDefault="00861C5A" w:rsidP="009D5A03">
      <w:r w:rsidRPr="004D73C4">
        <w:t xml:space="preserve">Strategické ciele popisujú budúci stav informatizácie verejnej správy, prostredníctvom </w:t>
      </w:r>
      <w:r w:rsidR="00AF486C">
        <w:t xml:space="preserve">ktorých </w:t>
      </w:r>
      <w:r w:rsidRPr="004D73C4">
        <w:t>bude naplnená vízia v oblasti informatizácie verejnej správy. Moderné IT dokážu priniesť inovácie pre lepšie fungovanie verejnej správy, podporiť komplexné reformy verejnej správy a zvýšiť jej efektívnosť a výkonnosť komplexnou digitalizáciou a automatizáciou spracovania podaní.</w:t>
      </w:r>
    </w:p>
    <w:p w14:paraId="4AD92B70" w14:textId="77777777" w:rsidR="00105998" w:rsidRPr="004D73C4" w:rsidRDefault="00105998" w:rsidP="009D5A03">
      <w:r w:rsidRPr="004D73C4">
        <w:t>V predchádzajúcom období boli vytvorené podmienky, ktoré zvyšujú pravdepodobnosť, že sa stanovené ciele podarí splniť. Zlepšenú pozíciu pre realizáciu cieľov vytvárajú:</w:t>
      </w:r>
    </w:p>
    <w:p w14:paraId="086438FD" w14:textId="77777777" w:rsidR="00105998" w:rsidRPr="004D73C4" w:rsidRDefault="490157B0" w:rsidP="009D5A03">
      <w:pPr>
        <w:pStyle w:val="Odsekzoznamu"/>
      </w:pPr>
      <w:r>
        <w:t xml:space="preserve">zrealizované a pripravované legislatívne zmeny a metodické usmernenia (zmeny zákona o e-Governmente, nový </w:t>
      </w:r>
      <w:r w:rsidR="5BFB02AB">
        <w:t>zákon č. 95/2019 Z. z. o informačných technológiách vo verejnej správe a o zmene a doplnení niektorých zákonov (ďalej len „</w:t>
      </w:r>
      <w:r>
        <w:t>zákon o</w:t>
      </w:r>
      <w:r w:rsidR="1D6F0754">
        <w:t> </w:t>
      </w:r>
      <w:r>
        <w:t>ITVS</w:t>
      </w:r>
      <w:r w:rsidR="1D6F0754">
        <w:t>“</w:t>
      </w:r>
      <w:r w:rsidR="5BFB02AB">
        <w:t>)</w:t>
      </w:r>
      <w:r>
        <w:t xml:space="preserve"> a nadväzujúce vyhlášky, ktoré podrobnejšie popisujú spôsob plnenia zákonných povinností, Metodické usmernenie pre tvorbu používateľsky kvalitných elektronických služieb verejnej správy, pripravovaný zákon o údajoch),</w:t>
      </w:r>
    </w:p>
    <w:p w14:paraId="07EAF876" w14:textId="77777777" w:rsidR="00105998" w:rsidRPr="004D73C4" w:rsidRDefault="490157B0" w:rsidP="009D5A03">
      <w:pPr>
        <w:pStyle w:val="Odsekzoznamu"/>
      </w:pPr>
      <w:r>
        <w:t>kontrolná činnosť zameraná na dodržiavanie povinností ustanovených v zákonoch o e-Governmente a ITVS a účinnosť plnenia opatrení prijatých na odstránenie zistených nedostatkov,</w:t>
      </w:r>
    </w:p>
    <w:p w14:paraId="5C4A8355" w14:textId="77777777" w:rsidR="00105998" w:rsidRPr="004D73C4" w:rsidRDefault="490157B0" w:rsidP="009D5A03">
      <w:pPr>
        <w:pStyle w:val="Odsekzoznamu"/>
      </w:pPr>
      <w:r>
        <w:t xml:space="preserve">sankčný mechanizmus s cieľom zabrániť opätovnému porušovaniu povinností vyplývajúcich z legislatívy, </w:t>
      </w:r>
    </w:p>
    <w:p w14:paraId="319D441F" w14:textId="77777777" w:rsidR="00105998" w:rsidRPr="004D73C4" w:rsidRDefault="490157B0" w:rsidP="009D5A03">
      <w:pPr>
        <w:pStyle w:val="Odsekzoznamu"/>
      </w:pPr>
      <w:r>
        <w:t>rozpracovanie detailov spôsobu realizácie cieľov cez strategické priority stanovené v NKIVS,</w:t>
      </w:r>
    </w:p>
    <w:p w14:paraId="794B36D8" w14:textId="77777777" w:rsidR="00105998" w:rsidRPr="004D73C4" w:rsidRDefault="490157B0" w:rsidP="009D5A03">
      <w:pPr>
        <w:pStyle w:val="Odsekzoznamu"/>
      </w:pPr>
      <w:r>
        <w:t>realizované digitalizácie rezortných agend,</w:t>
      </w:r>
    </w:p>
    <w:p w14:paraId="5583F7A6" w14:textId="77777777" w:rsidR="00105998" w:rsidRPr="004D73C4" w:rsidRDefault="490157B0" w:rsidP="009D5A03">
      <w:pPr>
        <w:pStyle w:val="Odsekzoznamu"/>
      </w:pPr>
      <w:r>
        <w:t>vytvorený Rámec pre slovenskú sémantickú interoperabilitu údajov verejnej správy,</w:t>
      </w:r>
    </w:p>
    <w:p w14:paraId="42C08CD2" w14:textId="77777777" w:rsidR="00105998" w:rsidRPr="004D73C4" w:rsidRDefault="490157B0" w:rsidP="009D5A03">
      <w:pPr>
        <w:pStyle w:val="Odsekzoznamu"/>
      </w:pPr>
      <w:r>
        <w:t>vytvorené základné komponenty pre integráciu údajov (Modul procesnej integrácie a integrácie údajov realizovaný informačným systémom Centrálna správa referenčných údajov),</w:t>
      </w:r>
    </w:p>
    <w:p w14:paraId="6FE7353E" w14:textId="77777777" w:rsidR="00105998" w:rsidRPr="004D73C4" w:rsidRDefault="490157B0" w:rsidP="009D5A03">
      <w:pPr>
        <w:pStyle w:val="Odsekzoznamu"/>
      </w:pPr>
      <w:r>
        <w:t>pripravené ďalšie projekty IT, hlavne pre oblasť integrácií a manažmentu údajov, ktoré majú oporu v platnej a účinnej, ale aj pripravovanej legislatíve (</w:t>
      </w:r>
      <w:r w:rsidR="0DF9386A">
        <w:t xml:space="preserve">novela </w:t>
      </w:r>
      <w:r>
        <w:t>zákon</w:t>
      </w:r>
      <w:r w:rsidR="0DF9386A">
        <w:t>a</w:t>
      </w:r>
      <w:r>
        <w:t xml:space="preserve"> o e-Governmente, pripravovaný zákon o údajoch, ale aj </w:t>
      </w:r>
      <w:r w:rsidR="0DF9386A">
        <w:t xml:space="preserve">novela </w:t>
      </w:r>
      <w:r>
        <w:t>zákon</w:t>
      </w:r>
      <w:r w:rsidR="0DF9386A">
        <w:t>a</w:t>
      </w:r>
      <w:r>
        <w:t xml:space="preserve"> proti byrokracii),</w:t>
      </w:r>
    </w:p>
    <w:p w14:paraId="13F28D61" w14:textId="77777777" w:rsidR="00105998" w:rsidRPr="004D73C4" w:rsidRDefault="490157B0" w:rsidP="009D5A03">
      <w:pPr>
        <w:pStyle w:val="Odsekzoznamu"/>
      </w:pPr>
      <w:r>
        <w:t>vývoj IT a služieb súvisiacich s IT,</w:t>
      </w:r>
    </w:p>
    <w:p w14:paraId="5B266D78" w14:textId="77777777" w:rsidR="00105998" w:rsidRPr="004D73C4" w:rsidRDefault="0DF9386A" w:rsidP="009D5A03">
      <w:pPr>
        <w:pStyle w:val="Odsekzoznamu"/>
        <w:rPr>
          <w:b/>
          <w:bCs/>
        </w:rPr>
      </w:pPr>
      <w:r>
        <w:t>Koncepcia</w:t>
      </w:r>
      <w:r w:rsidR="490157B0">
        <w:t xml:space="preserve"> digitálnej transformácie verejnej správy.</w:t>
      </w:r>
    </w:p>
    <w:p w14:paraId="6C428D60" w14:textId="77777777" w:rsidR="00105998" w:rsidRPr="004D73C4" w:rsidRDefault="00105998" w:rsidP="009D5A03">
      <w:r w:rsidRPr="004D73C4">
        <w:lastRenderedPageBreak/>
        <w:t>Potreba prekonania pôvodne stanovených cieľov vyplýva nielen z lepšej pozície ale aj z nových požiadaviek:</w:t>
      </w:r>
    </w:p>
    <w:p w14:paraId="50369495" w14:textId="77777777" w:rsidR="00105998" w:rsidRPr="004D73C4" w:rsidRDefault="490157B0" w:rsidP="009D5A03">
      <w:pPr>
        <w:pStyle w:val="Odsekzoznamu"/>
      </w:pPr>
      <w:r>
        <w:t>pandemická kríza počas rokov 2020 – 2021 zvyšuje tlak na realizáciu služieb verejnej správy online,</w:t>
      </w:r>
    </w:p>
    <w:p w14:paraId="58EF09F2" w14:textId="77777777" w:rsidR="00105998" w:rsidRPr="004D73C4" w:rsidRDefault="55AD5A01" w:rsidP="00B86512">
      <w:pPr>
        <w:pStyle w:val="Odsekzoznamu"/>
      </w:pPr>
      <w:r>
        <w:t xml:space="preserve">neustály vývoj a nové požiadavky na elektronizáciu verejnej správy na EÚ úrovni, ako sú napr. rôzne deklarácie, oznámenia, nariadenia, či </w:t>
      </w:r>
      <w:r w:rsidR="490157B0">
        <w:t>iné právne záväzné akty EÚ, hlavne nariadenie č. 2018/1724 z roku 2018 o zriadení jednotnej digitálnej brány vyžadujú poskytovanie online služieb nielen pre občanov SR ale aj EÚ,</w:t>
      </w:r>
    </w:p>
    <w:p w14:paraId="655D5F61" w14:textId="77777777" w:rsidR="00105998" w:rsidRPr="004D73C4" w:rsidRDefault="490157B0" w:rsidP="009D5A03">
      <w:pPr>
        <w:pStyle w:val="Odsekzoznamu"/>
        <w:rPr>
          <w:b/>
          <w:bCs/>
        </w:rPr>
      </w:pPr>
      <w:r>
        <w:t>rozšírenosť mobilných zariadení a zvyšujúca sa preferencia používať mobilné zariadenia pri využívaní online služieb, ktoré sú jedným z dôvodov intenzívneho vyvíjania mobilného ID a súvisiacich služieb vyplývajúcich napr. aj z konceptu „Mojich údajov“, či „Stop byrokracii</w:t>
      </w:r>
      <w:r w:rsidR="0F05B312">
        <w:t>“</w:t>
      </w:r>
      <w:r>
        <w:t>.</w:t>
      </w:r>
    </w:p>
    <w:p w14:paraId="4A20FD9B" w14:textId="77777777" w:rsidR="00105998" w:rsidRDefault="00E13200" w:rsidP="009D5A03">
      <w:r w:rsidRPr="004D73C4">
        <w:t xml:space="preserve">Každý </w:t>
      </w:r>
      <w:r w:rsidR="0095226B" w:rsidRPr="004D73C4">
        <w:t xml:space="preserve">strategický </w:t>
      </w:r>
      <w:r w:rsidRPr="004D73C4">
        <w:t xml:space="preserve">cieľ obsahuje priority pre </w:t>
      </w:r>
      <w:r w:rsidR="0095226B" w:rsidRPr="004D73C4">
        <w:t xml:space="preserve">ich </w:t>
      </w:r>
      <w:r w:rsidRPr="004D73C4">
        <w:t xml:space="preserve">plnenie. </w:t>
      </w:r>
      <w:r w:rsidR="00105998" w:rsidRPr="004D73C4">
        <w:t xml:space="preserve">Pre každý </w:t>
      </w:r>
      <w:r w:rsidR="00EC6AF6" w:rsidRPr="004D73C4">
        <w:t xml:space="preserve">strategický </w:t>
      </w:r>
      <w:r w:rsidR="00105998" w:rsidRPr="004D73C4">
        <w:t>cieľ</w:t>
      </w:r>
      <w:r w:rsidR="00A60749">
        <w:t xml:space="preserve"> a </w:t>
      </w:r>
      <w:r w:rsidRPr="004D73C4">
        <w:t>prioritu</w:t>
      </w:r>
      <w:r w:rsidR="00105998" w:rsidRPr="004D73C4">
        <w:t xml:space="preserve"> sú navrhnuté ukazovatele, uvedené v prílohe č. 2, ktoré boli a budú pravidelne a transparentne vyhodnocované. Cieľové hodnoty vyjadrujú žiadanú ambíciu a očakávanú pozitívnu zmenu. Tieto ukazovatele ako aj hodnoty sa prehodnocujú tak, aby zohľadňovali dynamiku v oblasti </w:t>
      </w:r>
      <w:r w:rsidR="0095226B" w:rsidRPr="004D73C4">
        <w:t xml:space="preserve">IT </w:t>
      </w:r>
      <w:r w:rsidR="00105998" w:rsidRPr="004D73C4">
        <w:t>v európskom priestore. Zoznam strategických cieľov tiež slúži ako rámec pre inštitúcie pri príprave vlastných KRIT.</w:t>
      </w:r>
    </w:p>
    <w:p w14:paraId="6EADF654" w14:textId="77777777" w:rsidR="00892594" w:rsidRPr="004D73C4" w:rsidRDefault="00892594" w:rsidP="009D5A03"/>
    <w:p w14:paraId="22CFD83F" w14:textId="0DDD192D" w:rsidR="00105998" w:rsidRPr="004D73C4" w:rsidRDefault="4EB8E30E" w:rsidP="009D5A03">
      <w:pPr>
        <w:pStyle w:val="Popis"/>
      </w:pPr>
      <w:r>
        <w:rPr>
          <w:noProof/>
          <w:lang w:eastAsia="sk-SK"/>
        </w:rPr>
        <w:drawing>
          <wp:inline distT="0" distB="0" distL="0" distR="0" wp14:anchorId="79E73AD2" wp14:editId="36C874FD">
            <wp:extent cx="5667026" cy="28800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16">
                      <a:extLst>
                        <a:ext uri="{28A0092B-C50C-407E-A947-70E740481C1C}">
                          <a14:useLocalDpi xmlns:a14="http://schemas.microsoft.com/office/drawing/2010/main" val="0"/>
                        </a:ext>
                      </a:extLst>
                    </a:blip>
                    <a:stretch>
                      <a:fillRect/>
                    </a:stretch>
                  </pic:blipFill>
                  <pic:spPr>
                    <a:xfrm>
                      <a:off x="0" y="0"/>
                      <a:ext cx="5667026" cy="2880000"/>
                    </a:xfrm>
                    <a:prstGeom prst="rect">
                      <a:avLst/>
                    </a:prstGeom>
                  </pic:spPr>
                </pic:pic>
              </a:graphicData>
            </a:graphic>
          </wp:inline>
        </w:drawing>
      </w:r>
      <w:r w:rsidR="490157B0">
        <w:t xml:space="preserve">Obrázok </w:t>
      </w:r>
      <w:r w:rsidRPr="190F7DBA">
        <w:rPr>
          <w:color w:val="2B579A"/>
        </w:rPr>
        <w:fldChar w:fldCharType="begin"/>
      </w:r>
      <w:r>
        <w:instrText xml:space="preserve"> SEQ Obrázok \* ARABIC </w:instrText>
      </w:r>
      <w:r w:rsidRPr="190F7DBA">
        <w:rPr>
          <w:color w:val="2B579A"/>
        </w:rPr>
        <w:fldChar w:fldCharType="separate"/>
      </w:r>
      <w:r w:rsidR="00873A9F">
        <w:rPr>
          <w:noProof/>
        </w:rPr>
        <w:t>2</w:t>
      </w:r>
      <w:r w:rsidRPr="190F7DBA">
        <w:rPr>
          <w:noProof/>
          <w:color w:val="2B579A"/>
        </w:rPr>
        <w:fldChar w:fldCharType="end"/>
      </w:r>
      <w:r w:rsidR="490157B0">
        <w:t>: Prehľad strategických cieľov</w:t>
      </w:r>
      <w:bookmarkStart w:id="33" w:name="_Toc58697730"/>
      <w:r w:rsidR="58290FF1">
        <w:t xml:space="preserve"> a</w:t>
      </w:r>
      <w:r>
        <w:t> </w:t>
      </w:r>
      <w:r w:rsidR="58290FF1">
        <w:t>priorít</w:t>
      </w:r>
    </w:p>
    <w:p w14:paraId="1AA7B9BD" w14:textId="77777777" w:rsidR="00727522" w:rsidRPr="004D73C4" w:rsidRDefault="00727522" w:rsidP="00777239"/>
    <w:p w14:paraId="2F8D3AC3" w14:textId="77777777" w:rsidR="005D7E4E" w:rsidRPr="004D73C4" w:rsidRDefault="005D7E4E" w:rsidP="002B60D7">
      <w:pPr>
        <w:pStyle w:val="Nadpis2"/>
      </w:pPr>
      <w:bookmarkStart w:id="34" w:name="_Toc69297688"/>
      <w:bookmarkStart w:id="35" w:name="_Toc70369653"/>
      <w:bookmarkStart w:id="36" w:name="_Toc70711593"/>
      <w:r w:rsidRPr="004D73C4">
        <w:t>Digitálne služby</w:t>
      </w:r>
      <w:bookmarkEnd w:id="34"/>
      <w:bookmarkEnd w:id="35"/>
      <w:bookmarkEnd w:id="36"/>
    </w:p>
    <w:p w14:paraId="58142008" w14:textId="77777777" w:rsidR="002317FB" w:rsidRDefault="002317FB" w:rsidP="002317FB">
      <w:r>
        <w:t xml:space="preserve">Partnerstvo medzi občanom a štátom začína ponukou dobre pripravených služieb. </w:t>
      </w:r>
    </w:p>
    <w:p w14:paraId="171DC0E7" w14:textId="77777777" w:rsidR="002317FB" w:rsidRDefault="002317FB" w:rsidP="002317FB">
      <w:r>
        <w:t>Cieľom digitalizácie verejnej správy je zabezpečenie kvalitných digitálnych služieb pre občanov a podnikateľov. Keď si občan vybavuje nemocenskú dávku, dávky v nezamestnanosti, žiada o príspevok pri narodení dieťaťa, registruje vozidlo, podáva daňové priznanie, mení trvalé bydlisko, zakladá živnosť alebo firmu, využíva služby štátu.</w:t>
      </w:r>
    </w:p>
    <w:p w14:paraId="6B7E2A44" w14:textId="77777777" w:rsidR="002317FB" w:rsidRDefault="002317FB" w:rsidP="002317FB">
      <w:r>
        <w:t>Prirodzene všetci občania chcú jednoduchú a rýchlu komunikáciu so štátom. Chcú dostať všetky potrebné informácie bez námahy. Želajú si, aby im a blízkym aktívne pomohli vtedy, keď to najviac potrebujú. Financovanie služieb štátu z daní občanov, z nich robí najdôležitejších akcionárov a klientov. Pri rozvoji štátnych služieb sa logicky preto plnia predovšetkým potreby a očakávania ich používateľov.</w:t>
      </w:r>
    </w:p>
    <w:p w14:paraId="6228766D" w14:textId="77777777" w:rsidR="002317FB" w:rsidRDefault="002317FB" w:rsidP="002317FB">
      <w:r>
        <w:t xml:space="preserve">Občan môže používať služby štátu každodenne. Rôzne životné udalosti pre neho predstavujú potrebu využitia služieb štátu a digitálne služby predstavujú novú prvú líniu komunikácie štátu a občana. </w:t>
      </w:r>
      <w:r>
        <w:lastRenderedPageBreak/>
        <w:t>Nahrádzajú priamu osobnú interakciu občana s úradníkom. Všetko je možné vybaviť z domu. Služby sú pripravené spôsobom, ktorý je nielen zrozumiteľný, ale aj pohodlný na používanie.</w:t>
      </w:r>
    </w:p>
    <w:p w14:paraId="45541A06" w14:textId="77777777" w:rsidR="002317FB" w:rsidRDefault="002317FB" w:rsidP="002317FB">
      <w:r>
        <w:t>Služby sú jednoducho vyhľadateľné a prehľadné. Pre uľahčenie orientácie, štát poskytuje jedno východiskové miesto, webové sídlo, portál všetkých digitálnych služieb štátu. Portál občana naviguje, kvalitne spracovaný obsah vytvára hodnotový základ partnerstva štátu a občana pre úroveň služieb.</w:t>
      </w:r>
    </w:p>
    <w:p w14:paraId="46773DA2" w14:textId="77777777" w:rsidR="002317FB" w:rsidRDefault="002317FB" w:rsidP="002317FB">
      <w:r>
        <w:t>Jednoduché vyhľadávanie a jasná navigácia je len začiatok. Moderný e-Government vníma životné udalosti celistvo, poskytuje služby občanovi ako logický sled pokrývajúci danú životnú udalosť, nekúskuje ich podľa kompetencií ministerstiev. Vybavovaním služieb spojených s udalosťou teda prechádza občan plynule. Vytvára sa tak dobrá používateľská skúsenosť, ktorá je tvorená aj pocitom istoty a kontroly. Počas používania služby má občan prehľad o stave služby. Priebežne dostáva informácie, ktoré potvrdzujú, že všetko prebieha v poriadku alebo ho vyzývajú k dodatočnej akcii.</w:t>
      </w:r>
    </w:p>
    <w:p w14:paraId="67844771" w14:textId="77777777" w:rsidR="002317FB" w:rsidRDefault="002317FB" w:rsidP="002317FB">
      <w:r>
        <w:t>Pocit istoty prináša aj virtuálna podpora, ktorú štát poskytuje v podobe digitálneho úradníka. Služby sú k dispozícií tak, že si ich občan dokáže vybaviť úplne sám online alebo s online podporou digitálneho úradníka. Občan využíva svoju elektronickú osobnú zónu, v ktorej má prístupné všetky informácie o svojich realizovaných službách, stave aktuálneho vybavovania a proaktívne návrhy štátu. Osobný profil občana a ním zadané preferencie pomáhajú efektívnej komunikácii počas priebehu služby.</w:t>
      </w:r>
    </w:p>
    <w:p w14:paraId="58B5A0DA" w14:textId="77777777" w:rsidR="002317FB" w:rsidRDefault="002317FB" w:rsidP="002317FB">
      <w:r>
        <w:t xml:space="preserve">Občana sa zapája do rozvoja digitálnych služieb, má možnosť vyjadriť sa k službe počas celého vybavovania a na koniec zadať aj spätnú väzbu. To pomáha rozvíjať služby aj pre iných používateľov. Služby sú ponúkané občanovi proaktívne. Štát s ním komunikuje osobne prostredníctvom osobnej zóny klienta. </w:t>
      </w:r>
    </w:p>
    <w:p w14:paraId="4AE8AD20" w14:textId="77777777" w:rsidR="005D7E4E" w:rsidRPr="004D73C4" w:rsidRDefault="002317FB" w:rsidP="002317FB">
      <w:r>
        <w:t>Takto nastavenými službami vzniká partnerstvo, ktoré prináša úplné novú dimenziu vzťahu štát a občan. Štát sa stáva občanovi partnerom, vytvára komfortný priestor istoty, ktorý mu pomáha plniť si svoje povinnosti a uplatňovať si práva ľahšie, bez zbytočnej záťaže.</w:t>
      </w:r>
    </w:p>
    <w:p w14:paraId="5B468DF9" w14:textId="77777777" w:rsidR="005D7E4E" w:rsidRPr="004D73C4" w:rsidRDefault="005D7E4E" w:rsidP="00E362F7">
      <w:pPr>
        <w:pStyle w:val="Nadpis3"/>
      </w:pPr>
      <w:bookmarkStart w:id="37" w:name="_Toc69297689"/>
      <w:bookmarkStart w:id="38" w:name="_Toc70369654"/>
      <w:bookmarkStart w:id="39" w:name="_Toc70711594"/>
      <w:r w:rsidRPr="00E362F7">
        <w:t>Skutočne</w:t>
      </w:r>
      <w:r w:rsidRPr="004D73C4">
        <w:t xml:space="preserve"> </w:t>
      </w:r>
      <w:r w:rsidR="002317FB">
        <w:t>D</w:t>
      </w:r>
      <w:r w:rsidRPr="004D73C4">
        <w:t>igitálne služby</w:t>
      </w:r>
      <w:bookmarkEnd w:id="37"/>
      <w:bookmarkEnd w:id="38"/>
      <w:bookmarkEnd w:id="39"/>
    </w:p>
    <w:p w14:paraId="3CC17222" w14:textId="77777777" w:rsidR="005D7E4E" w:rsidRPr="004D73C4" w:rsidRDefault="005D7E4E" w:rsidP="00D24CB0">
      <w:pPr>
        <w:rPr>
          <w:rFonts w:eastAsiaTheme="majorEastAsia" w:cstheme="majorBidi"/>
        </w:rPr>
      </w:pPr>
      <w:r w:rsidRPr="004D73C4">
        <w:rPr>
          <w:noProof/>
          <w:color w:val="2B579A"/>
          <w:shd w:val="clear" w:color="auto" w:fill="E6E6E6"/>
          <w:lang w:eastAsia="sk-SK"/>
        </w:rPr>
        <w:drawing>
          <wp:anchor distT="0" distB="0" distL="114300" distR="114300" simplePos="0" relativeHeight="251677696" behindDoc="0" locked="0" layoutInCell="1" allowOverlap="1" wp14:anchorId="433CDA90" wp14:editId="10999930">
            <wp:simplePos x="0" y="0"/>
            <wp:positionH relativeFrom="column">
              <wp:posOffset>74883</wp:posOffset>
            </wp:positionH>
            <wp:positionV relativeFrom="paragraph">
              <wp:posOffset>93980</wp:posOffset>
            </wp:positionV>
            <wp:extent cx="5486400" cy="3288354"/>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14:paraId="644452AC" w14:textId="77777777" w:rsidR="005D7E4E" w:rsidRPr="004D73C4" w:rsidRDefault="005D7E4E" w:rsidP="00D24CB0">
      <w:pPr>
        <w:rPr>
          <w:rFonts w:eastAsiaTheme="majorEastAsia" w:cstheme="majorBidi"/>
        </w:rPr>
      </w:pPr>
    </w:p>
    <w:p w14:paraId="2C2485E6" w14:textId="77777777" w:rsidR="005D7E4E" w:rsidRPr="004D73C4" w:rsidRDefault="005D7E4E" w:rsidP="00D24CB0">
      <w:pPr>
        <w:rPr>
          <w:rFonts w:eastAsiaTheme="majorEastAsia" w:cstheme="majorBidi"/>
        </w:rPr>
      </w:pPr>
    </w:p>
    <w:p w14:paraId="1031943C" w14:textId="77777777" w:rsidR="005D7E4E" w:rsidRPr="004D73C4" w:rsidRDefault="005D7E4E" w:rsidP="00D24CB0">
      <w:pPr>
        <w:rPr>
          <w:rFonts w:eastAsiaTheme="majorEastAsia" w:cstheme="majorBidi"/>
        </w:rPr>
      </w:pPr>
    </w:p>
    <w:p w14:paraId="591086CE" w14:textId="77777777" w:rsidR="005D7E4E" w:rsidRPr="004D73C4" w:rsidRDefault="005D7E4E" w:rsidP="00D24CB0">
      <w:pPr>
        <w:rPr>
          <w:rFonts w:eastAsiaTheme="majorEastAsia" w:cstheme="majorBidi"/>
        </w:rPr>
      </w:pPr>
    </w:p>
    <w:p w14:paraId="6A1071D6" w14:textId="77777777" w:rsidR="005D7E4E" w:rsidRPr="004D73C4" w:rsidRDefault="005D7E4E" w:rsidP="00D24CB0">
      <w:pPr>
        <w:rPr>
          <w:rFonts w:eastAsiaTheme="majorEastAsia" w:cstheme="majorBidi"/>
        </w:rPr>
      </w:pPr>
    </w:p>
    <w:p w14:paraId="13EC1941" w14:textId="77777777" w:rsidR="005D7E4E" w:rsidRPr="004D73C4" w:rsidRDefault="005D7E4E" w:rsidP="00D24CB0">
      <w:pPr>
        <w:rPr>
          <w:rFonts w:eastAsiaTheme="majorEastAsia" w:cstheme="majorBidi"/>
        </w:rPr>
      </w:pPr>
    </w:p>
    <w:p w14:paraId="6391856A" w14:textId="77777777" w:rsidR="005D7E4E" w:rsidRPr="004D73C4" w:rsidRDefault="005D7E4E" w:rsidP="00D24CB0">
      <w:pPr>
        <w:rPr>
          <w:rFonts w:eastAsiaTheme="majorEastAsia" w:cstheme="majorBidi"/>
        </w:rPr>
      </w:pPr>
    </w:p>
    <w:p w14:paraId="60B81331" w14:textId="77777777" w:rsidR="002317FB" w:rsidRDefault="002317FB" w:rsidP="002317FB">
      <w:r>
        <w:t xml:space="preserve">Skutočne digitálne služby sú prehľadné a praktické. Nevytvárajú starosti, ale prinášajú riešenia. Využívajú dostupné možnosti moderných technológií na to, aby si kontakt so štátom zo strany občana alebo podnikateľa vyžadoval len nevyhnutné úkony. </w:t>
      </w:r>
    </w:p>
    <w:p w14:paraId="10C516EB" w14:textId="77777777" w:rsidR="002317FB" w:rsidRDefault="002317FB" w:rsidP="3912845A">
      <w:r>
        <w:t>Prvé kroky k poskytovaniu skutočne digitálnych služieb robia ich prevádzkovatelia samostatne. Začínajú prehľadným</w:t>
      </w:r>
      <w:r w:rsidR="00934846">
        <w:t xml:space="preserve"> </w:t>
      </w:r>
      <w:r>
        <w:t>dizajnom a nastavením svojich služieb. Sú vytvorené ako ľahko vyhľadateľné a zrozumiteľné. Znižuje sa počet údajov, ktoré musí používateľ zadávať a počet krokov potrebných k dosiahnutiu cieľa. Služby si nepýtajú údaje, ktoré už štát niekedy získal. Nie je potrebné manuálne zapisovať údaje do formulárov</w:t>
      </w:r>
      <w:r w:rsidR="29D83C4C">
        <w:t>, pretože budú automaticky vyplnené</w:t>
      </w:r>
      <w:r>
        <w:t>. Nahrádza ich len potvrdzovanie správnosti</w:t>
      </w:r>
      <w:r w:rsidR="6BA21FC4">
        <w:t xml:space="preserve"> a to len v prípade, ak by existovali pochybnosti o ich správnosti</w:t>
      </w:r>
      <w:r>
        <w:t xml:space="preserve">. Občan </w:t>
      </w:r>
      <w:r w:rsidR="1D5F3819">
        <w:t xml:space="preserve">službami </w:t>
      </w:r>
      <w:r>
        <w:t xml:space="preserve">prechádza plynule s minimálnym počtom krokov bez ohľadu na to, aká inštitúcia službu poskytuje. </w:t>
      </w:r>
    </w:p>
    <w:p w14:paraId="740D0039" w14:textId="77777777" w:rsidR="002317FB" w:rsidRDefault="002317FB" w:rsidP="002317FB">
      <w:r>
        <w:t xml:space="preserve">Používateľsky prívetivý dizajn sprevádza zrozumiteľná navigácia, ktorá používateľom šetrí čas a námahu. Je napísaná ľudskou rečou a z perspektívy používateľa. Je vecná, stručná a je z nej jasné, komu je určená. Navigáciu tvoria aj grafické alebo audio-vizuálne prvky, ktoré intuitívne usmerňujú </w:t>
      </w:r>
      <w:r>
        <w:lastRenderedPageBreak/>
        <w:t>používateľov medzi jednotlivými krokmi. Keď je to vhodné, upozorní na ďalšie súvisiace informácie, ktoré by sa mali používateľovi hodiť a ponúka ich proaktívne v správny čas na správnom mieste.</w:t>
      </w:r>
    </w:p>
    <w:p w14:paraId="31CE7628" w14:textId="77777777" w:rsidR="002317FB" w:rsidRDefault="002317FB" w:rsidP="002317FB">
      <w:r>
        <w:t xml:space="preserve">Skutočne digitálne služby sú plné užitočných funkcií. Umožňujú priebežne sledovať stav vybavenia, nechať sa upozorniť alebo požiadať o poskytnutie personalizovanej podpory prostredníctvom digitálneho úradníka. Sú dostupné aj cez mobilné zariadenia, ale stále s jednotným rozhraním a ponukou služieb. Ak to technológia dovoľuje, sú tvorené responzívne pre rôzne zariadenia a platformy. </w:t>
      </w:r>
    </w:p>
    <w:p w14:paraId="5897A24A" w14:textId="77777777" w:rsidR="002317FB" w:rsidRDefault="002317FB" w:rsidP="002317FB">
      <w:r>
        <w:t>Skutočne digitálne služby nerobia rozdiely podľa národnosti. Sú plnohodnotne dostupné občanom a podnikateľom ostatných krajín EÚ, ako aj znevýhodneným osobám.</w:t>
      </w:r>
    </w:p>
    <w:p w14:paraId="4C39CED8" w14:textId="04D07EAA" w:rsidR="002317FB" w:rsidRDefault="002317FB" w:rsidP="002317FB">
      <w:r>
        <w:t>Za skutočné digitálne služby občan platí rovnako jednoducho, ako je n</w:t>
      </w:r>
      <w:r w:rsidR="00746A51">
        <w:t xml:space="preserve">a to zvyknutý pri nakupovaní </w:t>
      </w:r>
      <w:r w:rsidR="00D47146">
        <w:br/>
      </w:r>
      <w:r w:rsidR="00746A51">
        <w:t xml:space="preserve">v </w:t>
      </w:r>
      <w:r>
        <w:t>e</w:t>
      </w:r>
      <w:r w:rsidR="00746A51">
        <w:t>-</w:t>
      </w:r>
      <w:r>
        <w:t>shopoch. Štát zabezpečuje najmä bezpečnosť a nákladovú-efektívnosť použitých platobných metód.</w:t>
      </w:r>
    </w:p>
    <w:p w14:paraId="60C105C4" w14:textId="77777777" w:rsidR="002317FB" w:rsidRDefault="002317FB" w:rsidP="002317FB">
      <w:r>
        <w:t xml:space="preserve">Aktívne sa zbiera </w:t>
      </w:r>
      <w:r w:rsidR="0F916CEB">
        <w:t xml:space="preserve">a analyzuje </w:t>
      </w:r>
      <w:r>
        <w:t>spätná väzba od používateľov. Tí majú možnosť nahlásiť problém, napísať komentár, vyjadriť spokojnosť alebo dať návrh na zlepšenie kedykoľvek v procese vybavovania.</w:t>
      </w:r>
    </w:p>
    <w:p w14:paraId="68070D1D" w14:textId="77777777" w:rsidR="002317FB" w:rsidRDefault="002317FB" w:rsidP="002317FB">
      <w:r>
        <w:t xml:space="preserve">Hodnota digitálnych služieb vzrastá vtedy, keď sú logicky prepojené a intuitívne usporiadané s ďalšími súvisiacimi službami. Poskytovateľ služby sa zaujíma o ich využitie v životných situáciách a zaujíma sa aj o to, ako občania využívajú služby iných strán. </w:t>
      </w:r>
    </w:p>
    <w:p w14:paraId="718EF45D" w14:textId="77777777" w:rsidR="002317FB" w:rsidRDefault="002317FB" w:rsidP="002317FB">
      <w:r>
        <w:t>Poskytovanie skutočne digitálnych služieb sa nie je možné bez spolupráce s ďalšími súvisiacimi inštitúciami. Prvým míľnikom takej spolupráce je prepojenie služieb na úrovni životnej situácie pomocou interaktívneho návodu. Súvisiace služby majú spoločný návod, v rámci ktorého sú logicky zoradené na ústrednom portáli verejnej správy a na vlastných portáloch organizácií. Inštitúcie sú priebežne informované o prípadných zmenách a nutnosti aktualizovať návody.</w:t>
      </w:r>
    </w:p>
    <w:p w14:paraId="14418408" w14:textId="77777777" w:rsidR="002317FB" w:rsidRDefault="002317FB" w:rsidP="002317FB">
      <w:r>
        <w:t>Druhým míľnikom aktívnej spolupráce sú prepojené agendové informačné systémy a referenčné registre. Efektívne prepojenie systémov umožňuje zlúčiť súvisiace služby a súčasne minimalizovať používateľské interakcie či nevyhnutnosť manuálneho vypĺňania údajov. Pôvodne samostatné digitálne služby sú nakoniec spoločnými silami pretvorené do jednotného celku, ktorý rieši každú životnú situáciu.</w:t>
      </w:r>
    </w:p>
    <w:p w14:paraId="3072DE48" w14:textId="77777777" w:rsidR="002317FB" w:rsidRDefault="002317FB" w:rsidP="002317FB">
      <w:r>
        <w:t xml:space="preserve">V poskytovaní digitálnych služieb a digitálnej podpory si štát dôveruje. Proaktívne občanov a podnikateľov motivuje, aby s ním komunikovali digitálne. Postupne sa tomu prispôsobuje aj vnútorná organizácia práce a procesy vybavovania. </w:t>
      </w:r>
    </w:p>
    <w:p w14:paraId="41C62C8C" w14:textId="77777777" w:rsidR="005D7E4E" w:rsidRPr="004D73C4" w:rsidRDefault="009D3F25" w:rsidP="002317FB">
      <w:r>
        <w:t>Jednotlivé inštitúcie reprezentujúce štát sú takýmto spôsobom postupne digitalizované. Sú transformované zvnútra (pozri kapitola Digitálna transformácia verejnej správy) a zvonka, takže jednoduchšiu komunikáciu so štátom reálne pociťuje občan aj podnikateľ. Vonkajšia digitálna transformácia</w:t>
      </w:r>
      <w:r w:rsidR="00B86512">
        <w:t>, ktorá primerane reaguje na najnovší technologický vývoj,</w:t>
      </w:r>
      <w:r>
        <w:t xml:space="preserve"> sa neprispôsobuje súčasne platnej legislatíve. Práve naopak, legislatíva sa priebežne prispôsobuje digitálnym možnostiam a konkrétnej predstave dosiahnuť jednoduché vybavovanie tak, ako sú občania na to zvyknutí pri kontakte s bankami alebo poisťovňami.</w:t>
      </w:r>
    </w:p>
    <w:p w14:paraId="6AA7E022" w14:textId="77777777" w:rsidR="005D7E4E" w:rsidRPr="004D73C4" w:rsidRDefault="005D7E4E" w:rsidP="00E362F7">
      <w:pPr>
        <w:pStyle w:val="Nadpis3"/>
      </w:pPr>
      <w:bookmarkStart w:id="40" w:name="_Toc69297690"/>
      <w:bookmarkStart w:id="41" w:name="_Toc70369655"/>
      <w:bookmarkStart w:id="42" w:name="_Toc70711595"/>
      <w:r w:rsidRPr="004D73C4">
        <w:t>Digitál</w:t>
      </w:r>
      <w:r w:rsidR="00D42A10" w:rsidRPr="004D73C4">
        <w:t>n</w:t>
      </w:r>
      <w:r w:rsidRPr="004D73C4">
        <w:t>y úradník</w:t>
      </w:r>
      <w:bookmarkEnd w:id="40"/>
      <w:bookmarkEnd w:id="41"/>
      <w:bookmarkEnd w:id="42"/>
    </w:p>
    <w:p w14:paraId="454E5A0F" w14:textId="769A79ED" w:rsidR="00730133" w:rsidRDefault="00746A51" w:rsidP="005D7E4E">
      <w:pPr>
        <w:rPr>
          <w:rFonts w:eastAsiaTheme="majorEastAsia" w:cstheme="majorBidi"/>
        </w:rPr>
      </w:pPr>
      <w:r w:rsidRPr="004D73C4">
        <w:rPr>
          <w:rFonts w:eastAsia="Calibri" w:cs="Calibri"/>
          <w:noProof/>
          <w:color w:val="000000" w:themeColor="text1"/>
          <w:shd w:val="clear" w:color="auto" w:fill="E6E6E6"/>
          <w:lang w:eastAsia="sk-SK"/>
        </w:rPr>
        <w:drawing>
          <wp:anchor distT="0" distB="0" distL="114300" distR="114300" simplePos="0" relativeHeight="251685888" behindDoc="0" locked="0" layoutInCell="1" allowOverlap="1" wp14:anchorId="6F9675DD" wp14:editId="76D8F232">
            <wp:simplePos x="0" y="0"/>
            <wp:positionH relativeFrom="column">
              <wp:posOffset>-17145</wp:posOffset>
            </wp:positionH>
            <wp:positionV relativeFrom="paragraph">
              <wp:posOffset>31115</wp:posOffset>
            </wp:positionV>
            <wp:extent cx="5779770" cy="3288030"/>
            <wp:effectExtent l="0" t="0" r="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anchor>
        </w:drawing>
      </w:r>
    </w:p>
    <w:p w14:paraId="69E1C5E4" w14:textId="1ED89A0C" w:rsidR="005D7E4E" w:rsidRPr="004D73C4" w:rsidRDefault="005D7E4E" w:rsidP="005D7E4E">
      <w:pPr>
        <w:rPr>
          <w:rFonts w:eastAsiaTheme="majorEastAsia" w:cstheme="majorBidi"/>
        </w:rPr>
      </w:pPr>
    </w:p>
    <w:p w14:paraId="1571B0DE" w14:textId="77777777" w:rsidR="005D7E4E" w:rsidRPr="004D73C4" w:rsidRDefault="005D7E4E" w:rsidP="005D7E4E">
      <w:pPr>
        <w:rPr>
          <w:rFonts w:eastAsiaTheme="majorEastAsia" w:cstheme="majorBidi"/>
        </w:rPr>
      </w:pPr>
    </w:p>
    <w:p w14:paraId="459B03D9" w14:textId="77777777" w:rsidR="005D7E4E" w:rsidRPr="004D73C4" w:rsidRDefault="005D7E4E" w:rsidP="005D7E4E">
      <w:pPr>
        <w:rPr>
          <w:rFonts w:eastAsiaTheme="majorEastAsia" w:cstheme="majorBidi"/>
        </w:rPr>
      </w:pPr>
    </w:p>
    <w:p w14:paraId="66EF7572" w14:textId="77777777" w:rsidR="005D7E4E" w:rsidRPr="004D73C4" w:rsidRDefault="005D7E4E" w:rsidP="005D7E4E">
      <w:pPr>
        <w:rPr>
          <w:rFonts w:eastAsiaTheme="majorEastAsia" w:cstheme="majorBidi"/>
        </w:rPr>
      </w:pPr>
    </w:p>
    <w:p w14:paraId="0B79798C" w14:textId="77777777" w:rsidR="005D7E4E" w:rsidRPr="004D73C4" w:rsidRDefault="005D7E4E" w:rsidP="005D7E4E">
      <w:pPr>
        <w:rPr>
          <w:rFonts w:eastAsiaTheme="majorEastAsia" w:cstheme="majorBidi"/>
        </w:rPr>
      </w:pPr>
    </w:p>
    <w:p w14:paraId="4E38AF40" w14:textId="77777777" w:rsidR="00D42A10" w:rsidRPr="004D73C4" w:rsidRDefault="00D42A10" w:rsidP="00D24CB0"/>
    <w:p w14:paraId="6FA7F759" w14:textId="77777777" w:rsidR="00D42A10" w:rsidRPr="004D73C4" w:rsidRDefault="00D42A10" w:rsidP="00D24CB0"/>
    <w:p w14:paraId="31B5E1BF" w14:textId="77777777" w:rsidR="005D7E4E" w:rsidRDefault="002317FB" w:rsidP="00D24CB0">
      <w:r w:rsidRPr="002317FB">
        <w:lastRenderedPageBreak/>
        <w:t>Štát je partnerom a poskytuje možnosť neustálej online podpory. Digitálne služby sú využiteľné z domu, bez problémov od začiatku až do konca. Pohodlné využívanie digitálnych služieb štátu môže mať tri hlavné scenáre</w:t>
      </w:r>
      <w:r>
        <w:t>:</w:t>
      </w:r>
      <w:r w:rsidR="005D7E4E" w:rsidRPr="004D73C4">
        <w:t xml:space="preserve"> </w:t>
      </w:r>
    </w:p>
    <w:p w14:paraId="29A23434" w14:textId="77777777" w:rsidR="002317FB" w:rsidRDefault="1F4082D6" w:rsidP="002317FB">
      <w:pPr>
        <w:pStyle w:val="Odsekzoznamu"/>
      </w:pPr>
      <w:r>
        <w:t xml:space="preserve">Prvý scenár využívania služieb je tzv. samoobsluha používateľa prostredníctvom kvalitnej a intuitívne použiteľnej služby s prívetivým dizajnom a intuitívnou navigáciou, bez potreby extra podpory. </w:t>
      </w:r>
    </w:p>
    <w:p w14:paraId="4EB9843C" w14:textId="77777777" w:rsidR="002317FB" w:rsidRDefault="1F4082D6" w:rsidP="002317FB">
      <w:pPr>
        <w:pStyle w:val="Odsekzoznamu"/>
      </w:pPr>
      <w:r>
        <w:t>Druhý scenár podpory je – pre zlepšenie plynulosti používania – nasadenie podporných digitálnych nástrojov ako je interaktívna navigácia alebo chatbot. Používateľovi bude automatizovane interaktívnou formou poskytnutá.</w:t>
      </w:r>
    </w:p>
    <w:p w14:paraId="3E12C75E" w14:textId="77777777" w:rsidR="002317FB" w:rsidRPr="004D73C4" w:rsidRDefault="1F4082D6" w:rsidP="002317FB">
      <w:pPr>
        <w:pStyle w:val="Odsekzoznamu"/>
      </w:pPr>
      <w:r>
        <w:t>Pri treťom scenári podpory už hovoríme o komplexnej online podpore, kde štát zabezpečuje pomoc pri vybavení služby z domu všetkými prostriedkami vrátane telefonickej podpory.</w:t>
      </w:r>
    </w:p>
    <w:p w14:paraId="71772541" w14:textId="77777777" w:rsidR="002317FB" w:rsidRDefault="002317FB" w:rsidP="002317FB">
      <w:r>
        <w:t xml:space="preserve">Bežný občan komunikuje so štátom zriedkavo. Nemusí sa orientovať v spleti orgánov verejnej moci, nepozná všetky procesy a povinnosti a obracia sa na štát. A štát chápe, že jeho úlohou je pomôcť pri riešení životných situácií. </w:t>
      </w:r>
    </w:p>
    <w:p w14:paraId="02DD3317" w14:textId="77777777" w:rsidR="002317FB" w:rsidRDefault="002317FB" w:rsidP="002317FB">
      <w:r>
        <w:t xml:space="preserve">Štát vedie s občanom partnerský dialóg a využíva rôzne informačné zdroje, ktoré mu v súlade so zákonom napomáhajú poznať občana, jeho históriu, ako aj predchádzajúce interakcie so štátom. Všetko v zrozumiteľnom jazyku. Tento dialóg je postavený na vzájomnom porozumení. Začína oslovením a končí poďakovaním, prípadne s dodatočnou požiadavkou o hodnotenie. Štát vystupuje v roli partnera, komunikuje slušne a vecne, prostredníctvom skutočného digitálneho úradníka. </w:t>
      </w:r>
    </w:p>
    <w:p w14:paraId="7AFDB239" w14:textId="77777777" w:rsidR="002317FB" w:rsidRDefault="002317FB" w:rsidP="002317FB">
      <w:r>
        <w:t xml:space="preserve">Situácií, kedy sa občan potrebuje obrátiť na štát je veľa, i keď sa v nich môže vyskytnúť málokedy. Stáva sa, že aktuálna situácia, ktorú občan rieši je pre neho úplne nová, nemusí byť príjemná až stresujúca. </w:t>
      </w:r>
    </w:p>
    <w:p w14:paraId="71AB2FBD" w14:textId="77777777" w:rsidR="002317FB" w:rsidRDefault="002317FB" w:rsidP="002317FB">
      <w:r>
        <w:t>V prípade ak občan začína komunikáciu, sám si volí pre neho vhodnú formu, miesto a čas. Môže to byť z domu, z dovolenky alebo v práci. Často po jeho pracovnej dobe alebo cez víkend, kedy má viac času vyriešiť svoje potreby.</w:t>
      </w:r>
      <w:r w:rsidR="00934F31" w:rsidRPr="00934F31">
        <w:t xml:space="preserve"> </w:t>
      </w:r>
      <w:r w:rsidR="00934F31">
        <w:t>Alebo si vyberie osobnú návštevu úradu.</w:t>
      </w:r>
    </w:p>
    <w:p w14:paraId="4F536051" w14:textId="77777777" w:rsidR="002317FB" w:rsidRDefault="002317FB" w:rsidP="002317FB">
      <w:r>
        <w:t xml:space="preserve">Komunikácia prebieha ako dialóg. Správne položenými otázkami, štát získava informácie o probléme, životnej situácii, ktorú občan rieši. Zadanie požiadavky sa vykonáva v pozadí a výsledkom dialógu je jasná žiadosť pre obe strany. Štát sprevádza občana celým procesom k úspešnému vyriešeniu jeho potreby, na základe predchádzajúcich skúseností. Cieľom je vyriešenie požiadavky okamžite. Zložitejšie situácie môžu vyžadovať viac krokov, v takom prípade je komunikácia nezávislá na mieste, médiu alebo platforme. Občan vie začať komunikáciu elektronicky a dokončiť ju osobne na úrade. </w:t>
      </w:r>
    </w:p>
    <w:p w14:paraId="4CA2EA9A" w14:textId="77777777" w:rsidR="002317FB" w:rsidRDefault="002317FB" w:rsidP="002317FB">
      <w:r>
        <w:t>Občan je informovaný nielen o aktuálnom stave, ale aj o nasledujúcich krokoch. Dôraz je kladený na pomoc občanovi, poskytovať služby v rôznom čase a rovnako kvalitne a efektívne cez všetk</w:t>
      </w:r>
      <w:r w:rsidR="00AF486C">
        <w:t xml:space="preserve">y dostupné komunikačné kanály. </w:t>
      </w:r>
    </w:p>
    <w:p w14:paraId="210EF45B" w14:textId="77777777" w:rsidR="002317FB" w:rsidRDefault="002317FB" w:rsidP="002317FB">
      <w:r>
        <w:t>Dialóg, môže začínať aj štát. Ponúka služby cez rôzne komunikačné kanály a občan si vyberie kedy a ktoré využije. Štát vďaka svojim znalostiam a skúsenostiam vie vytvoriť zrozumiteľnú požiadavku na občana a súčasne mu poskytne kroky na ich vyriešenie. Aj formou výberu z odpovedí, čím sa urýchľuje komunikácia. Vystupuje ako osobný digitálny úradník a pomáha</w:t>
      </w:r>
      <w:r w:rsidR="00934846">
        <w:t xml:space="preserve"> </w:t>
      </w:r>
      <w:r>
        <w:t>občanovi</w:t>
      </w:r>
      <w:r w:rsidR="00934846">
        <w:t xml:space="preserve"> </w:t>
      </w:r>
      <w:r>
        <w:t>pri rozhodovaní sa, up</w:t>
      </w:r>
      <w:r w:rsidR="00AF486C">
        <w:t xml:space="preserve">ozorňuje ho na možné následky, </w:t>
      </w:r>
      <w:r>
        <w:t>ale aj na možné príležitosti. Nezaťažuje ho s hľadaním potrebných informácií, ale ponúka mu ich priamo a naviguje ho medzi nimi.</w:t>
      </w:r>
    </w:p>
    <w:p w14:paraId="55C11BCD" w14:textId="77777777" w:rsidR="005D7E4E" w:rsidRPr="004D73C4" w:rsidRDefault="002317FB" w:rsidP="002317FB">
      <w:r>
        <w:t>Digitálny úradník pomáha občanovi zorientovať sa pri pravidelných aj nepravidelných kontaktoch so štátnou alebo verejnou správou. Či už ide o miestne dane a poplatky, ale kúpu nehnuteľnosti, zmenu bydliska alebo narodenie dieťaťa. Digitálny úradník vybavený množstvom informácií a skúseností asistuje v celom procese vybavovania občanových potrieb. Občan nemusí nikam chodiť, zvolí si komunikačný kanál, ktorý mu vyhovuje – portál, aplikáciu alebo telefónne číslo – a digitálny úradník sa o neho postará</w:t>
      </w:r>
      <w:r w:rsidR="005D7E4E" w:rsidRPr="004D73C4">
        <w:t xml:space="preserve">. </w:t>
      </w:r>
    </w:p>
    <w:p w14:paraId="6C547205" w14:textId="77777777" w:rsidR="00892594" w:rsidRDefault="00892594">
      <w:pPr>
        <w:spacing w:after="200" w:line="276" w:lineRule="auto"/>
        <w:jc w:val="left"/>
        <w:rPr>
          <w:rFonts w:eastAsiaTheme="majorEastAsia" w:cs="Times New Roman"/>
          <w:b/>
          <w:sz w:val="24"/>
          <w:szCs w:val="24"/>
        </w:rPr>
      </w:pPr>
      <w:bookmarkStart w:id="43" w:name="_Toc69297691"/>
      <w:bookmarkStart w:id="44" w:name="_Toc70369656"/>
      <w:r>
        <w:br w:type="page"/>
      </w:r>
    </w:p>
    <w:p w14:paraId="7EA70EE4" w14:textId="77777777" w:rsidR="005D7E4E" w:rsidRPr="004D73C4" w:rsidRDefault="005D7E4E" w:rsidP="00E362F7">
      <w:pPr>
        <w:pStyle w:val="Nadpis3"/>
      </w:pPr>
      <w:bookmarkStart w:id="45" w:name="_Toc70711596"/>
      <w:r w:rsidRPr="004D73C4">
        <w:lastRenderedPageBreak/>
        <w:t>Jeden štát, jeden dizajn, jedno miesto</w:t>
      </w:r>
      <w:bookmarkEnd w:id="43"/>
      <w:bookmarkEnd w:id="44"/>
      <w:bookmarkEnd w:id="45"/>
    </w:p>
    <w:p w14:paraId="69F34260" w14:textId="77777777" w:rsidR="005D7E4E" w:rsidRDefault="00730133" w:rsidP="005D7E4E">
      <w:pPr>
        <w:rPr>
          <w:rFonts w:eastAsiaTheme="majorEastAsia" w:cstheme="majorBidi"/>
        </w:rPr>
      </w:pPr>
      <w:r w:rsidRPr="004D73C4">
        <w:rPr>
          <w:rFonts w:eastAsia="Calibri" w:cs="Calibri"/>
          <w:noProof/>
          <w:color w:val="000000" w:themeColor="text1"/>
          <w:shd w:val="clear" w:color="auto" w:fill="E6E6E6"/>
          <w:lang w:eastAsia="sk-SK"/>
        </w:rPr>
        <w:drawing>
          <wp:anchor distT="0" distB="0" distL="114300" distR="114300" simplePos="0" relativeHeight="251683840" behindDoc="0" locked="0" layoutInCell="1" allowOverlap="1" wp14:anchorId="4FB7B181" wp14:editId="5521824C">
            <wp:simplePos x="0" y="0"/>
            <wp:positionH relativeFrom="column">
              <wp:posOffset>635</wp:posOffset>
            </wp:positionH>
            <wp:positionV relativeFrom="paragraph">
              <wp:posOffset>145415</wp:posOffset>
            </wp:positionV>
            <wp:extent cx="5834380" cy="3044825"/>
            <wp:effectExtent l="0" t="0" r="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34465F54" w14:textId="77777777" w:rsidR="00730133" w:rsidRPr="004D73C4" w:rsidRDefault="00730133" w:rsidP="005D7E4E">
      <w:pPr>
        <w:rPr>
          <w:rFonts w:eastAsiaTheme="majorEastAsia" w:cstheme="majorBidi"/>
        </w:rPr>
      </w:pPr>
    </w:p>
    <w:p w14:paraId="0AC3D610" w14:textId="77777777" w:rsidR="005D7E4E" w:rsidRPr="004D73C4" w:rsidRDefault="005D7E4E" w:rsidP="005D7E4E">
      <w:pPr>
        <w:rPr>
          <w:rFonts w:eastAsiaTheme="majorEastAsia" w:cstheme="majorBidi"/>
        </w:rPr>
      </w:pPr>
    </w:p>
    <w:p w14:paraId="15F7CE4D" w14:textId="77777777" w:rsidR="005D7E4E" w:rsidRPr="004D73C4" w:rsidRDefault="005D7E4E" w:rsidP="005D7E4E">
      <w:pPr>
        <w:rPr>
          <w:rFonts w:eastAsiaTheme="majorEastAsia" w:cstheme="majorBidi"/>
        </w:rPr>
      </w:pPr>
    </w:p>
    <w:p w14:paraId="5EB21312" w14:textId="77777777" w:rsidR="005D7E4E" w:rsidRPr="004D73C4" w:rsidRDefault="005D7E4E" w:rsidP="005D7E4E">
      <w:pPr>
        <w:rPr>
          <w:rFonts w:eastAsiaTheme="majorEastAsia" w:cstheme="majorBidi"/>
        </w:rPr>
      </w:pPr>
    </w:p>
    <w:p w14:paraId="70929518" w14:textId="77777777" w:rsidR="005D7E4E" w:rsidRPr="004D73C4" w:rsidRDefault="005D7E4E" w:rsidP="005D7E4E">
      <w:pPr>
        <w:rPr>
          <w:rFonts w:eastAsiaTheme="majorEastAsia" w:cstheme="majorBidi"/>
        </w:rPr>
      </w:pPr>
    </w:p>
    <w:p w14:paraId="426EA7B7" w14:textId="77777777" w:rsidR="005D7E4E" w:rsidRDefault="005D7E4E" w:rsidP="005D7E4E">
      <w:pPr>
        <w:rPr>
          <w:rFonts w:eastAsiaTheme="majorEastAsia" w:cstheme="majorBidi"/>
        </w:rPr>
      </w:pPr>
    </w:p>
    <w:p w14:paraId="2A24E3D6" w14:textId="77777777" w:rsidR="00892594" w:rsidRDefault="00892594" w:rsidP="005D7E4E">
      <w:pPr>
        <w:rPr>
          <w:rFonts w:eastAsiaTheme="majorEastAsia" w:cstheme="majorBidi"/>
        </w:rPr>
      </w:pPr>
    </w:p>
    <w:p w14:paraId="64453FBD" w14:textId="77777777" w:rsidR="00892594" w:rsidRDefault="00892594" w:rsidP="005D7E4E">
      <w:pPr>
        <w:rPr>
          <w:rFonts w:eastAsiaTheme="majorEastAsia" w:cstheme="majorBidi"/>
        </w:rPr>
      </w:pPr>
    </w:p>
    <w:p w14:paraId="4FAB1BF0" w14:textId="77777777" w:rsidR="00892594" w:rsidRPr="004D73C4" w:rsidRDefault="00892594" w:rsidP="005D7E4E">
      <w:pPr>
        <w:rPr>
          <w:rFonts w:eastAsiaTheme="majorEastAsia" w:cstheme="majorBidi"/>
        </w:rPr>
      </w:pPr>
    </w:p>
    <w:p w14:paraId="725B9DB3" w14:textId="77777777" w:rsidR="00845025" w:rsidRDefault="00845025" w:rsidP="00845025">
      <w:r>
        <w:t xml:space="preserve">Štát ako poskytovateľ verejných digitálnych služieb vystupuje voči občanom a podnikateľom jednotne. Takúto jednotnú identitu vytvára používaním spoločného dizajnu na jeho portáloch a službách. Posilňuje ju aj zdieľaná a prehľadná, jednotná digitálna brána k službám štátu a navigácie k nim. </w:t>
      </w:r>
    </w:p>
    <w:p w14:paraId="3FBDE239" w14:textId="77777777" w:rsidR="00845025" w:rsidRDefault="00845025" w:rsidP="00845025">
      <w:r>
        <w:t xml:space="preserve">Jednotný štátny dizajn znamená rovnaký dizajn digitálnych služieb a tiež štátnych webov. Tie sú zachytené </w:t>
      </w:r>
      <w:r w:rsidR="00875AC9" w:rsidRPr="00875AC9">
        <w:t>v Jednotnom dizajn manuáli elektronických služieb, ID-SK</w:t>
      </w:r>
      <w:r>
        <w:t xml:space="preserve">. Predstavuje repozitár, vďaka ktorému môžu jednotlivé </w:t>
      </w:r>
      <w:r w:rsidRPr="00C87166">
        <w:t xml:space="preserve">ministerstvá </w:t>
      </w:r>
      <w:r>
        <w:t>vytvárať štátne weby v jednotnom dizajne, využitím spoločných komponentov. Dosahuje sa tak nielen zjednotenie dizajnu, ale aj ekonomická úspora pri rozvoji a tvorbe štátnych webov. Vďaka jednotnosti dizajnu štátnych webov sa občan ľahšie orientuje, čo napomáha k pocitu istoty.</w:t>
      </w:r>
    </w:p>
    <w:p w14:paraId="729C8AD5" w14:textId="77777777" w:rsidR="00845025" w:rsidRDefault="00845025" w:rsidP="00845025">
      <w:r>
        <w:t>Rovnako ako pri službách platí, že aj tejto webový dizajn spĺňa prvky prístupnosti pre znevýhodnené osoby. Je tiež dostupný v rôznych jazykových verziách.</w:t>
      </w:r>
    </w:p>
    <w:p w14:paraId="7A86FD52" w14:textId="77777777" w:rsidR="00845025" w:rsidRDefault="00845025" w:rsidP="00845025">
      <w:r>
        <w:t xml:space="preserve">V jednotnom dizajne je vytvorená aj digitálna brána k štátnym službám – centrálny portál slovensko.sk. </w:t>
      </w:r>
    </w:p>
    <w:p w14:paraId="27B11B04" w14:textId="77777777" w:rsidR="00845025" w:rsidRDefault="00845025" w:rsidP="00845025">
      <w:r>
        <w:t xml:space="preserve">Slovensko.sk z pohľadu občana a podnikateľa zabezpečuje prehľadné prístupové miesto pre digitálne služby štátu. Tento portál ponúka ľahké vyhľadávanie, jednoduchý prístup k službám a plynulé vybavenie celej životnej situácie na jednom mieste vrátane možnosti platby online. </w:t>
      </w:r>
    </w:p>
    <w:p w14:paraId="50663567" w14:textId="77777777" w:rsidR="00845025" w:rsidRDefault="00845025" w:rsidP="00845025">
      <w:r>
        <w:t>Slovensko.sk je interaktívny a personalizovaný portál, ktorý prináša priamu komunikáciu občana so štátom. Občan sa môže vyjadriť k jeho prehľadnosti a efektivite, nahlásiť chyby a štát s jeho pomocou zbiera spätnú väzbu pre všetky digitálne služby. Jeho súčasťou je aj osobný profil klienta pre zrýchlenie komunikácie, ktorý je súčasťou osobnej zóny.</w:t>
      </w:r>
    </w:p>
    <w:p w14:paraId="7C1B9F29" w14:textId="77777777" w:rsidR="00845025" w:rsidRDefault="00845025" w:rsidP="00845025">
      <w:r>
        <w:t xml:space="preserve">Občan sa jednoducho prihlasuje formou, na ktorú je zvyknutý. Napríklad ako pri mobilných aplikáciách internet bankingu. Na tomto mieste nájde všetky informácie, ktoré sa ho týkajú a môžu ho zaujímať. Má tam po ruke svoje osobné údaje, nastavenia a elektronickú schránku. </w:t>
      </w:r>
    </w:p>
    <w:p w14:paraId="4AB5D391" w14:textId="77777777" w:rsidR="005D7E4E" w:rsidRPr="004D73C4" w:rsidRDefault="00845025" w:rsidP="3912845A">
      <w:pPr>
        <w:rPr>
          <w:rFonts w:ascii="Calibri" w:eastAsia="Calibri" w:hAnsi="Calibri" w:cs="Calibri"/>
          <w:color w:val="000000" w:themeColor="text1"/>
        </w:rPr>
      </w:pPr>
      <w:r>
        <w:t xml:space="preserve">Osobný profil ponúka aj také funkcionality ako sú predvyplnenie údajov vo formulároch pre služby, či nastavenie zastupovania. Zároveň tu má možnosť sledovať stav vybavovania služieb a požiadaviek. </w:t>
      </w:r>
      <w:r w:rsidR="5744BD61" w:rsidRPr="3912845A">
        <w:rPr>
          <w:rFonts w:ascii="Calibri" w:eastAsia="Calibri" w:hAnsi="Calibri" w:cs="Calibri"/>
          <w:color w:val="000000" w:themeColor="text1"/>
        </w:rPr>
        <w:t xml:space="preserve">Všetky požiadavky občana sa automaticky ukladajú ešte pri ich vytváraní, podanie je preto možné bezproblémovo dokončiť aj po prerušení. </w:t>
      </w:r>
    </w:p>
    <w:p w14:paraId="3C823C44" w14:textId="77777777" w:rsidR="008A277A" w:rsidRPr="004D73C4" w:rsidRDefault="008A277A" w:rsidP="00D24CB0"/>
    <w:p w14:paraId="6B4EC754" w14:textId="77777777" w:rsidR="00B26E6D" w:rsidRPr="002B60D7" w:rsidRDefault="00ED6CAA" w:rsidP="002B60D7">
      <w:pPr>
        <w:pStyle w:val="Nadpis2"/>
      </w:pPr>
      <w:bookmarkStart w:id="46" w:name="_Toc69297692"/>
      <w:bookmarkStart w:id="47" w:name="_Toc70369657"/>
      <w:bookmarkStart w:id="48" w:name="_Toc70711597"/>
      <w:r w:rsidRPr="00E7487B">
        <w:t>Digitálna transformácia verejnej správy</w:t>
      </w:r>
      <w:bookmarkEnd w:id="46"/>
      <w:bookmarkEnd w:id="47"/>
      <w:bookmarkEnd w:id="48"/>
    </w:p>
    <w:bookmarkEnd w:id="33"/>
    <w:p w14:paraId="4841DE6C" w14:textId="77777777" w:rsidR="00845025" w:rsidRDefault="00845025" w:rsidP="00845025">
      <w:r>
        <w:t>Digitálna transformácia zefektívňuje fungovanie štátu. Odrazom zjednodušenia a efektívneho prepojenia organizáci</w:t>
      </w:r>
      <w:r w:rsidR="00934F31">
        <w:t>í</w:t>
      </w:r>
      <w:r>
        <w:t xml:space="preserve"> štátu sú digitálne služby. Digitálne služby sú výstupom optimalizácie a zjednodušenia postupov v štáte. Štát a občania sú partnermi vďaka transparentnosti. Rezortizmus je prežitok. Občan komunikuje a rieši svoje záležitosti so štátom na jednom mieste. Vďaka prepojenosti </w:t>
      </w:r>
      <w:r>
        <w:lastRenderedPageBreak/>
        <w:t>orgánov verejnej správy a samosprávy nie je potrebné zisťovať, na ktorý z nich sa musí občan obrátiť. Virtuálne klientske centrum umožňuje vybaviť všetko na jednom mieste, kedykoľvek.</w:t>
      </w:r>
    </w:p>
    <w:p w14:paraId="21FEA748" w14:textId="77777777" w:rsidR="00845025" w:rsidRDefault="00845025" w:rsidP="00845025">
      <w:r>
        <w:t xml:space="preserve">V službách štátu sa priebežne zvyšuje pomer automatizovaných krokov na úkor manuálnych zásahov pri rešpektovaní práv na ochranu osobných údajov. Už raz použité a zapamätané dáta umožňujú znižovať aj počet dokladov, dokumentov a údajov, ktoré štát vyžaduje od občanov. Vďaka tomu sa stále viac služieb dá vybaviť aj na počkanie a mimo bežných pracovných hodín. </w:t>
      </w:r>
    </w:p>
    <w:p w14:paraId="41644B06" w14:textId="77777777" w:rsidR="00845025" w:rsidRDefault="00845025" w:rsidP="00845025">
      <w:r>
        <w:t>Prevádzka štátu je efektívnejšia aj vďaka tomu, že centrá zdieľaných služieb vykonávajú rutinné činnosti pre ostatné štátne inštitúcie, pre ktoré by to nebolo efektívne. Tieto centrá sa umiestňujú do regióno</w:t>
      </w:r>
      <w:r w:rsidR="17E13F5C">
        <w:t>v</w:t>
      </w:r>
      <w:r>
        <w:t>, tak, aby sa podporila zamestnanosť. Výrazne pomáha aj priebežne analyzovanie a odstraňovanie takých povinností občanov, ktoré neprinášajú pridanú hodnotu. Nové povinnosti sú zavedené len vtedy, ak prinášajú hodnotu navyše. Štátna správa je v dôsledku digitálnej transformácie štíhlejšia.</w:t>
      </w:r>
    </w:p>
    <w:p w14:paraId="3F9F052A" w14:textId="77777777" w:rsidR="00845025" w:rsidRDefault="00845025" w:rsidP="00845025">
      <w:r>
        <w:t>Štát zabezpečuje dáta občanov voči hrozbám a zneužitiu a občania majú prehľad o ich použití. Ďalšie použitie údajov je možné pri rešpektovaní ochrany osobných údajov. Občan rozumie rozhodnutiam štátu a ako štát nakladá s jeho osobnými údajmi.</w:t>
      </w:r>
    </w:p>
    <w:p w14:paraId="5295E9E2" w14:textId="77777777" w:rsidR="005D7E4E" w:rsidRPr="004D73C4" w:rsidRDefault="00845025" w:rsidP="00845025">
      <w:r>
        <w:t>Občan vníma činnosť úradníkov ako pomoc, má prístup k ich rozhodnutiam ako aj k dátam, podkladom a analýzam, ktoré k rozhodnutiam viedli. Dáta získané z verejných zdrojov sú občanom a podnikateľom elektronicky prístupné a ľahko dostupné bez neprimeraných autorsko-právnych prekážok. Prípadné využitie a nasadenie umelej inteligencie sa riadi prijatými etickými princípmi</w:t>
      </w:r>
      <w:r w:rsidR="005D7E4E" w:rsidRPr="004D73C4">
        <w:t xml:space="preserve">. </w:t>
      </w:r>
    </w:p>
    <w:p w14:paraId="5C3A63D5" w14:textId="77777777" w:rsidR="00DF76AF" w:rsidRPr="004D73C4" w:rsidRDefault="005D7E4E" w:rsidP="00E362F7">
      <w:pPr>
        <w:pStyle w:val="Nadpis3"/>
      </w:pPr>
      <w:bookmarkStart w:id="49" w:name="_Toc66896130"/>
      <w:bookmarkStart w:id="50" w:name="_Toc69297693"/>
      <w:bookmarkStart w:id="51" w:name="_Toc70369658"/>
      <w:bookmarkStart w:id="52" w:name="_Toc70711598"/>
      <w:r w:rsidRPr="004D73C4">
        <w:t>Zásadná zmena fungovania verejnej správy</w:t>
      </w:r>
      <w:bookmarkEnd w:id="49"/>
      <w:bookmarkEnd w:id="50"/>
      <w:bookmarkEnd w:id="51"/>
      <w:bookmarkEnd w:id="52"/>
    </w:p>
    <w:p w14:paraId="4714CF53" w14:textId="77777777" w:rsidR="00845025" w:rsidRDefault="00845025" w:rsidP="00D24CB0">
      <w:r w:rsidRPr="00845025">
        <w:t>Digitálna transformácia verejnej správy je založená na troch princípoch</w:t>
      </w:r>
      <w:r w:rsidR="00EA3552">
        <w:t>:</w:t>
      </w:r>
      <w:r w:rsidR="005D7E4E" w:rsidRPr="004D73C4">
        <w:t xml:space="preserve"> </w:t>
      </w:r>
    </w:p>
    <w:p w14:paraId="0462810B" w14:textId="77777777" w:rsidR="00845025" w:rsidRDefault="00845025" w:rsidP="00F06821">
      <w:pPr>
        <w:pStyle w:val="Odsekzoznamu"/>
        <w:numPr>
          <w:ilvl w:val="0"/>
          <w:numId w:val="30"/>
        </w:numPr>
      </w:pPr>
      <w:r>
        <w:t xml:space="preserve">Na využití možností, pravidiel a postupov digitálneho sveta namiesto papierového. </w:t>
      </w:r>
    </w:p>
    <w:p w14:paraId="51FD26F6" w14:textId="77777777" w:rsidR="00845025" w:rsidRDefault="00845025" w:rsidP="00F06821">
      <w:pPr>
        <w:pStyle w:val="Odsekzoznamu"/>
        <w:numPr>
          <w:ilvl w:val="0"/>
          <w:numId w:val="30"/>
        </w:numPr>
      </w:pPr>
      <w:r>
        <w:t xml:space="preserve">Na dôslednej orientácii na občana. </w:t>
      </w:r>
    </w:p>
    <w:p w14:paraId="77CC8C65" w14:textId="77777777" w:rsidR="00845025" w:rsidRDefault="00845025" w:rsidP="00F06821">
      <w:pPr>
        <w:pStyle w:val="Odsekzoznamu"/>
        <w:numPr>
          <w:ilvl w:val="0"/>
          <w:numId w:val="30"/>
        </w:numPr>
      </w:pPr>
      <w:r>
        <w:t xml:space="preserve">Na využití údajov ako nástroja lepšieho rozhodovania verejnej kontroly. To sa týka aj digitálnej transformácie územnej samosprávy. </w:t>
      </w:r>
    </w:p>
    <w:p w14:paraId="7D330782" w14:textId="77777777" w:rsidR="00845025" w:rsidRDefault="00845025" w:rsidP="00845025">
      <w:r>
        <w:t>Nová legislatíva, podobne ako pri zavádzaní princípu jedenkrát a dosť, upravuje činnosti úradov a poskytovateľov služieb a umožňuje tak naplno využívať digitálne technológie namiesto papierových procesov. Prebieha procesná transformácia, existujúci stav sa neprenáša jedna k jednej do elektronickej podoby ale zmapované procesy sa optimalizujú a automatizujú. Návrhy procesnej transformácie sú spoločným dielom vedúcich pracovníkov organizácie, pracovníkov vecne zodpovedných za agendu a odborníkov na analýzu a optimalizáciu procesov. Nová legislatíva je premietnutá do rezortných vyhlášok, pracovných postupov, popisov práce aj organizačných opatrení a návrhu digitálnych služieb.</w:t>
      </w:r>
    </w:p>
    <w:p w14:paraId="29B3FA24" w14:textId="77777777" w:rsidR="00845025" w:rsidRDefault="00845025" w:rsidP="00845025">
      <w:r>
        <w:t>Úrady sú prepojené procesmi najmä podľa životných situácii. Rezortizmus je nahradený koordinovanou spoluprácou a zapojením do jednotlivých služieb občanom a podnikateľom. Duplicitné procesy sú odstránené, počty úkonov klesajú, čas vybavenia sa skracuje. Ukončenie procesu na jednom úrade je automaticky štartom pre pokračovanie životnej situácie na ďalšom potrebnom úrade.</w:t>
      </w:r>
      <w:r w:rsidR="00934846">
        <w:t xml:space="preserve"> </w:t>
      </w:r>
    </w:p>
    <w:p w14:paraId="789010EA" w14:textId="77777777" w:rsidR="00845025" w:rsidRDefault="00845025" w:rsidP="00845025">
      <w:r>
        <w:t xml:space="preserve">Opakujúce sa procesy založené na overených dátach a jasných pravidlách sú automatizované, preto sú vo veľkej miere poskytované okamžite. V službách štátu rastie zastúpenie automatizovaných činností na úkor počtu úradníkov a pri rešpektovaní práva na ochranu osobných údajov. Personálne kapacity úradov sú využívané na aktivity s vyššou pridanou hodnotou. Postupne je vďaka zdigitalizovaniu papierových podkladov miestna príslušnosť nepodstatná. </w:t>
      </w:r>
    </w:p>
    <w:p w14:paraId="49E5D90B" w14:textId="77777777" w:rsidR="00845025" w:rsidRDefault="00845025" w:rsidP="00845025">
      <w:r>
        <w:t>Štát sa aktívne zaujíma o potreby občanov</w:t>
      </w:r>
      <w:r w:rsidR="00934F31">
        <w:t>, m</w:t>
      </w:r>
      <w:r>
        <w:t>eria kvalitu poskytovaných služieb, ďalej ich zlepšuje, prípadne vytvára nové. Minimalizuje úkony vyžadované od občana, ktorý nemusí v takých prípadoch podávať rôzne žiadosti, a nevyžadujú sa dodatočné údaje, ktoré už štát má. Pri elektronickej komunikácii s občanmi volí štát také riešenia, aplikácie a postupy, ktoré sú im blízke a sú čo najširšie používané – a</w:t>
      </w:r>
      <w:r w:rsidR="00AF486C">
        <w:t> </w:t>
      </w:r>
      <w:r>
        <w:t>to</w:t>
      </w:r>
      <w:r w:rsidR="00AF486C">
        <w:t xml:space="preserve"> </w:t>
      </w:r>
      <w:r>
        <w:t xml:space="preserve">aj s ohľadom na skupiny občanov so špecifickými potrebami, akými sú napríklad </w:t>
      </w:r>
      <w:r>
        <w:lastRenderedPageBreak/>
        <w:t>znevýhodnené skupiny alebo cudzinci s trvalým pobytom v SR. Proces obsluhy klienta sa rieši cez jednoduchú a zároveň bezpečnú formu overenia totožnosti.</w:t>
      </w:r>
    </w:p>
    <w:p w14:paraId="11C4548A" w14:textId="77777777" w:rsidR="00845025" w:rsidRDefault="00845025" w:rsidP="00845025">
      <w:r>
        <w:t xml:space="preserve">Zjednotené prostredie umožňuje budovanie univerzálnych klientskych pracovísk pre digitálne menej zdatných občanov a podnikateľov. Preškolený pracovník verejnej správy im tam pomáha vybaviť všetky bežné životné situácie. </w:t>
      </w:r>
    </w:p>
    <w:p w14:paraId="33EBE7EF" w14:textId="77777777" w:rsidR="00845025" w:rsidRDefault="00845025" w:rsidP="00845025">
      <w:r>
        <w:t xml:space="preserve">Zároveň sú vybudované zdieľané pracoviská pre obslužné činnosti verejnej správy. Rovnako aj centralizované alebo decentralizované kontaktné centrá, v ktorých poskytujú expertné služby špecialisti na danú oblasť. Používajú sa moderné nástroje na komunikáciu, ako sú chatboty a videoboty. </w:t>
      </w:r>
    </w:p>
    <w:p w14:paraId="7C2D7F55" w14:textId="77777777" w:rsidR="00845025" w:rsidRDefault="00845025" w:rsidP="00845025">
      <w:r>
        <w:t>Informačné systémy umožňujú zdieľanie dát. Dátové, aplikačné a biznis komponenty sú efektívne viacnásobne využívané v štátnych organizáciách a sprístupňované aj externému prostrediu formou otvorených rozhraní bez nadbytočných technických alebo právnych prekážok. Technické komponenty architektúry umožňujú spätnú kontrolu rozhodnutí. Unikátne agendové informačné systémy sa budujú pomocou komponentov, ktoré sú už dostupné v cloude. Výrazne to urýchľuje a zlacňuje ich vývoj, úpravy a prevádzku.</w:t>
      </w:r>
    </w:p>
    <w:p w14:paraId="787AD2F7" w14:textId="77777777" w:rsidR="005D7E4E" w:rsidRPr="004D73C4" w:rsidRDefault="00845025" w:rsidP="00845025">
      <w:r>
        <w:t>Riadenie digitalizácie verejnej správy sa deje na báze stratégie pozostávajúcej z postupných krokov, ktoré majú transformačný, informatický aj investičný rozmer. Detaily sú popísané v Koncepcii rozvoja informačných technológi</w:t>
      </w:r>
      <w:r w:rsidR="00934F31">
        <w:t>í</w:t>
      </w:r>
      <w:r>
        <w:t xml:space="preserve"> jednotlivých organizáci</w:t>
      </w:r>
      <w:r w:rsidR="00934F31">
        <w:t>í</w:t>
      </w:r>
      <w:r w:rsidR="00ED0DA0" w:rsidRPr="004D73C4">
        <w:t xml:space="preserve">. </w:t>
      </w:r>
    </w:p>
    <w:p w14:paraId="1AFC4DEF" w14:textId="77777777" w:rsidR="005D7E4E" w:rsidRPr="004D73C4" w:rsidRDefault="005D7E4E" w:rsidP="00E362F7">
      <w:pPr>
        <w:pStyle w:val="Nadpis3"/>
      </w:pPr>
      <w:bookmarkStart w:id="53" w:name="_Toc66896131"/>
      <w:bookmarkStart w:id="54" w:name="_Toc69297694"/>
      <w:bookmarkStart w:id="55" w:name="_Toc70369659"/>
      <w:bookmarkStart w:id="56" w:name="_Toc70711599"/>
      <w:r w:rsidRPr="004D73C4">
        <w:t>Lepšie údaje</w:t>
      </w:r>
      <w:bookmarkEnd w:id="53"/>
      <w:bookmarkEnd w:id="54"/>
      <w:bookmarkEnd w:id="55"/>
      <w:bookmarkEnd w:id="56"/>
    </w:p>
    <w:p w14:paraId="5C469B92" w14:textId="77777777" w:rsidR="00845025" w:rsidRDefault="00845025" w:rsidP="00845025">
      <w:r>
        <w:t xml:space="preserve">Slovensko funguje ako takzvaný „data-driven“ štát. Štát, ktorý sa riadi a rozhoduje na základe získaných údajov a ich analýz. Verejná správa citlivo spracúva údaje a efektívne ich využíva na poskytovanie kvalitných služieb. Štát si váži údaje, ktoré získava a stará sa o nich ako o cenné aktívum. Legislatíva pokrýva aj oblasť prípadného zneužitia dát, sú stanovené sankčné mechanizmy v prípade porušení legálnych alebo etických pravidiel pri používaní týchto údajov. </w:t>
      </w:r>
      <w:r w:rsidR="002B60D7">
        <w:t xml:space="preserve">Mimoriadna pozornosť je venovaná využitiu údajov a algoritmov umelej inteligencie v rozhodovacích procesoch štátu, ktoré sa riadia prijatými pravidlami </w:t>
      </w:r>
      <w:r w:rsidR="002B60D7" w:rsidRPr="00AA13C8">
        <w:t xml:space="preserve">s cieľom minimalizovať </w:t>
      </w:r>
      <w:r w:rsidR="002B60D7">
        <w:t xml:space="preserve">potenciálne </w:t>
      </w:r>
      <w:r w:rsidR="002B60D7" w:rsidRPr="00AA13C8">
        <w:t>negatívne ujmy na spoločné hodnoty a základné ľudské práva občanov</w:t>
      </w:r>
      <w:r w:rsidR="002B60D7">
        <w:t xml:space="preserve">. </w:t>
      </w:r>
      <w:r>
        <w:t>Podporuje sa tak vytváranie dôvery medzi občanmi a verejnou správou pri spracovávaní údajov.</w:t>
      </w:r>
    </w:p>
    <w:p w14:paraId="1BCB1066" w14:textId="77777777" w:rsidR="00845025" w:rsidRDefault="00845025" w:rsidP="00845025">
      <w:r>
        <w:t xml:space="preserve">Štát získava a má k dispozícii práve tie údaje, ktoré skutočne potrebuje a ukladá si ich na nevyhnutne potrebnú dobu. Nezaťažuje občanov ani úradníkov (pravidelným) zberom údajov, ktoré v skutočnosti nepotrebuje, lebo ich vie získať iným spôsobom. Dôkladne dodržiava princíp jedenkrát a dosť. Dáta vo verejnej správe nie sú ukladané podľa štátnych rezortov, ale na základe účelu ich použitia. </w:t>
      </w:r>
    </w:p>
    <w:p w14:paraId="5840E328" w14:textId="77777777" w:rsidR="00845025" w:rsidRDefault="00845025" w:rsidP="00845025">
      <w:r>
        <w:t>Údaje dokáže štát úspešne a efektívne používať pri tvorbe všeobecne záväzných regulácií. Rovnako aj na priebežnú úpravu svojich vlastných procesov. Vďaka kvalitným dátam dokáže predpokladať dopady navrhovaných zmien.</w:t>
      </w:r>
    </w:p>
    <w:p w14:paraId="4C576805" w14:textId="77777777" w:rsidR="00845025" w:rsidRDefault="00845025" w:rsidP="00845025">
      <w:r>
        <w:t xml:space="preserve">Existujú jasné pravidlá a technologické platformy sprístupňovania údajov medzi verejnou a súkromnou sférou. </w:t>
      </w:r>
    </w:p>
    <w:p w14:paraId="503E76A2" w14:textId="77777777" w:rsidR="00D24CB0" w:rsidRPr="004D73C4" w:rsidRDefault="00845025" w:rsidP="00845025">
      <w:r>
        <w:t>Občania sú ochotní a motivovaní poskytovať a aktualizovať svoje údaje štátu aj nad rámec explicitných zákonných povinností, pretože chápu na čo štát osobné údaje potrebuje a ako ich chráni. Dodržiava sa transparentnosť. Občan vie, aké údaje štát eviduje, kto k nim pristupuje a za akým účelom a na základe akých oprávnení. A taktiež rozhodujú o zdieľaní svojich údajov s inými inštitúciami (verejnými či súkromnými) v prípadoch, kedy zdieľanie nevyplýva zo zákonov. Existujú jasné pravidlá sprístupňovania údajov medzi verejnou a súkromnou sférou</w:t>
      </w:r>
      <w:r w:rsidR="005D7E4E" w:rsidRPr="004D73C4">
        <w:t>.</w:t>
      </w:r>
      <w:bookmarkStart w:id="57" w:name="_Toc66896132"/>
    </w:p>
    <w:p w14:paraId="075A177F" w14:textId="77777777" w:rsidR="005D7E4E" w:rsidRPr="004D73C4" w:rsidRDefault="005D7E4E" w:rsidP="00E362F7">
      <w:pPr>
        <w:pStyle w:val="Nadpis3"/>
      </w:pPr>
      <w:bookmarkStart w:id="58" w:name="_Toc69297695"/>
      <w:bookmarkStart w:id="59" w:name="_Toc70369660"/>
      <w:bookmarkStart w:id="60" w:name="_Toc70711600"/>
      <w:r w:rsidRPr="004D73C4">
        <w:t>Informatizácia územnej samosprávy</w:t>
      </w:r>
      <w:bookmarkEnd w:id="57"/>
      <w:bookmarkEnd w:id="58"/>
      <w:bookmarkEnd w:id="59"/>
      <w:bookmarkEnd w:id="60"/>
    </w:p>
    <w:p w14:paraId="2644132B" w14:textId="77777777" w:rsidR="005D7E4E" w:rsidRPr="004D73C4" w:rsidRDefault="63D77CA5" w:rsidP="00845025">
      <w:r>
        <w:t xml:space="preserve">Strategické ciele informatizácie verejnej správy sa v plnom rozsahu </w:t>
      </w:r>
      <w:r w:rsidR="1EACC4FB">
        <w:t>vzťahujú</w:t>
      </w:r>
      <w:r>
        <w:t xml:space="preserve"> aj </w:t>
      </w:r>
      <w:r w:rsidR="3483A168">
        <w:t xml:space="preserve">na </w:t>
      </w:r>
      <w:r>
        <w:t>územn</w:t>
      </w:r>
      <w:r w:rsidR="25CAA406">
        <w:t>ú</w:t>
      </w:r>
      <w:r>
        <w:t xml:space="preserve"> samospráv</w:t>
      </w:r>
      <w:r w:rsidR="230D1A91">
        <w:t>u</w:t>
      </w:r>
      <w:r>
        <w:t xml:space="preserve">. Pri ich napĺňaní sú zohľadňované špecifiká </w:t>
      </w:r>
      <w:r w:rsidR="16D6E757">
        <w:t>územnej samosprávy</w:t>
      </w:r>
      <w:r>
        <w:t xml:space="preserve"> s cieľom poskytovania lepších služieb občanom pri rešpektovaní princípu dobrovoľnosti a v rámci platnej legislatívy. Špecifikom samosprávy je, že sa rozhoduje samostatne a úlohy je možné jej ukladať len zákonom, prípadne ju stimulovať </w:t>
      </w:r>
      <w:r>
        <w:lastRenderedPageBreak/>
        <w:t xml:space="preserve">finančnými nástrojmi. Ďalším špecifikom sú kapacity </w:t>
      </w:r>
      <w:r w:rsidR="524038BA">
        <w:t xml:space="preserve">a zdroje </w:t>
      </w:r>
      <w:r>
        <w:t>samosprávy a jej podriadených organizácií, ktoré nedosahujú kapacity ústredných orgánov štátnej správy, prípadne miestnej štátnej správy</w:t>
      </w:r>
      <w:r w:rsidR="397D31B5">
        <w:t xml:space="preserve">. </w:t>
      </w:r>
    </w:p>
    <w:p w14:paraId="1CA01CA9" w14:textId="77777777" w:rsidR="00845025" w:rsidRDefault="397D31B5" w:rsidP="00845025">
      <w:r>
        <w:t xml:space="preserve">Samospráva využíva výhody a efektívnosť centralizovaného riešenia </w:t>
      </w:r>
      <w:r w:rsidR="6F92FD94">
        <w:t xml:space="preserve">Informačného systému Dátového centra obcí a miest (ďalej len „IS DCOM“) </w:t>
      </w:r>
      <w:r>
        <w:t xml:space="preserve">ako aj decentralizované riešenia pre tie samosprávy, ktoré sa tak dobrovoľne rozhodnú. </w:t>
      </w:r>
      <w:r w:rsidR="63D77CA5">
        <w:t xml:space="preserve">Pri finančnej podpore </w:t>
      </w:r>
      <w:r w:rsidR="5C14BF8A">
        <w:t>informatizácie</w:t>
      </w:r>
      <w:r w:rsidR="63D77CA5">
        <w:t xml:space="preserve"> samosprávy</w:t>
      </w:r>
      <w:r w:rsidR="771A10EE">
        <w:t xml:space="preserve"> zo strany štátu</w:t>
      </w:r>
      <w:r w:rsidR="63D77CA5">
        <w:t xml:space="preserve"> je dodržaný rovnoprávny </w:t>
      </w:r>
      <w:r w:rsidR="270165C2">
        <w:t xml:space="preserve">a nediskriminačný </w:t>
      </w:r>
      <w:r w:rsidR="63D77CA5">
        <w:t>prístup ku každému občanovi</w:t>
      </w:r>
      <w:r w:rsidR="21BD097B">
        <w:t xml:space="preserve"> b</w:t>
      </w:r>
      <w:r w:rsidR="63D77CA5">
        <w:t xml:space="preserve">ez ohľadu na to, či samospráva využíva centralizované alebo decentralizované riešenie. Rozvíja sa tak čiastočne decentralizovaný prístup k informatizácii samosprávy. </w:t>
      </w:r>
    </w:p>
    <w:p w14:paraId="4578302C" w14:textId="77777777" w:rsidR="00845025" w:rsidRDefault="00845025" w:rsidP="00845025">
      <w:r>
        <w:t>Všetky riešenia sú v súlade so zoznamom koncových služieb a štruktúrované podľa životných situácií. Zoznam koncových služieb miest a obcí ako aj zoznam koncových služieb vyšších územných celkov je publikovaný a pravidelne aktualizovaný</w:t>
      </w:r>
      <w:r w:rsidR="00A10598">
        <w:t xml:space="preserve"> MIRRI SR</w:t>
      </w:r>
      <w:r>
        <w:t>.</w:t>
      </w:r>
    </w:p>
    <w:p w14:paraId="2EDCEB57" w14:textId="77777777" w:rsidR="005D7E4E" w:rsidRPr="004D73C4" w:rsidRDefault="00845025" w:rsidP="00845025">
      <w:r>
        <w:t>Napĺňani</w:t>
      </w:r>
      <w:r w:rsidR="74BDABA0">
        <w:t>e</w:t>
      </w:r>
      <w:r>
        <w:t xml:space="preserve"> strategických cieľov informatizácie územnej samosprávy </w:t>
      </w:r>
      <w:r w:rsidR="5C60989B">
        <w:t>sa opiera o</w:t>
      </w:r>
      <w:r>
        <w:t xml:space="preserve"> analýzy postavené na rovnakých princípoch ako v štátnej správe</w:t>
      </w:r>
      <w:r w:rsidR="6CA21385">
        <w:t>, v ktorých sú definované</w:t>
      </w:r>
      <w:r>
        <w:t xml:space="preserve"> postupy a procesy vhodné pre digitalizáciu nezávislé na papierovom svete a stávajú sa tým efektívnejšie.</w:t>
      </w:r>
    </w:p>
    <w:p w14:paraId="6C3D3CE6" w14:textId="77777777" w:rsidR="00C92B81" w:rsidRDefault="4ADFB183" w:rsidP="00C92B81">
      <w:r>
        <w:t>S</w:t>
      </w:r>
      <w:r w:rsidR="00C92B81">
        <w:t xml:space="preserve">ú pripravené efektívne a ľahko dostupné nástroje IT podpory spoločného výkonu kompetencií (prostredníctvom spoločných obecných úradovní) ako aj podpory spolupráce </w:t>
      </w:r>
      <w:r w:rsidR="22168C01">
        <w:t xml:space="preserve">obcí, miest a regiónov </w:t>
      </w:r>
      <w:r w:rsidR="00C92B81">
        <w:t>s</w:t>
      </w:r>
      <w:r w:rsidR="604CA888">
        <w:t>o svojim</w:t>
      </w:r>
      <w:r w:rsidR="00C92B81">
        <w:t xml:space="preserve"> okolím a medzi </w:t>
      </w:r>
      <w:r w:rsidR="4F937E0D">
        <w:t>sebou</w:t>
      </w:r>
      <w:r w:rsidR="00C92B81">
        <w:t xml:space="preserve"> navzájom. Digitalizujú sa aj kľúčové </w:t>
      </w:r>
      <w:r w:rsidR="00A10598">
        <w:t>kompetencie</w:t>
      </w:r>
      <w:r w:rsidR="00C92B81">
        <w:t>, ktoré majú vplyv na sociálno-ekonomický rozvoj (napr. stavebné konanie,</w:t>
      </w:r>
      <w:r w:rsidR="2D73BC39">
        <w:t xml:space="preserve"> vzdelávanie,</w:t>
      </w:r>
      <w:r w:rsidR="00C92B81">
        <w:t xml:space="preserve"> sociálne služby). </w:t>
      </w:r>
    </w:p>
    <w:p w14:paraId="04562AA9" w14:textId="77777777" w:rsidR="00C92B81" w:rsidRDefault="00C92B81" w:rsidP="00C92B81">
      <w:r>
        <w:t>V praxi je zavedený automatický zber dát obcí, miest, subregiónov a krajov</w:t>
      </w:r>
      <w:r w:rsidR="1011F0CA">
        <w:t xml:space="preserve"> a </w:t>
      </w:r>
      <w:r w:rsidR="21998A3D">
        <w:t>plná</w:t>
      </w:r>
      <w:r w:rsidR="4EA16C83">
        <w:t xml:space="preserve"> dátová </w:t>
      </w:r>
      <w:r w:rsidR="1011F0CA">
        <w:t xml:space="preserve">integrácia </w:t>
      </w:r>
      <w:r w:rsidR="720C5FE5">
        <w:t xml:space="preserve">samosprávy </w:t>
      </w:r>
      <w:r w:rsidR="1011F0CA">
        <w:t>na centrálne</w:t>
      </w:r>
      <w:r w:rsidR="675701B1">
        <w:t xml:space="preserve"> registre</w:t>
      </w:r>
      <w:r>
        <w:t xml:space="preserve">. </w:t>
      </w:r>
      <w:r w:rsidR="515ED27E">
        <w:t>Údaje</w:t>
      </w:r>
      <w:r>
        <w:t xml:space="preserve"> sa využívajú pre š</w:t>
      </w:r>
      <w:r w:rsidR="29D9E2A9">
        <w:t>ta</w:t>
      </w:r>
      <w:r>
        <w:t>tistické účely</w:t>
      </w:r>
      <w:r w:rsidR="4B7C6E3C">
        <w:t>,</w:t>
      </w:r>
      <w:r>
        <w:t xml:space="preserve"> pre rozhodovanie o iných možnostiach reformy územnej samosprávy</w:t>
      </w:r>
      <w:r w:rsidR="7F4027EE">
        <w:t xml:space="preserve"> ako</w:t>
      </w:r>
      <w:r>
        <w:t xml:space="preserve"> aj pri manažérskom rozhodovaní (tzv. smart governance), vrátane podpory spolupráce viacerých oddelení a medzi viacerými obcami na základe dohôd. </w:t>
      </w:r>
    </w:p>
    <w:p w14:paraId="78AF4678" w14:textId="77777777" w:rsidR="005D7E4E" w:rsidRPr="004D73C4" w:rsidRDefault="00C92B81" w:rsidP="00C92B81">
      <w:r>
        <w:t>Štát podporuje využívanie informačných technológií verejnej správy na zvyšovanie kvality života a efektívne riešenia reálnych problémov krajov, miest a subregiónov ako sú inteligentná doprava, energi</w:t>
      </w:r>
      <w:r w:rsidR="3BCDFB97">
        <w:t>e</w:t>
      </w:r>
      <w:r>
        <w:t>, odpady či životné prostredie. Slovensko je „smart country“ pozostávajúce z moderných a inteligentných regiónov, miest a obcí (smart regions, smart cities, smart communities)</w:t>
      </w:r>
      <w:r w:rsidR="397D31B5">
        <w:t xml:space="preserve">. </w:t>
      </w:r>
    </w:p>
    <w:p w14:paraId="772F68D2" w14:textId="77777777" w:rsidR="005D7E4E" w:rsidRPr="004D73C4" w:rsidRDefault="005D7E4E" w:rsidP="00D24CB0">
      <w:r w:rsidRPr="004D73C4">
        <w:t xml:space="preserve">Informatizácia územnej samosprávy sa riadi podrobne rozpracovaným postupom v samostatnom dokumente vypracovaným v spolupráci so </w:t>
      </w:r>
      <w:r w:rsidR="001B6927" w:rsidRPr="004D73C4">
        <w:t>Združením miest a obcí Slovenska (ďalej len „ZMOS“)</w:t>
      </w:r>
      <w:r w:rsidRPr="004D73C4">
        <w:t>, Úniou miest Slovenska (ďalej len „ÚMS“) a samosprávnymi krajmi (ďalej len „SK8“), ktorý zohľadňuje ciele a zámery obsiahnuté v tejto Koncepcii. V ňom sú rozpracované aj riešenia informatizácie služieb organizácií, ktoré zriaďuje samospráva a ktoré poskytujú služby priamo občanom.</w:t>
      </w:r>
    </w:p>
    <w:p w14:paraId="70D52A9C" w14:textId="77777777" w:rsidR="005D7E4E" w:rsidRPr="004D73C4" w:rsidRDefault="005D7E4E" w:rsidP="00D24CB0"/>
    <w:p w14:paraId="3CD09949" w14:textId="77777777" w:rsidR="005D7E4E" w:rsidRPr="004D73C4" w:rsidRDefault="005D7E4E" w:rsidP="002B60D7">
      <w:pPr>
        <w:pStyle w:val="Nadpis2"/>
      </w:pPr>
      <w:bookmarkStart w:id="61" w:name="_Toc66896133"/>
      <w:bookmarkStart w:id="62" w:name="_Toc69297696"/>
      <w:bookmarkStart w:id="63" w:name="_Toc70369661"/>
      <w:bookmarkStart w:id="64" w:name="_Toc70711601"/>
      <w:r w:rsidRPr="004D73C4">
        <w:t>Efektívne riadenie digitálneho štátu</w:t>
      </w:r>
      <w:bookmarkEnd w:id="61"/>
      <w:bookmarkEnd w:id="62"/>
      <w:bookmarkEnd w:id="63"/>
      <w:bookmarkEnd w:id="64"/>
    </w:p>
    <w:p w14:paraId="29954DAD" w14:textId="77777777" w:rsidR="00C92B81" w:rsidRDefault="00C92B81" w:rsidP="00C92B81">
      <w:r>
        <w:t>Digitálne služby zlepšujú interakciu občanov so štátom a digitálna transformácia spôsobuje, že úradných úkonov je menej a sú rýchlejšie. Popritom sa mení organizačná, procesná, technologická a finančná stránka štátneho IT. Je riadené centrálne a podieľa sa na ňom viacero zložiek. Úradníci aj IT odborníci štátu rozumejú možnostiam, ktoré informačné technológie prinášajú. Zjednotením IT prostriedkov sa dosahujú úspory. Verejné obstarávania sú zmenené a je v nich väčšia konkurencia. Budovanie informačných systémov je menej rizikové, lebo prebieha po menších častiach</w:t>
      </w:r>
      <w:r w:rsidR="3173EDBE">
        <w:t xml:space="preserve"> tam, kde to má zmysel</w:t>
      </w:r>
      <w:r>
        <w:t>. Informačná bezpečnosť je dôležitou a neoddeliteľnou časťou informatizácie.</w:t>
      </w:r>
    </w:p>
    <w:p w14:paraId="5FD1BC9D" w14:textId="77777777" w:rsidR="00C92B81" w:rsidRDefault="00C92B81" w:rsidP="00C92B81">
      <w:r>
        <w:t xml:space="preserve">Štát buduje a udržiava profesionálne tímy IT odborníkov, ktoré navrhujú informačné systémy, kontrolujú ich dodávku a koordinujú prevádzku a ďalší rozvoj. Interní zamestnanci sú angažovaní. Systematicky sa vzdelávajú a udržujú si prehľad o aktuálnych technológiách. Štát priamo podporuje príslušné vysokoškolské štúdium. IT odborníci si môžu vybrať z viacerých kariérnych dráh. Poskytuje sa odborné poradenstvo a osobná práca s talentami. </w:t>
      </w:r>
    </w:p>
    <w:p w14:paraId="0C3DB9EA" w14:textId="77777777" w:rsidR="00C92B81" w:rsidRDefault="00C92B81" w:rsidP="00C92B81">
      <w:r>
        <w:lastRenderedPageBreak/>
        <w:t>Úradníci sa priebežne vzdelávajú a ovládajú IT systémy, vedia fundovane poradiť občanovi a podnikateľovi a zodpovedne spracovať jeho požiadavky. Vedúci pracovníci rozumejú princípom digitálnej transformácie, ekonomike prevádzky IT a organizáci</w:t>
      </w:r>
      <w:r w:rsidR="00934F31">
        <w:t>í</w:t>
      </w:r>
      <w:r>
        <w:t xml:space="preserve"> z procesného hľadiska.</w:t>
      </w:r>
      <w:r w:rsidR="00934846">
        <w:t xml:space="preserve"> </w:t>
      </w:r>
      <w:r>
        <w:t>IT používajú ako účinný nástroj na zlepšenie štátu a aktívne sa podieľajú na digitálnej transformácii.</w:t>
      </w:r>
    </w:p>
    <w:p w14:paraId="3712088C" w14:textId="77777777" w:rsidR="00C92B81" w:rsidRDefault="00C92B81" w:rsidP="00C92B81">
      <w:r>
        <w:t xml:space="preserve">Informačné technológie štátu sú racionálne zjednotené. Centralizáciou sa predchádza zbytočnému zdvojovaniu a model prevádzkovania je </w:t>
      </w:r>
      <w:r w:rsidR="6D9BB5D2">
        <w:t>jednotný</w:t>
      </w:r>
      <w:r>
        <w:t>. Počet orgánov riadenia je nižší, zodpovednosť za IT podriadených organizácií nesú ministerstvá a zlepšuje sa schopnosť zavádzať zmeny úspešne. Vysoká miera automatizácie znižuje náklady na vývoj a prevádzku štátneho IT a zvyšuje sa jeho kvalit</w:t>
      </w:r>
      <w:r w:rsidR="18BFE01D">
        <w:t>a</w:t>
      </w:r>
      <w:r>
        <w:t>. Občania sú spokojní s vysokou dostupnosťou digitálnych služieb. Úra</w:t>
      </w:r>
      <w:r w:rsidR="00AF486C">
        <w:t xml:space="preserve">dníci pracujú v </w:t>
      </w:r>
      <w:r>
        <w:t>prostrediach informačných systémov, ktoré im uľahčujú a zrýchľujú plnenie ich úloh.</w:t>
      </w:r>
    </w:p>
    <w:p w14:paraId="49DEA1B9" w14:textId="77777777" w:rsidR="00C92B81" w:rsidRDefault="00C92B81" w:rsidP="00C92B81">
      <w:r>
        <w:t xml:space="preserve">Digitálne trhovisko je jednoduchšie a obstarávanie bežných digitálnych služieb, hardvéru a softvéru je rýchlejšie. Trhovisko je prepojené na interné systémy kupujúceho. Nákup, fakturácia a evidencia majetku sú vďaka tomu hotové už za niekoľko minút či hodín. Štátni zamestnanci sa tak oveľa rýchlejšie dostanú k nástrojom, ktoré potrebujú pre prácu. </w:t>
      </w:r>
    </w:p>
    <w:p w14:paraId="7CEF1F41" w14:textId="77777777" w:rsidR="00C92B81" w:rsidRDefault="00C92B81" w:rsidP="00C92B81">
      <w:r>
        <w:t>Štát zrýchľuje a zefektívňuje verejné obstarávania informačných systémov, obstarávajú sa menšie časti a od dodávateľov sa nevyžadujú neprimerané požiadavky. Ceny sa porovnávajú s cenami v komerčnej sfére a s cenami štátnych zákaziek v okolitých krajinách. Zvyšuje sa konkurencia v obstarávaniach, štát získava najlepšiu hodnotu za peniaze a zefektívňuje vybudovanie stále kvalitnejších informačných systémov.</w:t>
      </w:r>
    </w:p>
    <w:p w14:paraId="7C8EF3C6" w14:textId="77777777" w:rsidR="00C92B81" w:rsidRDefault="00C92B81" w:rsidP="00C92B81">
      <w:r>
        <w:t>Informačné systémy sa budujú postupne, po častiach</w:t>
      </w:r>
      <w:r w:rsidR="65D91A1D">
        <w:t xml:space="preserve"> tam, kde to má zmysel</w:t>
      </w:r>
      <w:r>
        <w:t>. Najprv sa overuje ich funkčnosť v pilotnom nasadení. Ďalšia časť sa buduje po potvrdení, že tá predchádzajúca priniesla želaný úžitok. Budovanie menších častí znižuje riziko a zvyšuje použiteľnosť naozaj potrebných služieb. Prostriedky a úsilie smerujú tam, kde to má najväčší zmysel. Prioritizácia zdrojov a pozornosti je kľúčovou hybnou silou celej digitálnej transformácie.</w:t>
      </w:r>
    </w:p>
    <w:p w14:paraId="132AFA2E" w14:textId="77777777" w:rsidR="00C92B81" w:rsidRDefault="00C92B81" w:rsidP="00C92B81">
      <w:r>
        <w:t>Na kybernetickú a informačnú bezpečnosť sa myslí aj pri návrhu nových informačných systémov a bezpečnosť sa kontroluje pri každom nasadzovaní do prevádzky. Malé štátne a verejné orgány využívajú cenovo efektívnejšie centrálne bezpečnostné riešenia a mechanizmy. Informačné systémy sú pravidelne podrobované testovaniu bezpečnosti. Štát motivuje aj nezávislých odborníkov na jej preverenie. Dáta občanov sú vďaka tomu v bezpečí voči hrozbám, zneužitiu a strate.</w:t>
      </w:r>
    </w:p>
    <w:p w14:paraId="72CC64F0" w14:textId="77777777" w:rsidR="005D7E4E" w:rsidRPr="004D73C4" w:rsidRDefault="00C92B81" w:rsidP="00C92B81">
      <w:r>
        <w:t>Bezpečnostní odborníci štátu aktívne sledujú prebiehajúce hrozby, zapájajú sa do medzinárodných aktivít a priebežne vylepšujú bezpečnosť informačných systémov štátu. Štátne IT dokáže zodpovedne reagovať na aktuálne hrozby</w:t>
      </w:r>
      <w:r w:rsidR="005D7E4E" w:rsidRPr="004D73C4">
        <w:t>.</w:t>
      </w:r>
    </w:p>
    <w:p w14:paraId="26494E2A" w14:textId="77777777" w:rsidR="005D7E4E" w:rsidRPr="004D73C4" w:rsidRDefault="005D7E4E" w:rsidP="00E362F7">
      <w:pPr>
        <w:pStyle w:val="Nadpis3"/>
      </w:pPr>
      <w:bookmarkStart w:id="65" w:name="_Toc66896134"/>
      <w:bookmarkStart w:id="66" w:name="_Toc69297697"/>
      <w:bookmarkStart w:id="67" w:name="_Toc70369662"/>
      <w:bookmarkStart w:id="68" w:name="_Toc70711602"/>
      <w:r w:rsidRPr="004D73C4">
        <w:t>Centralizácia, kde to má zmysel</w:t>
      </w:r>
      <w:bookmarkEnd w:id="65"/>
      <w:bookmarkEnd w:id="66"/>
      <w:bookmarkEnd w:id="67"/>
      <w:bookmarkEnd w:id="68"/>
    </w:p>
    <w:p w14:paraId="65486837" w14:textId="77777777" w:rsidR="00C92B81" w:rsidRDefault="00C92B81" w:rsidP="00C92B81">
      <w:r>
        <w:t>Dobrá centralizácia prináša štátu úspory a občanom zvyšuje kvalitu IT služieb.</w:t>
      </w:r>
    </w:p>
    <w:p w14:paraId="25D2E059" w14:textId="77777777" w:rsidR="00C92B81" w:rsidRDefault="00C92B81" w:rsidP="00C92B81">
      <w:r>
        <w:t>Interné IT pre celú verejnú správu je nákladovo efektívne, predchádza sa zbytočnému zdvojovaniu a je zavedený jednotný model prevádzkovania. Technologická automatizácia, centralizovaná správa hardvéru a softvéru a jednotné štandardy prevádzky štátneho IT znižujú nároky na verejné financie. IT pracovníci sa</w:t>
      </w:r>
      <w:r w:rsidR="00934846">
        <w:t xml:space="preserve"> </w:t>
      </w:r>
      <w:r>
        <w:t>špecializujú, čím sa zvýšila kvalita prevádzky systémov. Doba potrebná na spustenie nových IT služieb sa skracuje.</w:t>
      </w:r>
    </w:p>
    <w:p w14:paraId="25F56C0F" w14:textId="77777777" w:rsidR="00C92B81" w:rsidRDefault="00C92B81" w:rsidP="00C92B81">
      <w:r>
        <w:t>Centralizácia je postupný a spoločný proces, ktorý prebieha vo viacerých rovinách. Orgány riadenia sú skoncentrované do menšieho počtu s väčšou schopnosťou zavádzať zmeny.</w:t>
      </w:r>
    </w:p>
    <w:p w14:paraId="533F37FE" w14:textId="77777777" w:rsidR="00C92B81" w:rsidRDefault="00C92B81" w:rsidP="00C92B81">
      <w:r>
        <w:t>Organizácie si budujú interné kapacity najmä v oblasti agendovej znalosti a analýzy procesov a vo vzťahu k podriadeným organizáciám realizujú interné centralizačné iniciatívy nadväzujúce na ciele centralizácie. Centrálna autorita buduje prevažne štandardné IT pozície a hardvérové a softvérové zdroje v podobe vládneho cloudu (virtualizované IT prostredie), centrálnej infraštruktúry, centrálnych komponentov a súvisiacej podpory. Pre dohodnutý hardvér, softvér a služby sa realizujú centrálne verejné obstarávania.</w:t>
      </w:r>
    </w:p>
    <w:p w14:paraId="3B53DC1F" w14:textId="77777777" w:rsidR="00C92B81" w:rsidRDefault="00C92B81" w:rsidP="00C92B81">
      <w:r>
        <w:lastRenderedPageBreak/>
        <w:t xml:space="preserve">Vývoj nových informačných systémov je v súlade so štandardom založenom na cloude a vždy, keď je to možné, sú prevádzkované vo vládnom cloude okrem odsúhlasených výnimiek. Pri návrhu systémov sa kvôli vyššej efektivite používajú už existujúce bloky a služby. Životný cyklus informačných systémov sa plánuje ucelene tak, že sú známe všetky súvisiace náklady počas doby prevádzky vrátane plánu na ukončenie používania. </w:t>
      </w:r>
    </w:p>
    <w:p w14:paraId="1B306ABB" w14:textId="77777777" w:rsidR="00C92B81" w:rsidRDefault="00C92B81" w:rsidP="00C92B81">
      <w:r>
        <w:t>Vyvíjajú sa zdieľané funkcionality, ktoré využívajú viaceré organizácie. Spoločné bloky v cloudovom štandarde sú publikované ako služby v Katalógu vládneho cloudu.</w:t>
      </w:r>
    </w:p>
    <w:p w14:paraId="2B7B36C4" w14:textId="77777777" w:rsidR="00C92B81" w:rsidRDefault="00C92B81" w:rsidP="00C92B81">
      <w:r>
        <w:t>Prevádzkované informačné systémy sa prerábajú do nového štandardu a do cloudu, vždy ak to ušetrí celkové náklady. Kombinácia pozitívnej a negatívnej motivácie na úrovni štátneho rozpočtu podporuje prechod do vládneho cloudu.</w:t>
      </w:r>
    </w:p>
    <w:p w14:paraId="30F0C4D6" w14:textId="77777777" w:rsidR="00C92B81" w:rsidRDefault="00C92B81" w:rsidP="00C92B81">
      <w:r>
        <w:t xml:space="preserve">Základné aplikácie verejnej správy sú zjednotené: riadenie identít, emailový systém, nástroje na spoluprácu, webové sídla, platforma pre on-line vzdelávanie, call centrum podpory a ostatné štandardné interné záležitosti typu: podateľňa, registratúra, účtovníctvo a pod. Úradníci efektívnejšie pracujú v prostredí, ktoré už poznajú. </w:t>
      </w:r>
    </w:p>
    <w:p w14:paraId="1FBC1219" w14:textId="77777777" w:rsidR="005D7E4E" w:rsidRPr="004D73C4" w:rsidRDefault="00C92B81" w:rsidP="00C92B81">
      <w:r>
        <w:t>Systém jednotnej správy koncových zariadení a lokálnych počítačových sietí je zavedený na základe geografickej výhodnosti a je prepojený s oblasťou kybernetickej bezpečnosti</w:t>
      </w:r>
      <w:r w:rsidR="005D7E4E" w:rsidRPr="004D73C4">
        <w:t xml:space="preserve">. </w:t>
      </w:r>
    </w:p>
    <w:p w14:paraId="0D0F0015" w14:textId="77777777" w:rsidR="00C92B81" w:rsidRDefault="00C92B81" w:rsidP="00C92B81">
      <w:r>
        <w:t xml:space="preserve">Vládny cloud poskytuje svoje služby v kvalite a rozsahu podľa požiadaviek </w:t>
      </w:r>
      <w:r w:rsidRPr="003D138C">
        <w:t>štátnych inštitúcií</w:t>
      </w:r>
      <w:r>
        <w:t>. Je technologickým základom centralizácie a poskytuje služby, ktoré sú publikované v Katalógu vládneho cloudu. Cena a kvalita (SLA) služieb sú známe a vzájomne v súlade.</w:t>
      </w:r>
    </w:p>
    <w:p w14:paraId="1382E58C" w14:textId="77777777" w:rsidR="00C92B81" w:rsidRDefault="00DE48F8" w:rsidP="00C92B81">
      <w:r>
        <w:t xml:space="preserve">Gestor informatizácie </w:t>
      </w:r>
      <w:r w:rsidR="00C92B81">
        <w:t xml:space="preserve">koordinuje poskytovanie a používanie vládnych cloudových služieb. Pomocou jednej organizácie prevádzkuje datacentrá a služby privátnej časti vládneho cloudu efektívnejšie a kvalitnejšie. </w:t>
      </w:r>
    </w:p>
    <w:p w14:paraId="1FACDD04" w14:textId="77777777" w:rsidR="005D7E4E" w:rsidRPr="004D73C4" w:rsidRDefault="005D7E4E" w:rsidP="00D24CB0">
      <w:r w:rsidRPr="004D73C4">
        <w:t xml:space="preserve">Služby </w:t>
      </w:r>
      <w:r w:rsidR="00452031">
        <w:t>v</w:t>
      </w:r>
      <w:r w:rsidRPr="004D73C4">
        <w:t xml:space="preserve">ládneho cloudu sa zlepšujú a rozširujú na základe požiadaviek a podnetov. </w:t>
      </w:r>
      <w:r w:rsidR="00452031" w:rsidRPr="003D138C">
        <w:t>O</w:t>
      </w:r>
      <w:r w:rsidRPr="003D138C">
        <w:t>VM</w:t>
      </w:r>
      <w:r w:rsidRPr="004D73C4">
        <w:t xml:space="preserve"> používajú finančne efektívne SaaS služby. Dôsledne sa uplatňuje pravidlo „vládny cloud prednostne“, IaaS a </w:t>
      </w:r>
      <w:r w:rsidR="00DC3011" w:rsidRPr="004D73C4">
        <w:t>Platforma ako služba (ďalej len „PaaS“)</w:t>
      </w:r>
      <w:r w:rsidRPr="004D73C4">
        <w:t xml:space="preserve"> služby sa poskytujú len v odôvodnených prípadoch</w:t>
      </w:r>
      <w:r w:rsidR="00C92B81">
        <w:t xml:space="preserve">, </w:t>
      </w:r>
      <w:r w:rsidR="00C92B81" w:rsidRPr="00C92B81">
        <w:t>keď sú finančne efektívne</w:t>
      </w:r>
      <w:r w:rsidRPr="004D73C4">
        <w:t>.</w:t>
      </w:r>
    </w:p>
    <w:p w14:paraId="45A79BEC" w14:textId="77777777" w:rsidR="005D7E4E" w:rsidRPr="004D73C4" w:rsidRDefault="00C92B81" w:rsidP="00D24CB0">
      <w:r w:rsidRPr="00C92B81">
        <w:t>Prehľadný Katalóg vládneho cloudu zjednodušuje výber SaaS služieb, ich spoplatnenie a spustenie. Automatizácia poskytovania cloudových služieb je porovnateľná s lídrami na trhu. Vládny cloud je integrovaný s európskymi cloudovými aktivitami. Proces overovania zhody nových cloudových služieb je zjednotený a zharmonizovaný s európskymi postupmi</w:t>
      </w:r>
      <w:r w:rsidR="005D7E4E" w:rsidRPr="004D73C4">
        <w:t>.</w:t>
      </w:r>
    </w:p>
    <w:p w14:paraId="4A1592C9" w14:textId="77777777" w:rsidR="005D7E4E" w:rsidRPr="004D73C4" w:rsidRDefault="005D7E4E" w:rsidP="00E362F7">
      <w:pPr>
        <w:pStyle w:val="Nadpis3"/>
      </w:pPr>
      <w:bookmarkStart w:id="69" w:name="_Toc66896135"/>
      <w:bookmarkStart w:id="70" w:name="_Toc69297698"/>
      <w:bookmarkStart w:id="71" w:name="_Toc70369663"/>
      <w:bookmarkStart w:id="72" w:name="_Toc70711603"/>
      <w:r w:rsidRPr="004D73C4">
        <w:t>Kybernetická a informačná bezpečnosť</w:t>
      </w:r>
      <w:bookmarkEnd w:id="69"/>
      <w:bookmarkEnd w:id="70"/>
      <w:bookmarkEnd w:id="71"/>
      <w:bookmarkEnd w:id="72"/>
      <w:r w:rsidRPr="004D73C4">
        <w:t xml:space="preserve"> </w:t>
      </w:r>
    </w:p>
    <w:p w14:paraId="38AD11FF" w14:textId="77777777" w:rsidR="00C92B81" w:rsidRDefault="00C92B81" w:rsidP="00C92B81">
      <w:r>
        <w:t xml:space="preserve">Digitálne informačné a komunikačné technológie sú súčasťou kritickej infraštruktúry spoločnosti. Zaistenie ich spoľahlivého fungovania, teda dosiahnutie a udržiavanie potrebnej úrovne KIB, je nevyhnutnou podmienkou zabezpečenia chodu jednotlivých organizácií i celej spoločnosti. V plnej miere to platí aj v oblasti poskytovania bezpečných digitálnych verejných služieb a možnosti ich rozširovania v prospech celej spoločnosti. </w:t>
      </w:r>
    </w:p>
    <w:p w14:paraId="62982978" w14:textId="77777777" w:rsidR="00C92B81" w:rsidRDefault="00C92B81" w:rsidP="00C92B81">
      <w:r>
        <w:t>Vo verejnej správe sú vybudované potrebné centrálne odborné kapacity. Počty odborníkov na oblasť KIB sú na úrovni priemeru Európskej únie.</w:t>
      </w:r>
    </w:p>
    <w:p w14:paraId="027BC587" w14:textId="77777777" w:rsidR="00C92B81" w:rsidRDefault="00C92B81" w:rsidP="00C92B81">
      <w:r>
        <w:t>Digitálna a bezpečnostná gramotnosť pracovníkov verejnej správy v oblasti KIB sa zabezpečuje kontinuálnym vzdelávaním, certifikáciou a zvyšovaním bezpečnostného povedomia. Prebieha spolupráca s akademickým i súkromným sektorom. Rozbehlo sa celoživotné odborné vzdelávanie a poskytovanie cielenej pomoci pre učiteľov a lektorov KIB. Prebiehajú edukačné aktivity v oblasti bezpečnosti smerom k verejnosti.</w:t>
      </w:r>
    </w:p>
    <w:p w14:paraId="615572DB" w14:textId="77777777" w:rsidR="00C92B81" w:rsidRDefault="00C92B81" w:rsidP="00C92B81">
      <w:r>
        <w:t xml:space="preserve">Systematický prístup k zavádzaniu a ochrane digitálnych služieb je zásadný. Dôraz sa kladie najmä na ochranu citlivých a osobných údajov. Pre systémy, prostredníctvom ktorých sa poskytujú digitálne služby, je definovaná povinná základná úroveň KIB a opatrenia, ktoré sa systematicky uplatňujú počas celého ich životného cyklu (vývoj, obstarávanie, nasadzovanie, prevádzka, zmeny, vyraďovanie). </w:t>
      </w:r>
      <w:r>
        <w:lastRenderedPageBreak/>
        <w:t>Systémy majú implementované bezpečnostné nástroje na prevenciu kybernetických útokov a podporu ich riešenia, keď k nim už dôjde. Špeciálne, každá aplikácia podporujúca digitálne služby je pred nasadením do prevádzky podrobená bezpečnostnému testu.</w:t>
      </w:r>
    </w:p>
    <w:p w14:paraId="262418D9" w14:textId="77777777" w:rsidR="00C92B81" w:rsidRDefault="00C92B81" w:rsidP="00C92B81">
      <w:r>
        <w:t xml:space="preserve">KIB vo verejnej správe je </w:t>
      </w:r>
      <w:r w:rsidR="364EE893">
        <w:t xml:space="preserve">na vyššej kvalitatívnej úrovni </w:t>
      </w:r>
      <w:r>
        <w:t xml:space="preserve">– od ad-hoc riešení sa posunula k dlhodobej systematickej plánovanej činnosti, podporenej priebežne aktualizovaným odborným know-how, legislatívnym a štandardizačným rámcom a potrebnými zdrojmi. Digitálny ekosystém verejnej správy vďaka tomu získava popri kapacitách na riešenie akútnych problémov, účinné a ekonomicky prijateľné štandardizované systémové riešenia, primerané zabezpečenie, jednotnosť a odolnosť voči potenciálnym kybernetickým hrozbám. </w:t>
      </w:r>
    </w:p>
    <w:p w14:paraId="51DA0CC8" w14:textId="77777777" w:rsidR="005D7E4E" w:rsidRPr="004D73C4" w:rsidRDefault="00C92B81" w:rsidP="00C92B81">
      <w:r>
        <w:t>Pri používaní digitálnych služieb online, občan dôveruje digitálnemu ekosystému verejnej správy. Vie, že sa môže spoľahnúť na bezpečnosť webových transakcií a ochranu jeho digitálnej identity. Dôvera k službám elektronickej verejnej správy je na úrovni, kedy sa občania už vedome nevyhýbajú elektronickej komunikácii so štátom</w:t>
      </w:r>
      <w:r w:rsidR="005D7E4E" w:rsidRPr="004D73C4">
        <w:t>.</w:t>
      </w:r>
    </w:p>
    <w:p w14:paraId="3529273A" w14:textId="77777777" w:rsidR="005D7E4E" w:rsidRPr="004D73C4" w:rsidRDefault="005D7E4E" w:rsidP="00E362F7">
      <w:pPr>
        <w:pStyle w:val="Nadpis3"/>
      </w:pPr>
      <w:bookmarkStart w:id="73" w:name="_Toc66896136"/>
      <w:bookmarkStart w:id="74" w:name="_Toc69297699"/>
      <w:bookmarkStart w:id="75" w:name="_Toc70369664"/>
      <w:bookmarkStart w:id="76" w:name="_Toc70711604"/>
      <w:r w:rsidRPr="004D73C4">
        <w:t>Verejné obstarávanie a nákup</w:t>
      </w:r>
      <w:bookmarkEnd w:id="73"/>
      <w:bookmarkEnd w:id="74"/>
      <w:bookmarkEnd w:id="75"/>
      <w:bookmarkEnd w:id="76"/>
    </w:p>
    <w:p w14:paraId="06D2BC5B" w14:textId="77777777" w:rsidR="00C92B81" w:rsidRDefault="00C92B81" w:rsidP="00C92B81">
      <w:r>
        <w:t>Verejné obstarávanie a nákup IT predstavujú jednoduchý, a</w:t>
      </w:r>
      <w:r w:rsidR="17E86FBA">
        <w:t xml:space="preserve"> </w:t>
      </w:r>
      <w:r>
        <w:t xml:space="preserve">zákonný proces. Tejto činnosti pomáha znalostná databáza pre obstaranie a dodanie IT diela alebo služby. Organizácie pomocou digitálneho sprievodcu zisťujú konkrétne výhody ako aj riziká spojené s obstaraním svojej zákazky. </w:t>
      </w:r>
    </w:p>
    <w:p w14:paraId="5D90B231" w14:textId="77777777" w:rsidR="00C92B81" w:rsidRDefault="00C92B81" w:rsidP="00C92B81">
      <w:r>
        <w:t xml:space="preserve">Vo verejnom obstarávaní IT štát využíva centralizáciu všade, kde to dáva zmysel a prinesie úsporu. Vybrané IT komodity štát riadi, spravuje a obstaráva centrálne. Výsledkom procesu centralizácie v zmysle bodu 3.1 je nástroj centralizácie verejného obstarávania, ktorým je napríklad: centrálny nákupný systém (vrátane centrálneho trhoviska), centrálna licenčná zmluva, centrálny technologický modul alebo iný komponent. </w:t>
      </w:r>
    </w:p>
    <w:p w14:paraId="1310F86A" w14:textId="77777777" w:rsidR="00C92B81" w:rsidRDefault="00C92B81" w:rsidP="00C92B81">
      <w:r>
        <w:t xml:space="preserve">Štát zastúpený gestorom v oblasti informatizácie centrálne vyberá konkrétne produkty alebo služby a nakupuje ich výhodne, a ďalej ich riadi a spravuje. </w:t>
      </w:r>
    </w:p>
    <w:p w14:paraId="0D16C298" w14:textId="77777777" w:rsidR="00C92B81" w:rsidRDefault="00C92B81" w:rsidP="00C92B81">
      <w:r>
        <w:t xml:space="preserve">Štát vzdeláva organizácie a ich zamestnancov naprieč štátnou a verejnou správou a organizuje podujatia, na ktorých IT trh opisuje viac do hĺbky. </w:t>
      </w:r>
    </w:p>
    <w:p w14:paraId="3D33EAA8" w14:textId="77777777" w:rsidR="00C92B81" w:rsidRDefault="00C92B81" w:rsidP="00C92B81">
      <w:r>
        <w:t xml:space="preserve">Na zabezpečenie funkčnosti obstarávania má štát informácie o vlastnom majetku a možnostiach, ktoré prináša trh IT. Rovnako ako v súkromnej sfére, aj tu sa štát snaží dosiahnuť najlepšiu hodnotu za peniaze. </w:t>
      </w:r>
    </w:p>
    <w:p w14:paraId="0BBDF3AB" w14:textId="77777777" w:rsidR="005D7E4E" w:rsidRPr="004D73C4" w:rsidRDefault="00C92B81" w:rsidP="00C92B81">
      <w:r>
        <w:t>Štát sa pred nákupom, na základe analýzy, rozhoduje čo všetko chce centralizovať a vykonáva tieto činnosti</w:t>
      </w:r>
      <w:r w:rsidR="005D7E4E" w:rsidRPr="004D73C4">
        <w:t xml:space="preserve">: </w:t>
      </w:r>
    </w:p>
    <w:p w14:paraId="1139A949" w14:textId="77777777" w:rsidR="00C92B81" w:rsidRPr="00C92B81" w:rsidRDefault="00C92B81" w:rsidP="00C92B81">
      <w:pPr>
        <w:pStyle w:val="Odsekzoznamu"/>
        <w:rPr>
          <w:rFonts w:eastAsiaTheme="majorEastAsia"/>
        </w:rPr>
      </w:pPr>
      <w:r w:rsidRPr="190F7DBA">
        <w:rPr>
          <w:rFonts w:eastAsiaTheme="majorEastAsia"/>
        </w:rPr>
        <w:t>Zriaďuje centrálny systém verejného obstarávania (nástroj centralizácie verejného obstarávania IT).</w:t>
      </w:r>
    </w:p>
    <w:p w14:paraId="6C2017E7" w14:textId="77777777" w:rsidR="00C92B81" w:rsidRPr="00C92B81" w:rsidRDefault="00C92B81" w:rsidP="00C92B81">
      <w:pPr>
        <w:pStyle w:val="Odsekzoznamu"/>
        <w:rPr>
          <w:rFonts w:eastAsiaTheme="majorEastAsia"/>
        </w:rPr>
      </w:pPr>
      <w:r w:rsidRPr="190F7DBA">
        <w:rPr>
          <w:rFonts w:eastAsiaTheme="majorEastAsia"/>
        </w:rPr>
        <w:t>Oboznamuje štátnu a verejnú správu s centrálnym systémom.</w:t>
      </w:r>
    </w:p>
    <w:p w14:paraId="2641F693" w14:textId="77777777" w:rsidR="00C92B81" w:rsidRPr="00C92B81" w:rsidRDefault="00C92B81" w:rsidP="00C92B81">
      <w:pPr>
        <w:pStyle w:val="Odsekzoznamu"/>
        <w:rPr>
          <w:rFonts w:eastAsiaTheme="majorEastAsia"/>
        </w:rPr>
      </w:pPr>
      <w:r w:rsidRPr="190F7DBA">
        <w:rPr>
          <w:rFonts w:eastAsiaTheme="majorEastAsia"/>
        </w:rPr>
        <w:t>Spravuje nakúpené IT zariadenia, ich životný cyklus a služby prostredníctvom centrálneho systému verejného obstarávania.</w:t>
      </w:r>
    </w:p>
    <w:p w14:paraId="4B9D3068" w14:textId="77777777" w:rsidR="005D7E4E" w:rsidRPr="004D73C4" w:rsidRDefault="00C92B81" w:rsidP="00C92B81">
      <w:pPr>
        <w:pStyle w:val="Odsekzoznamu"/>
      </w:pPr>
      <w:r w:rsidRPr="190F7DBA">
        <w:rPr>
          <w:rFonts w:eastAsiaTheme="majorEastAsia"/>
        </w:rPr>
        <w:t xml:space="preserve">Vyhodnocuje v určitom čase (3-4 roky) efektívnosť centrálneho systému verejného obstarávania. </w:t>
      </w:r>
      <w:r w:rsidR="2903A0A4">
        <w:t>Štát vlastní všetky potrebné práva k informačným systémom verejnej správy. Štát dokáže sám rozhodovať o smerovaní konkrétneho informačného systému alebo jeho časti a nie je pri rozhodovaní obmedzovaný právami tretích osôb. Štát uprednostňuje využívanie open source technológi</w:t>
      </w:r>
      <w:r w:rsidR="00934F31">
        <w:t>í</w:t>
      </w:r>
      <w:r w:rsidR="2903A0A4">
        <w:t>.</w:t>
      </w:r>
    </w:p>
    <w:p w14:paraId="6856D8CD" w14:textId="77777777" w:rsidR="00C92B81" w:rsidRDefault="00C92B81" w:rsidP="00C92B81">
      <w:r>
        <w:t>Štát vlastní všetky potrebné práva k informačným systémom verejnej správy a dokáže sám rozhodovať o rozvoji konkrétneho informačného systému alebo jeho časti. Nie je pri rozhodovaní obmedzovaný právami tretích osôb. Štát uprednostňuje využívanie open source technológi</w:t>
      </w:r>
      <w:r w:rsidR="00934F31">
        <w:t>í</w:t>
      </w:r>
      <w:r>
        <w:t>.</w:t>
      </w:r>
    </w:p>
    <w:p w14:paraId="66C81433" w14:textId="77777777" w:rsidR="00C92B81" w:rsidRDefault="00C92B81" w:rsidP="00C92B81">
      <w:r>
        <w:t xml:space="preserve">Využíva sa aktívny prístup v rámci verejného obstarávania. To znamená, že štát kladie dôraz na čo najmenšie funkčné plnenia. Využívanie čiastkového plnenia (inkrementu) umožňuje verejnému obstarávateľovi flexibilitu z pohľadu riadenia dodávky. </w:t>
      </w:r>
    </w:p>
    <w:p w14:paraId="24BBDFAA" w14:textId="77777777" w:rsidR="00C92B81" w:rsidRDefault="00C92B81" w:rsidP="00C92B81">
      <w:r>
        <w:lastRenderedPageBreak/>
        <w:t xml:space="preserve">Štát podporuje využívanie cloudových služieb v duchu pravidla „cloudové služby prednostne“. Zriaďuje sa digitálne trhovisko ako centrálny nástroj obstarávania a správy cloudových služieb pre účely orgánov verejnej správy. Využíva sa proof of concept, ktorým skúma, či produkt alebo služba spĺňa požadované podmienky a je v rámci štátu použiteľná. Na základe toho sa následne využíva prototyp tohto produktu alebo služby. </w:t>
      </w:r>
    </w:p>
    <w:p w14:paraId="56804F41" w14:textId="77777777" w:rsidR="00C92B81" w:rsidRDefault="00C92B81" w:rsidP="00C92B81">
      <w:r>
        <w:t>Štát celú verejnú a štátu správu neustále vzdeláva v oblasti obstarávania IT. Za účelom osvety organizuje pravidelné fóra a iné aktivity so zapojením všetkých dotknutých strán. Zlepšuje to dynamiku IT trhu</w:t>
      </w:r>
      <w:r w:rsidR="00934846">
        <w:t xml:space="preserve"> </w:t>
      </w:r>
      <w:r>
        <w:t xml:space="preserve">a zvyšuje úroveň znalostí IT trhu z pohľadu štátu. </w:t>
      </w:r>
    </w:p>
    <w:p w14:paraId="136D49EE" w14:textId="77777777" w:rsidR="00C92B81" w:rsidRDefault="00C92B81" w:rsidP="00C92B81">
      <w:r>
        <w:t>Znalosti z oblasti obstarávania a nákupu IT sú koncentrované v znalostnej databáze. Nadobudnuté znalosti v databáze jednoduchým spôsobom poskytujú odpoveď na dôležité otázky, potom čo verejný obstarávateľ zadá parametre zákazky: existencia SaaS služby na trhu IT, ktorá zodpovedá požiadavke zákazky, postupy VO, rozdelenie zákazky, alternatívne riešenia, podobné skúsenosti so zákazkou, existencia riešenia na trhu, vhodnosť typu zmluvy pre zákazku.</w:t>
      </w:r>
    </w:p>
    <w:p w14:paraId="62B9F6B7" w14:textId="77777777" w:rsidR="00C92B81" w:rsidRDefault="00C92B81" w:rsidP="00C92B81">
      <w:r>
        <w:t xml:space="preserve">Získané znalosti pri generovaní odpovedí zohľadňujú legislatívu verejného obstarávania ako aj zákony z oblastí informatizácie. </w:t>
      </w:r>
    </w:p>
    <w:p w14:paraId="133AC0B8" w14:textId="77777777" w:rsidR="005D7E4E" w:rsidRPr="004D73C4" w:rsidRDefault="00C92B81" w:rsidP="00C92B81">
      <w:r>
        <w:t>Skúsenosti v IT oblasti sú pomocou organizáciám pri výbere najvhodnejšieho riešenia pre konkrétnu zákazku a poskytujú efektívny užívateľský zážitok pre používateľa</w:t>
      </w:r>
      <w:r w:rsidR="005D7E4E" w:rsidRPr="004D73C4">
        <w:t>.</w:t>
      </w:r>
    </w:p>
    <w:p w14:paraId="50001E72" w14:textId="77777777" w:rsidR="005D7E4E" w:rsidRPr="004D73C4" w:rsidRDefault="005D7E4E" w:rsidP="00E362F7">
      <w:pPr>
        <w:pStyle w:val="Nadpis3"/>
      </w:pPr>
      <w:bookmarkStart w:id="77" w:name="_Toc66896137"/>
      <w:bookmarkStart w:id="78" w:name="_Toc69297700"/>
      <w:bookmarkStart w:id="79" w:name="_Toc70369665"/>
      <w:bookmarkStart w:id="80" w:name="_Toc70711605"/>
      <w:r w:rsidRPr="004D73C4">
        <w:t>Ľudské zdroje v štátnom IT</w:t>
      </w:r>
      <w:bookmarkEnd w:id="77"/>
      <w:bookmarkEnd w:id="78"/>
      <w:bookmarkEnd w:id="79"/>
      <w:bookmarkEnd w:id="80"/>
    </w:p>
    <w:p w14:paraId="2F9CDFD2" w14:textId="77777777" w:rsidR="000368D9" w:rsidRDefault="000368D9" w:rsidP="000368D9">
      <w:r>
        <w:t>Informačná asymetria medzi štátom a jeho dodávateľmi je minulosťou. Štát zamestnáva primeraný počet interných IT odborníkov, ktorí efektívne riadia prevádzku a rozvoj systémov. Práca pre štátne IT je považovaná za prestížnu.</w:t>
      </w:r>
    </w:p>
    <w:p w14:paraId="30433E0D" w14:textId="77777777" w:rsidR="000368D9" w:rsidRDefault="000368D9" w:rsidP="000368D9">
      <w:r>
        <w:t xml:space="preserve">Štát prevádzkuje moderný IT kariérny portál. Externá komunikácia je prispôsobená špecifikám cieľovej komunity, ktorú efektívne oslovuje. Špecifikám komunity a potrebám štátu je prispôsobený aj samotný proces výberu nových zamestnancov. Kariéra v štátnom IT je hodnotná referencia v životopise. </w:t>
      </w:r>
    </w:p>
    <w:p w14:paraId="1EB04C7F" w14:textId="77777777" w:rsidR="000368D9" w:rsidRDefault="326152A2" w:rsidP="000368D9">
      <w:r>
        <w:t>Do praxe je uvedený referenčný kompetenčný model, systém odmeňovania, rozvoja a vzdelávania ľudských zdrojov. Počíta sa v nich s rôznou veľkosťou a stupňom vyspelosti jednotlivých organizáci</w:t>
      </w:r>
      <w:r w:rsidR="00934F31">
        <w:t>í</w:t>
      </w:r>
      <w:r>
        <w:t xml:space="preserve"> v rámci štátneho IT. Sú zadefinované a pravidelne aktualizované role, ich pracovné opisy, požadované kompetencie a zodpovednosti. Pre jednotlivé role je nastavený a pravidelne prehodnocovaný aj systém mzdového ohodnotenia. Celý systém pokrýva </w:t>
      </w:r>
      <w:r w:rsidR="12DC6FE1">
        <w:t xml:space="preserve">strategické, </w:t>
      </w:r>
      <w:r>
        <w:t>prevádzkové aj projektové pozície. Zamestnanci v štátnom IT sú riadení maticovo.</w:t>
      </w:r>
    </w:p>
    <w:p w14:paraId="6C735A75" w14:textId="77777777" w:rsidR="000368D9" w:rsidRDefault="000368D9" w:rsidP="000368D9">
      <w:r>
        <w:t>V oblasti prevádzky aj rozvoja systémov je realizované pravidelné vzájomné zdieľanie znalostí a skúseností medzi organizáciami. Jednotlivci dopĺňajú takto formalizované zdieľanie o komunitné vzdelávanie a zdieľanie znalostí. Trvalé interné zdroje sú dopĺňané krátkodobými stážami či rotáciami medzi IT útvarmi štátnych organizáci</w:t>
      </w:r>
      <w:r w:rsidR="00934F31">
        <w:t>í</w:t>
      </w:r>
      <w:r>
        <w:t xml:space="preserve">. </w:t>
      </w:r>
    </w:p>
    <w:p w14:paraId="20622ECB" w14:textId="77777777" w:rsidR="000368D9" w:rsidRDefault="326152A2" w:rsidP="3912845A">
      <w:r>
        <w:t xml:space="preserve">Štátne organizácie primerane dopĺňajú interných zamestnancov externými. Pri dodávke projektu pokrývajú dočasné navýšenie požiadaviek na zdroje obstaraním dodávateľa alebo využívajú služby firmy špecializujúcej sa na prevádzku systémov. </w:t>
      </w:r>
      <w:r w:rsidR="2B61380D">
        <w:t>V prípadoch, ak to má opodstatnenie</w:t>
      </w:r>
      <w:r w:rsidR="40A7D58F">
        <w:t>,</w:t>
      </w:r>
      <w:r w:rsidR="2B61380D">
        <w:t xml:space="preserve"> </w:t>
      </w:r>
      <w:r>
        <w:t>využij</w:t>
      </w:r>
      <w:r w:rsidR="152EB5BF">
        <w:t>e</w:t>
      </w:r>
      <w:r>
        <w:t xml:space="preserve"> </w:t>
      </w:r>
      <w:r w:rsidR="5DADD5A1">
        <w:t xml:space="preserve">sa </w:t>
      </w:r>
      <w:r>
        <w:t>aj jednoduché doplnenie kapacity formou externých človekodní.</w:t>
      </w:r>
    </w:p>
    <w:p w14:paraId="71A9F7FC" w14:textId="77777777" w:rsidR="005D7E4E" w:rsidRPr="004D73C4" w:rsidRDefault="000368D9" w:rsidP="000368D9">
      <w:r>
        <w:t>Štát priamo podporuje príslušné vysokoškolské štúdiá. Jednotlivé štátne organizácie rozvíjajú kvalitu a kvantitu svojich IT odborných kapacít v súlade s organizačnými nárokmi inštitúcie. Nároky na ľudí rastú s pribúdajúcimi digitálnymi službami a s využívaním nových technologických vymožeností. Sú zavedené transparentné mechanizmy na monitorovanie a podporu schopnosti držať krok s prirodzeným technologickým vývojom naprieč štátnymi organizáciami</w:t>
      </w:r>
      <w:r w:rsidR="005D7E4E" w:rsidRPr="004D73C4">
        <w:t xml:space="preserve">. </w:t>
      </w:r>
    </w:p>
    <w:p w14:paraId="209B8160" w14:textId="77777777" w:rsidR="005D7E4E" w:rsidRPr="004D73C4" w:rsidRDefault="005D7E4E" w:rsidP="00E362F7">
      <w:pPr>
        <w:pStyle w:val="Nadpis3"/>
      </w:pPr>
      <w:bookmarkStart w:id="81" w:name="_Toc66896138"/>
      <w:bookmarkStart w:id="82" w:name="_Toc69297701"/>
      <w:bookmarkStart w:id="83" w:name="_Toc70369666"/>
      <w:bookmarkStart w:id="84" w:name="_Toc70711606"/>
      <w:r w:rsidRPr="004D73C4">
        <w:t>Efektívne riadenie</w:t>
      </w:r>
      <w:bookmarkEnd w:id="81"/>
      <w:bookmarkEnd w:id="82"/>
      <w:bookmarkEnd w:id="83"/>
      <w:bookmarkEnd w:id="84"/>
    </w:p>
    <w:p w14:paraId="08BEF90D" w14:textId="77777777" w:rsidR="000368D9" w:rsidRDefault="326152A2" w:rsidP="000368D9">
      <w:r>
        <w:t xml:space="preserve">Vo verejnej správe si </w:t>
      </w:r>
      <w:r w:rsidR="649228B1">
        <w:t>vedúci útvarov</w:t>
      </w:r>
      <w:r>
        <w:t xml:space="preserve"> informačných technológií navzájom zdieľajú informácie a zlaďujú aktivity prostredníctvom pravidelnej strategickej komunikačnej platformy a pravidelne diskutujú o </w:t>
      </w:r>
      <w:r>
        <w:lastRenderedPageBreak/>
        <w:t>spoločných problémoch. Organizácie sa vzájomne počúvajú a na základe diskusie vznikajú dohody na riešeniach. Ďalšie kroky smerujúce k pokroku v e-Governmente sa realizujú na princípe partnerstva.</w:t>
      </w:r>
    </w:p>
    <w:p w14:paraId="21650B8A" w14:textId="77777777" w:rsidR="000368D9" w:rsidRDefault="000368D9" w:rsidP="000368D9">
      <w:r>
        <w:t xml:space="preserve">Gestor informatizácie informuje o svojich zámeroch v dostatočnom predstihu. Ostatné </w:t>
      </w:r>
      <w:r w:rsidRPr="003D138C">
        <w:t>ministerstvá</w:t>
      </w:r>
      <w:r>
        <w:t xml:space="preserve"> sa zapájajú do tejto diskusie a poskytujú spätnú väzbu k legislatívnemu, finančnému a strategickému plánu. Zároveň si pripravujú kapacity v oblasti manažmentu dodávateľov, rozpočtu a projektového riadenia. Kvalita e-Governmentu rastie. </w:t>
      </w:r>
    </w:p>
    <w:p w14:paraId="3C78803B" w14:textId="77777777" w:rsidR="000368D9" w:rsidRDefault="000368D9" w:rsidP="000368D9">
      <w:r>
        <w:t>Do tvorby stratégie, legislatívy a modelu financovania sú zapojené aj IT útvary jednotlivých štátnych organizácií.</w:t>
      </w:r>
    </w:p>
    <w:p w14:paraId="75DC1BC4" w14:textId="4A119790" w:rsidR="000368D9" w:rsidRDefault="5DEF8A55" w:rsidP="000368D9">
      <w:r>
        <w:t xml:space="preserve">Orgán vedenia v správe informačných technológií verejnej správy, ktorým je MIRRI </w:t>
      </w:r>
      <w:r w:rsidR="459E6F63">
        <w:t>SR</w:t>
      </w:r>
      <w:r>
        <w:t xml:space="preserve"> (ďalej len </w:t>
      </w:r>
      <w:r w:rsidR="007B2A26">
        <w:t>„</w:t>
      </w:r>
      <w:r>
        <w:t>orgán vedenia”)</w:t>
      </w:r>
      <w:r w:rsidR="2C42CDB6">
        <w:t>, h</w:t>
      </w:r>
      <w:r w:rsidR="326152A2">
        <w:t xml:space="preserve">ľadá model pri tvorbe stratégie, legislatívy a financovania, ktorý je výhodný pre všetky strany. Ide príkladom v riadení IT, prezentuje príklady dobrej praxe, vedie ostatné ministerstvá, podporuje ich a zaujíma sa o problémy. V spolupráci s ministerstvami odstraňuje bariéry, čím narastá tempo pozitívnych zmien v štátnom IT. </w:t>
      </w:r>
    </w:p>
    <w:p w14:paraId="18222139" w14:textId="77777777" w:rsidR="000368D9" w:rsidRDefault="000368D9" w:rsidP="000368D9">
      <w:r>
        <w:t>Je vytvorený systém, v ktorom sú online dostupné údaje o pokroku, výzvach a výsledkoch štátneho IT. Proces rozpoznávania chýb a čas na návrh riešenia sa skracuje. Zamestnanci v štátnom IT vedia o úspechoch a problémoch naprieč štátnou správu, zdieľajú svoje skúsenosti a učia sa na chybách ostatných. Prostredníctvom verejne dostupných údajov zamestnanci štátneho IT ako aj IT komunity a dodávateľov vidia celkový obraz, rozumejú súvislostiam a krokom, ktoré sa realizujú.</w:t>
      </w:r>
    </w:p>
    <w:p w14:paraId="70613449" w14:textId="77777777" w:rsidR="000368D9" w:rsidRDefault="000368D9" w:rsidP="000368D9">
      <w:r>
        <w:t xml:space="preserve">Rozvoj e-Governmentu je postavený na rozvoji služieb. Projekty sa nerealizujú nárazovo, ale postupným nasadzovaním novej funkcionality. Vznikajú tým produkty s dostatočnou funkcionalitou. Pri veľkých projektoch sa minimalizujú riziká vytváraním prototypov a overovaním konceptov. </w:t>
      </w:r>
      <w:r w:rsidRPr="003D138C">
        <w:t>Ministerstvá</w:t>
      </w:r>
      <w:r>
        <w:t xml:space="preserve"> majú väčšiu kontrolu nad menšími dodávkami, akceptujú produktové výstupy vo väčšej kvalite a spokojnosť u koncového používateľa rastie. </w:t>
      </w:r>
    </w:p>
    <w:p w14:paraId="5C1FD7A5" w14:textId="77777777" w:rsidR="000368D9" w:rsidRDefault="326152A2" w:rsidP="000368D9">
      <w:r>
        <w:t>Kvalitu implementovaných a prevádzkovaných digitálnych služieb riadi centrálna autorita Servisného dizajnu. Riadi napríklad uplatňovanie servisnej logiky, distribučnej politiky, využívanie centrálnych komponentov ako aj UX princípov (používateľského rozhrania) pri poskytovaní a rozvoji digitálnych služieb občanom. V procese plánovania, budovania, rozvoja a prevádzkovania informačných systémov sa kladie dôraz na cieľovú skupinu a jej potreby. Spätná väzba od občanov je monitorovaná a vplýva na vyhodnocovanie kvality poskytovanej služby. Služby informačných systémov sú súčasťou produktov, ktoré občan dostáva od štátu.</w:t>
      </w:r>
    </w:p>
    <w:p w14:paraId="4CA0A9FC" w14:textId="77777777" w:rsidR="000368D9" w:rsidRDefault="000368D9" w:rsidP="000368D9">
      <w:r>
        <w:t xml:space="preserve">Manažment plánovania, budovania, rozvoja a prevádzky informačných technológií štátneho IT je postavený na pevne určenej hierarchii. Gestor informatizácie má kompetencie určovať stratégiu, legislatívu a financovanie štátneho IT. V týchto oblastiach vedie </w:t>
      </w:r>
      <w:r w:rsidRPr="003D138C">
        <w:t>ministerstvá</w:t>
      </w:r>
      <w:r>
        <w:t xml:space="preserve"> a ostatné vybrané subjekty, ktoré sa zásadným spôsobom podieľajú na výkone e-Governmentu. </w:t>
      </w:r>
    </w:p>
    <w:p w14:paraId="4AA6089B" w14:textId="77777777" w:rsidR="000368D9" w:rsidRDefault="000368D9" w:rsidP="000368D9">
      <w:r w:rsidRPr="003D138C">
        <w:t>Ministerstvá</w:t>
      </w:r>
      <w:r>
        <w:t xml:space="preserve"> sú zodpovedné za IT svojich podriadených organizácií a spoločností. Fungujú na princípe správcu a prevádzkovateľa. Orgány riadenia sú koncentrované do menšieho počtu s väčšou schopnosťou zavádzať zmeny. IT zdroje sú kumulované do väčších celkov a vznikajú nielen úspory z rozsahu ale aj podmienky pre špecializáciu ľudských zdrojov v oblasti údajov, tvorby služieb, strategického plánovania a zavádzania inovácií na orgánoch riadenia.</w:t>
      </w:r>
    </w:p>
    <w:p w14:paraId="5EA4F6E7" w14:textId="77777777" w:rsidR="000368D9" w:rsidRDefault="000368D9" w:rsidP="000368D9">
      <w:r>
        <w:t xml:space="preserve">Model riadenia je postavený na kľúčových merateľných ukazovateľoch, na modeloch vyspelosti jednotlivých zložiek informatizácie a zároveň je prepojený s procesom rozpočtovania verejných zdrojov. Získané údaje sa potom vyžívajú pri schvaľovaní ďalších investícií do rozvoja informačných systémov. </w:t>
      </w:r>
    </w:p>
    <w:p w14:paraId="79A0D887" w14:textId="77777777" w:rsidR="005D7E4E" w:rsidRPr="004D73C4" w:rsidRDefault="000368D9" w:rsidP="005D7E4E">
      <w:r>
        <w:t>Rozvoj služieb je motivovaný spokojnosťou používateľa</w:t>
      </w:r>
      <w:r w:rsidR="005D7E4E" w:rsidRPr="004D73C4">
        <w:t>.</w:t>
      </w:r>
    </w:p>
    <w:p w14:paraId="2A9FA05D" w14:textId="77777777" w:rsidR="00250001" w:rsidRPr="004D73C4" w:rsidRDefault="006824F0" w:rsidP="00DF0DDE">
      <w:pPr>
        <w:pStyle w:val="Nadpis1"/>
      </w:pPr>
      <w:bookmarkStart w:id="85" w:name="_Toc69297702"/>
      <w:bookmarkStart w:id="86" w:name="_Toc70369667"/>
      <w:bookmarkStart w:id="87" w:name="_Toc432348219"/>
      <w:bookmarkStart w:id="88" w:name="_Toc460261229"/>
      <w:bookmarkStart w:id="89" w:name="_Toc462254010"/>
      <w:bookmarkStart w:id="90" w:name="_Toc70711607"/>
      <w:bookmarkEnd w:id="21"/>
      <w:bookmarkEnd w:id="22"/>
      <w:bookmarkEnd w:id="23"/>
      <w:r w:rsidRPr="004D73C4">
        <w:lastRenderedPageBreak/>
        <w:t>Opatrenia</w:t>
      </w:r>
      <w:r w:rsidR="00EC6AF6" w:rsidRPr="004D73C4">
        <w:t xml:space="preserve"> pre napĺňanie strategických cieľov</w:t>
      </w:r>
      <w:r w:rsidR="00D52523" w:rsidRPr="004D73C4">
        <w:t xml:space="preserve"> a</w:t>
      </w:r>
      <w:r w:rsidR="001A71F4">
        <w:t> </w:t>
      </w:r>
      <w:r w:rsidR="00D52523" w:rsidRPr="004D73C4">
        <w:t>priorít</w:t>
      </w:r>
      <w:r w:rsidR="001A71F4">
        <w:t xml:space="preserve"> informatizácie</w:t>
      </w:r>
      <w:bookmarkEnd w:id="85"/>
      <w:bookmarkEnd w:id="86"/>
      <w:bookmarkEnd w:id="90"/>
    </w:p>
    <w:p w14:paraId="48D7EA39" w14:textId="77777777" w:rsidR="00250001" w:rsidRPr="004D73C4" w:rsidRDefault="00250001" w:rsidP="00435805">
      <w:r w:rsidRPr="004D73C4">
        <w:t xml:space="preserve">Informačné prostredie verejnej správy je veľmi komplexný, previazaný systém, na ktorom participuje veľa hráčov – pochopenie vzájomných súvislostí má preto kľúčový význam pre naplnenie cieľovej ambície. </w:t>
      </w:r>
      <w:r w:rsidR="00EE548A" w:rsidRPr="004D73C4">
        <w:t xml:space="preserve">Táto kapitola bližšie popisuje ako </w:t>
      </w:r>
      <w:r w:rsidR="0081525D" w:rsidRPr="004D73C4">
        <w:t xml:space="preserve">chceme napĺňať stanovené </w:t>
      </w:r>
      <w:r w:rsidR="00EC6AF6" w:rsidRPr="004D73C4">
        <w:t xml:space="preserve">strategické </w:t>
      </w:r>
      <w:r w:rsidR="0081525D" w:rsidRPr="004D73C4">
        <w:t>ciele</w:t>
      </w:r>
      <w:r w:rsidR="00EC6AF6" w:rsidRPr="004D73C4">
        <w:t xml:space="preserve"> a priority</w:t>
      </w:r>
      <w:r w:rsidR="0081525D" w:rsidRPr="004D73C4">
        <w:t>. Tento n</w:t>
      </w:r>
      <w:r w:rsidRPr="004D73C4">
        <w:t xml:space="preserve">ávrh </w:t>
      </w:r>
      <w:r w:rsidR="00EC6AF6" w:rsidRPr="004D73C4">
        <w:t>opatrení</w:t>
      </w:r>
      <w:r w:rsidRPr="004D73C4">
        <w:t xml:space="preserve"> sa snaží </w:t>
      </w:r>
      <w:r w:rsidR="00EC6AF6" w:rsidRPr="004D73C4">
        <w:t>maximalizovať dosahovanie strategických cieľov</w:t>
      </w:r>
      <w:r w:rsidR="00D52523" w:rsidRPr="004D73C4">
        <w:t xml:space="preserve"> a priorít</w:t>
      </w:r>
      <w:r w:rsidR="00EC6AF6" w:rsidRPr="004D73C4">
        <w:t xml:space="preserve">, eliminovať </w:t>
      </w:r>
      <w:r w:rsidRPr="004D73C4">
        <w:t>riziko chýb, ktoré môžu nastať</w:t>
      </w:r>
      <w:r w:rsidR="00EC6AF6" w:rsidRPr="004D73C4">
        <w:t>, a </w:t>
      </w:r>
      <w:r w:rsidRPr="004D73C4">
        <w:t>koordin</w:t>
      </w:r>
      <w:r w:rsidR="00EC6AF6" w:rsidRPr="004D73C4">
        <w:t xml:space="preserve">ovať </w:t>
      </w:r>
      <w:r w:rsidRPr="004D73C4">
        <w:t>ambíci</w:t>
      </w:r>
      <w:r w:rsidR="00EC6AF6" w:rsidRPr="004D73C4">
        <w:t>e</w:t>
      </w:r>
      <w:r w:rsidRPr="004D73C4">
        <w:t xml:space="preserve"> definovan</w:t>
      </w:r>
      <w:r w:rsidR="00EC6AF6" w:rsidRPr="004D73C4">
        <w:t>é</w:t>
      </w:r>
      <w:r w:rsidRPr="004D73C4">
        <w:t xml:space="preserve"> v tejto Koncepcii v praxi. </w:t>
      </w:r>
    </w:p>
    <w:p w14:paraId="1E416FC4" w14:textId="77777777" w:rsidR="00D372D3" w:rsidRPr="004D73C4" w:rsidRDefault="00D372D3" w:rsidP="00D372D3">
      <w:r w:rsidRPr="004D73C4">
        <w:t xml:space="preserve">V rámci tejto kapitoly sú pre každý strategický cieľ </w:t>
      </w:r>
      <w:r w:rsidR="004D0125">
        <w:t xml:space="preserve">a prioritu </w:t>
      </w:r>
      <w:r w:rsidRPr="004D73C4">
        <w:t>uvedené aj časové ha</w:t>
      </w:r>
      <w:r w:rsidR="00EA3552">
        <w:t>r</w:t>
      </w:r>
      <w:r w:rsidRPr="004D73C4">
        <w:t>monogramy opatrení pre horizonty rokov 2023, 2026 a 2030. Tieto plány slúžia ako implementačné plány pre informatizáciu verejnej správy a ukazujú postup prechodu zo súčasného stavu do cieľového stavu.</w:t>
      </w:r>
      <w:r w:rsidR="00C04C83">
        <w:t xml:space="preserve"> </w:t>
      </w:r>
      <w:r w:rsidRPr="004D73C4">
        <w:t xml:space="preserve">Z tohto návrhu vyplýva, že zlepšovanie služieb </w:t>
      </w:r>
      <w:r w:rsidR="00C04C83" w:rsidRPr="001B5326">
        <w:t xml:space="preserve">verejnej </w:t>
      </w:r>
      <w:r w:rsidRPr="004D73C4">
        <w:t xml:space="preserve">správy bude centrálne riadené. </w:t>
      </w:r>
    </w:p>
    <w:p w14:paraId="4F696AA0" w14:textId="77777777" w:rsidR="00D372D3" w:rsidRPr="004D73C4" w:rsidRDefault="00D372D3" w:rsidP="00D372D3">
      <w:r w:rsidRPr="004D73C4">
        <w:t>Navrhnutý plán je dôležitým východiskom pre efektívnu koordináciu všetkých aktivít smerujúcich k naplneniu ambícií a cieľov definovaných v tejto Koncepcii (pre MIRRI SR, pre jednotlivé OVM, pre koordináciu postupu zapojených aktérov). Kľúčová je postupnosť krokov a vecných nadväzností v stanovených časových rámco</w:t>
      </w:r>
      <w:r w:rsidR="00C04C83">
        <w:t>ch</w:t>
      </w:r>
      <w:r w:rsidRPr="004D73C4">
        <w:t>.</w:t>
      </w:r>
    </w:p>
    <w:p w14:paraId="1A2C4D5A" w14:textId="77777777" w:rsidR="00250001" w:rsidRPr="004D73C4" w:rsidRDefault="00250001" w:rsidP="008B0E07"/>
    <w:p w14:paraId="30A02547" w14:textId="77777777" w:rsidR="00250001" w:rsidRPr="004D73C4" w:rsidRDefault="00645294" w:rsidP="002B60D7">
      <w:pPr>
        <w:pStyle w:val="Nadpis2"/>
      </w:pPr>
      <w:bookmarkStart w:id="91" w:name="_Toc69297703"/>
      <w:bookmarkStart w:id="92" w:name="_Toc70369668"/>
      <w:bookmarkStart w:id="93" w:name="_Toc70711608"/>
      <w:r>
        <w:t xml:space="preserve">Digitálne </w:t>
      </w:r>
      <w:r w:rsidR="00250001">
        <w:t>služby</w:t>
      </w:r>
      <w:bookmarkEnd w:id="91"/>
      <w:bookmarkEnd w:id="92"/>
      <w:bookmarkEnd w:id="93"/>
      <w:r w:rsidR="00250001">
        <w:t xml:space="preserve"> </w:t>
      </w:r>
    </w:p>
    <w:p w14:paraId="0AC2D562" w14:textId="77777777" w:rsidR="35314F97" w:rsidRDefault="35314F97" w:rsidP="0D533E45">
      <w:pPr>
        <w:rPr>
          <w:rFonts w:ascii="Calibri" w:eastAsia="Calibri" w:hAnsi="Calibri" w:cs="Calibri"/>
          <w:color w:val="000000" w:themeColor="text1"/>
        </w:rPr>
      </w:pPr>
      <w:r w:rsidRPr="0D533E45">
        <w:rPr>
          <w:rFonts w:ascii="Calibri" w:eastAsia="Calibri" w:hAnsi="Calibri" w:cs="Calibri"/>
          <w:color w:val="000000" w:themeColor="text1"/>
        </w:rPr>
        <w:t>Cesta občana alebo podnikateľa od vyhľadania služby, cez podanie, až po rozhodnutie, nie je dodnes</w:t>
      </w:r>
      <w:r w:rsidR="002D7AD4">
        <w:rPr>
          <w:rFonts w:ascii="Calibri" w:eastAsia="Calibri" w:hAnsi="Calibri" w:cs="Calibri"/>
          <w:color w:val="000000" w:themeColor="text1"/>
        </w:rPr>
        <w:t xml:space="preserve"> </w:t>
      </w:r>
      <w:r w:rsidRPr="0D533E45">
        <w:rPr>
          <w:rFonts w:ascii="Calibri" w:eastAsia="Calibri" w:hAnsi="Calibri" w:cs="Calibri"/>
          <w:color w:val="000000" w:themeColor="text1"/>
        </w:rPr>
        <w:t>dostatočne používateľsky prívetivá a ani optimalizovaná na úrovni životných situácií. Na pretrvávajúci potenciál zlepšenia v poskytovaní digitálnych služieb poukazujú aj domáce</w:t>
      </w:r>
      <w:r w:rsidRPr="0D533E45">
        <w:rPr>
          <w:rFonts w:ascii="Calibri" w:eastAsia="Calibri" w:hAnsi="Calibri" w:cs="Calibri"/>
          <w:color w:val="000000" w:themeColor="text1"/>
          <w:vertAlign w:val="superscript"/>
        </w:rPr>
        <w:t>8</w:t>
      </w:r>
      <w:r w:rsidRPr="0D533E45">
        <w:rPr>
          <w:rFonts w:ascii="Calibri" w:eastAsia="Calibri" w:hAnsi="Calibri" w:cs="Calibri"/>
          <w:color w:val="000000" w:themeColor="text1"/>
        </w:rPr>
        <w:t xml:space="preserve"> či zahraničné</w:t>
      </w:r>
      <w:r w:rsidRPr="0D533E45">
        <w:rPr>
          <w:rFonts w:ascii="Calibri" w:eastAsia="Calibri" w:hAnsi="Calibri" w:cs="Calibri"/>
          <w:color w:val="000000" w:themeColor="text1"/>
          <w:vertAlign w:val="superscript"/>
        </w:rPr>
        <w:t>9</w:t>
      </w:r>
      <w:r w:rsidRPr="0D533E45">
        <w:rPr>
          <w:rFonts w:ascii="Calibri" w:eastAsia="Calibri" w:hAnsi="Calibri" w:cs="Calibri"/>
          <w:color w:val="000000" w:themeColor="text1"/>
        </w:rPr>
        <w:t xml:space="preserve"> hodnotenia.</w:t>
      </w:r>
    </w:p>
    <w:p w14:paraId="6F80DA1B" w14:textId="77777777" w:rsidR="35314F97" w:rsidRDefault="35314F97" w:rsidP="0D533E45">
      <w:pPr>
        <w:rPr>
          <w:rFonts w:ascii="Calibri" w:eastAsia="Calibri" w:hAnsi="Calibri" w:cs="Calibri"/>
          <w:color w:val="000000" w:themeColor="text1"/>
        </w:rPr>
      </w:pPr>
      <w:r w:rsidRPr="0D533E45">
        <w:rPr>
          <w:rFonts w:ascii="Calibri" w:eastAsia="Calibri" w:hAnsi="Calibri" w:cs="Calibri"/>
          <w:color w:val="000000" w:themeColor="text1"/>
        </w:rPr>
        <w:t>Občan a podnikateľ stále nemajú: </w:t>
      </w:r>
    </w:p>
    <w:p w14:paraId="3D3C1EEB"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zjednotený prístup k vyhľadávaniu a aj realizácii služieb v používateľskej kvalite</w:t>
      </w:r>
      <w:r w:rsidRPr="0D533E45">
        <w:rPr>
          <w:rStyle w:val="normaltextrun"/>
          <w:rFonts w:ascii="Calibri Light" w:eastAsia="Calibri Light" w:hAnsi="Calibri Light" w:cs="Calibri Light"/>
          <w:color w:val="000000" w:themeColor="text1"/>
          <w:szCs w:val="22"/>
        </w:rPr>
        <w:t>,</w:t>
      </w:r>
    </w:p>
    <w:p w14:paraId="467AE06F"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zjednotený a rozpoznateľný dizajn používateľských rozhraní digitálnych služieb a webových portálov,</w:t>
      </w:r>
    </w:p>
    <w:p w14:paraId="7300CB9A"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poskytnutú dostatočnú podporu a navigáciu k službám pre zabezpečenie plynulého prechodu životnou situáciou,</w:t>
      </w:r>
    </w:p>
    <w:p w14:paraId="008FC584"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prístup k prehľadu o stave spracovania podaní, o rozhodnutiach, vydaných dokladoch, bilancii z pozície klienta voči verejnej správe,</w:t>
      </w:r>
    </w:p>
    <w:p w14:paraId="26990217"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poskytované notifikácie o stave spracovania podania a služby,</w:t>
      </w:r>
    </w:p>
    <w:p w14:paraId="56F1FB7B"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možnosť realizovať platby pre všetky služby štátu online (nie len pre elektronické služby spoplatnené správnym a súdnym poplatkom) a komfortne, napr. súčasne s odoslaním podania,</w:t>
      </w:r>
    </w:p>
    <w:p w14:paraId="1C497BD5"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 xml:space="preserve">možnosť využívať paletu služieb tretích strát poskytovaných prostredníctvom API rozhraní, </w:t>
      </w:r>
    </w:p>
    <w:p w14:paraId="4A2069F4" w14:textId="77777777" w:rsidR="35314F97" w:rsidRDefault="35314F97" w:rsidP="00F06821">
      <w:pPr>
        <w:pStyle w:val="Odsekzoznamu"/>
        <w:numPr>
          <w:ilvl w:val="0"/>
          <w:numId w:val="7"/>
        </w:numPr>
        <w:rPr>
          <w:rFonts w:eastAsiaTheme="minorEastAsia" w:cstheme="minorBidi"/>
          <w:color w:val="000000" w:themeColor="text1"/>
          <w:szCs w:val="22"/>
        </w:rPr>
      </w:pPr>
      <w:r w:rsidRPr="0D533E45">
        <w:rPr>
          <w:rStyle w:val="normaltextrun"/>
          <w:rFonts w:ascii="Calibri" w:eastAsia="Calibri" w:hAnsi="Calibri" w:cs="Calibri"/>
          <w:color w:val="000000" w:themeColor="text1"/>
          <w:szCs w:val="22"/>
        </w:rPr>
        <w:t>osobnú zónu, kde by sa ľahko a prehľadne dozvedeli personalizované informácie.</w:t>
      </w:r>
    </w:p>
    <w:p w14:paraId="588D8BBB" w14:textId="77777777" w:rsidR="35314F97" w:rsidRDefault="35314F97" w:rsidP="0D533E45">
      <w:pPr>
        <w:rPr>
          <w:rFonts w:ascii="Calibri" w:eastAsia="Calibri" w:hAnsi="Calibri" w:cs="Calibri"/>
          <w:color w:val="000000" w:themeColor="text1"/>
        </w:rPr>
      </w:pPr>
      <w:r w:rsidRPr="3912845A">
        <w:rPr>
          <w:rFonts w:ascii="Calibri" w:eastAsia="Calibri" w:hAnsi="Calibri" w:cs="Calibri"/>
          <w:color w:val="000000" w:themeColor="text1"/>
        </w:rPr>
        <w:t xml:space="preserve">Pre naplnenie vízie lepších služieb, ktoré jeden štát pod jednotnou identitou </w:t>
      </w:r>
      <w:r w:rsidR="24E4B5E9" w:rsidRPr="3912845A">
        <w:rPr>
          <w:rFonts w:ascii="Calibri" w:eastAsia="Calibri" w:hAnsi="Calibri" w:cs="Calibri"/>
          <w:color w:val="000000" w:themeColor="text1"/>
        </w:rPr>
        <w:t>sprístupňuje</w:t>
      </w:r>
      <w:r w:rsidRPr="3912845A">
        <w:rPr>
          <w:rFonts w:ascii="Calibri" w:eastAsia="Calibri" w:hAnsi="Calibri" w:cs="Calibri"/>
          <w:color w:val="000000" w:themeColor="text1"/>
        </w:rPr>
        <w:t xml:space="preserve"> na jednom mieste a pri poskytovaní ktorých štát vystupuje partnersky a poskytuje neustálu digitálnu podporu, je nevyhnutná zmena prístupu k ich tvorbe a rozvoju.</w:t>
      </w:r>
    </w:p>
    <w:p w14:paraId="493679D2" w14:textId="77777777" w:rsidR="003F1A4D" w:rsidRPr="004D73C4" w:rsidRDefault="003F1A4D" w:rsidP="00E362F7">
      <w:pPr>
        <w:pStyle w:val="Nadpis3"/>
      </w:pPr>
      <w:bookmarkStart w:id="94" w:name="_Toc69297704"/>
      <w:bookmarkStart w:id="95" w:name="_Toc70369669"/>
      <w:bookmarkStart w:id="96" w:name="_Toc70711609"/>
      <w:r w:rsidRPr="004D73C4">
        <w:t xml:space="preserve">Skutočne </w:t>
      </w:r>
      <w:r w:rsidR="0072692D">
        <w:t>D</w:t>
      </w:r>
      <w:r w:rsidRPr="004D73C4">
        <w:t>igitálne služby</w:t>
      </w:r>
      <w:bookmarkEnd w:id="94"/>
      <w:bookmarkEnd w:id="95"/>
      <w:bookmarkEnd w:id="96"/>
    </w:p>
    <w:p w14:paraId="49EC54EA" w14:textId="77777777" w:rsidR="001D48A4" w:rsidRPr="00024CD6" w:rsidRDefault="1F711A51" w:rsidP="0D533E45">
      <w:pPr>
        <w:rPr>
          <w:rStyle w:val="normaltextrun"/>
          <w:rFonts w:ascii="Calibri" w:eastAsia="Calibri" w:hAnsi="Calibri" w:cs="Calibri"/>
          <w:color w:val="000000" w:themeColor="text1"/>
        </w:rPr>
      </w:pPr>
      <w:r w:rsidRPr="0D533E45">
        <w:rPr>
          <w:rStyle w:val="normaltextrun"/>
        </w:rPr>
        <w:t xml:space="preserve">Skutočne digitálne služby </w:t>
      </w:r>
      <w:r w:rsidR="1E69194C" w:rsidRPr="0D533E45">
        <w:rPr>
          <w:rStyle w:val="normaltextrun"/>
          <w:rFonts w:ascii="Calibri" w:eastAsia="Calibri" w:hAnsi="Calibri" w:cs="Calibri"/>
          <w:color w:val="000000" w:themeColor="text1"/>
        </w:rPr>
        <w:t>sú občanom sú jednoduché na dohľadanie, porozumenie a použitie, v jednotnom a kvalitnom dizajne. Sprevádza ich zrozumiteľná navigácia, sú dostupné pre znevýhodnené osoby a sú v konzistentnej kvalite využiteľné cez preferované zariadenia alebo kanály. Za služby štátu sa dá jednoducho zaplatiť online. Služby sú navyše efektívne dopĺňané kľúčovými nástrojmi (eID/mID, eDokumenty, digital only) a sú dostupné občanom a podnikateľom iných krajín EU. Štát v maximálnej možnej miere využíva už získane údaje na to, aby si kontakt so štátom zo strany občana alebo podnikateľa vyžadoval len nevyhnutné minimum.</w:t>
      </w:r>
    </w:p>
    <w:p w14:paraId="3FAEABCD" w14:textId="77777777" w:rsidR="00746A51" w:rsidRDefault="00746A51" w:rsidP="002201F4">
      <w:pPr>
        <w:rPr>
          <w:b/>
          <w:bCs/>
        </w:rPr>
      </w:pPr>
    </w:p>
    <w:p w14:paraId="0A8276DE" w14:textId="52A9304C" w:rsidR="002201F4" w:rsidRDefault="002201F4" w:rsidP="002201F4">
      <w:pPr>
        <w:rPr>
          <w:b/>
        </w:rPr>
      </w:pPr>
      <w:r w:rsidRPr="3912845A">
        <w:rPr>
          <w:b/>
          <w:bCs/>
        </w:rPr>
        <w:lastRenderedPageBreak/>
        <w:t>Sumarizácia hlavných opatrení:</w:t>
      </w:r>
    </w:p>
    <w:p w14:paraId="4A16DEAA" w14:textId="77777777" w:rsidR="2438D252" w:rsidRDefault="2438D252" w:rsidP="00F06821">
      <w:pPr>
        <w:pStyle w:val="Odsekzoznamu"/>
        <w:numPr>
          <w:ilvl w:val="0"/>
          <w:numId w:val="25"/>
        </w:numPr>
        <w:rPr>
          <w:rStyle w:val="normaltextrun"/>
          <w:rFonts w:eastAsiaTheme="minorEastAsia" w:cstheme="minorBidi"/>
          <w:szCs w:val="22"/>
        </w:rPr>
      </w:pPr>
      <w:r w:rsidRPr="3912845A">
        <w:rPr>
          <w:rStyle w:val="normaltextrun"/>
          <w:rFonts w:ascii="Calibri" w:hAnsi="Calibri"/>
        </w:rPr>
        <w:t>Vytváranie zdrojov pre zlepšovanie používateľskej kvality služieb</w:t>
      </w:r>
    </w:p>
    <w:p w14:paraId="6A690C8D" w14:textId="77777777" w:rsidR="2438D252" w:rsidRDefault="2438D252" w:rsidP="00F06821">
      <w:pPr>
        <w:pStyle w:val="Odsekzoznamu"/>
        <w:numPr>
          <w:ilvl w:val="0"/>
          <w:numId w:val="25"/>
        </w:numPr>
        <w:rPr>
          <w:rStyle w:val="normaltextrun"/>
          <w:rFonts w:eastAsiaTheme="minorEastAsia" w:cstheme="minorBidi"/>
          <w:szCs w:val="22"/>
        </w:rPr>
      </w:pPr>
      <w:r w:rsidRPr="3912845A">
        <w:rPr>
          <w:rStyle w:val="normaltextrun"/>
          <w:rFonts w:ascii="Calibri" w:hAnsi="Calibri"/>
        </w:rPr>
        <w:t>Šetrenie nákladov sprístupnením centrálnych nástrojov podpory skutočne digitálnych služieb</w:t>
      </w:r>
    </w:p>
    <w:p w14:paraId="5B137388" w14:textId="77777777" w:rsidR="002201F4" w:rsidRPr="002201F4" w:rsidRDefault="002201F4" w:rsidP="00F06821">
      <w:pPr>
        <w:pStyle w:val="Odsekzoznamu"/>
        <w:numPr>
          <w:ilvl w:val="0"/>
          <w:numId w:val="25"/>
        </w:numPr>
        <w:rPr>
          <w:rStyle w:val="normaltextrun"/>
        </w:rPr>
      </w:pPr>
      <w:r w:rsidRPr="3912845A">
        <w:rPr>
          <w:rStyle w:val="normaltextrun"/>
        </w:rPr>
        <w:t>Poskytovanie komplexných medzirezortných služieb</w:t>
      </w:r>
    </w:p>
    <w:p w14:paraId="14442158" w14:textId="77777777" w:rsidR="001D48A4" w:rsidRPr="004D73C4" w:rsidRDefault="00A16F44" w:rsidP="3912845A">
      <w:pPr>
        <w:rPr>
          <w:rFonts w:ascii="Calibri" w:eastAsia="Calibri" w:hAnsi="Calibri" w:cs="Calibri"/>
          <w:b/>
          <w:bCs/>
          <w:color w:val="000000" w:themeColor="text1"/>
        </w:rPr>
      </w:pPr>
      <w:r w:rsidRPr="3912845A">
        <w:rPr>
          <w:b/>
          <w:bCs/>
        </w:rPr>
        <w:t xml:space="preserve">Opatrenie </w:t>
      </w:r>
      <w:r w:rsidR="003F1A4D" w:rsidRPr="3912845A">
        <w:rPr>
          <w:b/>
          <w:bCs/>
        </w:rPr>
        <w:t xml:space="preserve">1 – </w:t>
      </w:r>
      <w:r w:rsidR="46EEE175" w:rsidRPr="3912845A">
        <w:rPr>
          <w:rFonts w:ascii="Calibri" w:eastAsia="Calibri" w:hAnsi="Calibri" w:cs="Calibri"/>
          <w:b/>
          <w:bCs/>
          <w:color w:val="000000" w:themeColor="text1"/>
        </w:rPr>
        <w:t>Vytv</w:t>
      </w:r>
      <w:r w:rsidR="72727421" w:rsidRPr="3912845A">
        <w:rPr>
          <w:rFonts w:ascii="Calibri" w:eastAsia="Calibri" w:hAnsi="Calibri" w:cs="Calibri"/>
          <w:b/>
          <w:bCs/>
          <w:color w:val="000000" w:themeColor="text1"/>
        </w:rPr>
        <w:t>á</w:t>
      </w:r>
      <w:r w:rsidR="46EEE175" w:rsidRPr="3912845A">
        <w:rPr>
          <w:rFonts w:ascii="Calibri" w:eastAsia="Calibri" w:hAnsi="Calibri" w:cs="Calibri"/>
          <w:b/>
          <w:bCs/>
          <w:color w:val="000000" w:themeColor="text1"/>
        </w:rPr>
        <w:t>r</w:t>
      </w:r>
      <w:r w:rsidR="25860D40" w:rsidRPr="3912845A">
        <w:rPr>
          <w:rFonts w:ascii="Calibri" w:eastAsia="Calibri" w:hAnsi="Calibri" w:cs="Calibri"/>
          <w:b/>
          <w:bCs/>
          <w:color w:val="000000" w:themeColor="text1"/>
        </w:rPr>
        <w:t>a</w:t>
      </w:r>
      <w:r w:rsidR="46EEE175" w:rsidRPr="3912845A">
        <w:rPr>
          <w:rFonts w:ascii="Calibri" w:eastAsia="Calibri" w:hAnsi="Calibri" w:cs="Calibri"/>
          <w:b/>
          <w:bCs/>
          <w:color w:val="000000" w:themeColor="text1"/>
        </w:rPr>
        <w:t>nie zdrojov pre zlepšovanie používateľskej kvality služieb</w:t>
      </w:r>
    </w:p>
    <w:p w14:paraId="14BFE6E4" w14:textId="77777777" w:rsidR="5A41F630" w:rsidRDefault="5A41F630" w:rsidP="3912845A">
      <w:pPr>
        <w:rPr>
          <w:rFonts w:ascii="Calibri" w:eastAsia="Calibri" w:hAnsi="Calibri" w:cs="Calibri"/>
          <w:color w:val="000000" w:themeColor="text1"/>
        </w:rPr>
      </w:pPr>
      <w:r w:rsidRPr="3912845A">
        <w:rPr>
          <w:rFonts w:ascii="Calibri" w:eastAsia="Calibri" w:hAnsi="Calibri" w:cs="Calibri"/>
          <w:color w:val="000000" w:themeColor="text1"/>
        </w:rPr>
        <w:t>Jednou z prekážok k poskytovaniu skutočne digitálnych služieb je, že prevádzkovatelia verejných digitálnych služieb systematicky nealokujú adekvátne ľudské zdroje na monitorovanie a analýzu zákazníckej skúsenosti občanov a podnikateľov s ich službami. Zákaznícka skúsenosť sa kvôli tomu vytráca z centra pozornosti prevádzkovateľa a nedochádza tak k jej systematickému zohľadňovaniu tak pri prevádzke, ako aj pri plánovaní rozvoja služieb.</w:t>
      </w:r>
    </w:p>
    <w:p w14:paraId="21097BF7" w14:textId="77777777" w:rsidR="5A41F630" w:rsidRDefault="5A41F630" w:rsidP="3912845A">
      <w:pPr>
        <w:rPr>
          <w:rFonts w:ascii="Calibri" w:eastAsia="Calibri" w:hAnsi="Calibri" w:cs="Calibri"/>
          <w:color w:val="000000" w:themeColor="text1"/>
        </w:rPr>
      </w:pPr>
      <w:r w:rsidRPr="3912845A">
        <w:rPr>
          <w:rFonts w:ascii="Calibri" w:eastAsia="Calibri" w:hAnsi="Calibri" w:cs="Calibri"/>
          <w:color w:val="000000" w:themeColor="text1"/>
        </w:rPr>
        <w:t>MIRRI SR preto podporí vytváranie a alokáciu adekvátnych ľudských zdrojov prostredníctvom účelových dopytových výziev, organizáciou odborných školení a tréningov, ako aj potrebnými zmenami v legislatíve.</w:t>
      </w:r>
    </w:p>
    <w:p w14:paraId="03E582FC" w14:textId="77777777" w:rsidR="5A41F630" w:rsidRDefault="5A41F630" w:rsidP="3912845A">
      <w:pPr>
        <w:rPr>
          <w:rFonts w:ascii="Calibri" w:eastAsia="Calibri" w:hAnsi="Calibri" w:cs="Calibri"/>
          <w:color w:val="000000" w:themeColor="text1"/>
        </w:rPr>
      </w:pPr>
      <w:r w:rsidRPr="3912845A">
        <w:rPr>
          <w:rFonts w:ascii="Calibri" w:eastAsia="Calibri" w:hAnsi="Calibri" w:cs="Calibri"/>
          <w:color w:val="000000" w:themeColor="text1"/>
        </w:rPr>
        <w:t>Zosystematizovanie zlepšovania používateľská kvality e</w:t>
      </w:r>
      <w:r w:rsidR="75893DD5" w:rsidRPr="3912845A">
        <w:rPr>
          <w:rFonts w:ascii="Calibri" w:eastAsia="Calibri" w:hAnsi="Calibri" w:cs="Calibri"/>
          <w:color w:val="000000" w:themeColor="text1"/>
        </w:rPr>
        <w:t>-</w:t>
      </w:r>
      <w:r w:rsidRPr="3912845A">
        <w:rPr>
          <w:rFonts w:ascii="Calibri" w:eastAsia="Calibri" w:hAnsi="Calibri" w:cs="Calibri"/>
          <w:color w:val="000000" w:themeColor="text1"/>
        </w:rPr>
        <w:t>Governmentu urýchli vytváranie interných politík používateľskej kvality. Politika bude interným usmernením, ktoré kodifikuje najdôležitejšie prevádzkové opatrenia pre systematické zvyšovanie kvality poskytovaných služieb v súlade s UCD metodológiou.</w:t>
      </w:r>
    </w:p>
    <w:p w14:paraId="16DE9F44" w14:textId="77777777" w:rsidR="5A41F630" w:rsidRDefault="5A41F630" w:rsidP="3912845A">
      <w:pPr>
        <w:rPr>
          <w:rFonts w:ascii="Calibri" w:eastAsia="Calibri" w:hAnsi="Calibri" w:cs="Calibri"/>
          <w:color w:val="000000" w:themeColor="text1"/>
        </w:rPr>
      </w:pPr>
      <w:r w:rsidRPr="3912845A">
        <w:rPr>
          <w:rFonts w:ascii="Calibri" w:eastAsia="Calibri" w:hAnsi="Calibri" w:cs="Calibri"/>
          <w:color w:val="000000" w:themeColor="text1"/>
        </w:rPr>
        <w:t>Účelom vytvárania netechnologických zdrojov (finančné zdroje, ľudský kapitál, know-how a usmernenia...) je urýchlenie zjednodušovania a skvalitňovania e</w:t>
      </w:r>
      <w:r w:rsidR="1AF0B919" w:rsidRPr="3912845A">
        <w:rPr>
          <w:rFonts w:ascii="Calibri" w:eastAsia="Calibri" w:hAnsi="Calibri" w:cs="Calibri"/>
          <w:color w:val="000000" w:themeColor="text1"/>
        </w:rPr>
        <w:t>-</w:t>
      </w:r>
      <w:r w:rsidRPr="3912845A">
        <w:rPr>
          <w:rFonts w:ascii="Calibri" w:eastAsia="Calibri" w:hAnsi="Calibri" w:cs="Calibri"/>
          <w:color w:val="000000" w:themeColor="text1"/>
        </w:rPr>
        <w:t>Governmentu z pohľadu občanov a podnikateľov.</w:t>
      </w:r>
    </w:p>
    <w:p w14:paraId="7590C380" w14:textId="77777777" w:rsidR="003F4A82" w:rsidRPr="008D395C" w:rsidRDefault="003F4A82" w:rsidP="003F4A82">
      <w:pPr>
        <w:rPr>
          <w:i/>
          <w:iCs/>
        </w:rPr>
      </w:pPr>
      <w:r w:rsidRPr="004D73C4">
        <w:rPr>
          <w:i/>
          <w:iCs/>
        </w:rPr>
        <w:t>Iniciatívy</w:t>
      </w:r>
      <w:r w:rsidRPr="008D395C">
        <w:rPr>
          <w:i/>
          <w:iCs/>
        </w:rPr>
        <w:t>:</w:t>
      </w:r>
    </w:p>
    <w:p w14:paraId="4DA8F07F" w14:textId="77777777" w:rsidR="00CC7DF6" w:rsidRPr="008D395C" w:rsidRDefault="3F8B2716" w:rsidP="00CC7DF6">
      <w:pPr>
        <w:pStyle w:val="Odsekzoznamu"/>
      </w:pPr>
      <w:r>
        <w:t xml:space="preserve">V roku 2021 </w:t>
      </w:r>
    </w:p>
    <w:p w14:paraId="651F20A9" w14:textId="77777777" w:rsidR="03F191A7" w:rsidRDefault="038DE5C5" w:rsidP="00F06821">
      <w:pPr>
        <w:pStyle w:val="Odsekzoznamu"/>
        <w:numPr>
          <w:ilvl w:val="0"/>
          <w:numId w:val="24"/>
        </w:numPr>
        <w:ind w:left="1080"/>
        <w:rPr>
          <w:rFonts w:eastAsiaTheme="minorEastAsia" w:cstheme="minorBidi"/>
          <w:color w:val="000000" w:themeColor="text1"/>
        </w:rPr>
      </w:pPr>
      <w:r w:rsidRPr="190F7DBA">
        <w:rPr>
          <w:rFonts w:ascii="Calibri" w:eastAsia="Calibri" w:hAnsi="Calibri" w:cs="Calibri"/>
          <w:color w:val="000000" w:themeColor="text1"/>
        </w:rPr>
        <w:t xml:space="preserve">Bude vyhlásená a vyhodnotená dopytová výzva OPII Agilné budovanie a rozvoj informačných systémov a dopytová výzva OPII Malé zlepšenia. </w:t>
      </w:r>
    </w:p>
    <w:p w14:paraId="7634DC24" w14:textId="77777777" w:rsidR="03F191A7" w:rsidRDefault="038DE5C5" w:rsidP="00F06821">
      <w:pPr>
        <w:pStyle w:val="Odsekzoznamu"/>
        <w:numPr>
          <w:ilvl w:val="0"/>
          <w:numId w:val="24"/>
        </w:numPr>
        <w:ind w:left="1080"/>
        <w:rPr>
          <w:color w:val="000000" w:themeColor="text1"/>
        </w:rPr>
      </w:pPr>
      <w:r w:rsidRPr="190F7DBA">
        <w:rPr>
          <w:rFonts w:ascii="Calibri" w:eastAsia="Calibri" w:hAnsi="Calibri" w:cs="Calibri"/>
          <w:color w:val="000000" w:themeColor="text1"/>
        </w:rPr>
        <w:t>Do platnosti vstupuje legislatíva, ktorá definuje základne rámce obstarávania a rozvoja digitálnych služieb a portálov štátu v súlade s princípmi a metódami používateľsky-orientovaného dizajnu. MIRRI podľa potreby poskytuje implementačnú podporu formou odborných zdrojov pre účely vytvárania politiky používateľskej kvality.</w:t>
      </w:r>
    </w:p>
    <w:p w14:paraId="64EE4EBB" w14:textId="77777777" w:rsidR="00CC7DF6" w:rsidRPr="008D395C" w:rsidRDefault="3F8B2716" w:rsidP="00CC7DF6">
      <w:pPr>
        <w:pStyle w:val="Odsekzoznamu"/>
      </w:pPr>
      <w:r>
        <w:t xml:space="preserve">V rokoch 2022 až 2023 </w:t>
      </w:r>
    </w:p>
    <w:p w14:paraId="254F4D4D" w14:textId="77777777" w:rsidR="3BE3061A" w:rsidRDefault="3BE3061A" w:rsidP="00F06821">
      <w:pPr>
        <w:pStyle w:val="Odsekzoznamu"/>
        <w:numPr>
          <w:ilvl w:val="0"/>
          <w:numId w:val="24"/>
        </w:numPr>
        <w:spacing w:line="240" w:lineRule="auto"/>
        <w:ind w:left="1134" w:hanging="357"/>
        <w:rPr>
          <w:rFonts w:eastAsiaTheme="minorEastAsia" w:cstheme="minorBidi"/>
          <w:color w:val="000000" w:themeColor="text1"/>
        </w:rPr>
      </w:pPr>
      <w:r w:rsidRPr="190F7DBA">
        <w:rPr>
          <w:rFonts w:ascii="Calibri" w:eastAsia="Calibri" w:hAnsi="Calibri" w:cs="Calibri"/>
          <w:color w:val="000000" w:themeColor="text1"/>
        </w:rPr>
        <w:t xml:space="preserve">100% orgánov ústrednej štátnej správy budú disponovať tímom dedikovaným na agendu CX. </w:t>
      </w:r>
    </w:p>
    <w:p w14:paraId="6E5555FE" w14:textId="77777777" w:rsidR="3BE3061A" w:rsidRDefault="3BE3061A" w:rsidP="00F06821">
      <w:pPr>
        <w:pStyle w:val="Odsekzoznamu"/>
        <w:numPr>
          <w:ilvl w:val="0"/>
          <w:numId w:val="24"/>
        </w:numPr>
        <w:spacing w:line="240" w:lineRule="auto"/>
        <w:ind w:left="1134" w:hanging="357"/>
        <w:rPr>
          <w:color w:val="000000" w:themeColor="text1"/>
        </w:rPr>
      </w:pPr>
      <w:r w:rsidRPr="190F7DBA">
        <w:rPr>
          <w:rFonts w:ascii="Calibri" w:eastAsia="Calibri" w:hAnsi="Calibri" w:cs="Calibri"/>
          <w:color w:val="000000" w:themeColor="text1"/>
        </w:rPr>
        <w:t xml:space="preserve">Poskytovanie služieb v prvých troch životných situáciách bude optimalizované. </w:t>
      </w:r>
    </w:p>
    <w:p w14:paraId="5AD0D500" w14:textId="77777777" w:rsidR="3BE3061A" w:rsidRDefault="3BE3061A" w:rsidP="00F06821">
      <w:pPr>
        <w:pStyle w:val="Odsekzoznamu"/>
        <w:numPr>
          <w:ilvl w:val="0"/>
          <w:numId w:val="24"/>
        </w:numPr>
        <w:spacing w:line="240" w:lineRule="auto"/>
        <w:ind w:left="1134" w:hanging="357"/>
        <w:rPr>
          <w:color w:val="000000" w:themeColor="text1"/>
        </w:rPr>
      </w:pPr>
      <w:r w:rsidRPr="190F7DBA">
        <w:rPr>
          <w:rFonts w:ascii="Calibri" w:eastAsia="Calibri" w:hAnsi="Calibri" w:cs="Calibri"/>
          <w:color w:val="000000" w:themeColor="text1"/>
        </w:rPr>
        <w:t>70% orgánov ústrednej štátnej správy implementuje ID-SK na svoje webové sídla, 100% elektronických služieb modernizovaných cez OPII. MIRRI SR systematicky poskytuje priebežnú implementačnú podporu pri zavádzaní ID-SK prostredníctvom expertných konzultácií, organizáciou školení a workshopov.</w:t>
      </w:r>
    </w:p>
    <w:p w14:paraId="18885837" w14:textId="77777777" w:rsidR="3BE3061A" w:rsidRDefault="3BE3061A" w:rsidP="00F06821">
      <w:pPr>
        <w:pStyle w:val="Odsekzoznamu"/>
        <w:numPr>
          <w:ilvl w:val="0"/>
          <w:numId w:val="24"/>
        </w:numPr>
        <w:spacing w:line="240" w:lineRule="auto"/>
        <w:ind w:left="1134" w:hanging="357"/>
        <w:rPr>
          <w:color w:val="000000" w:themeColor="text1"/>
        </w:rPr>
      </w:pPr>
      <w:r w:rsidRPr="190F7DBA">
        <w:rPr>
          <w:rFonts w:ascii="Calibri" w:eastAsia="Calibri" w:hAnsi="Calibri" w:cs="Calibri"/>
          <w:color w:val="000000" w:themeColor="text1"/>
        </w:rPr>
        <w:t>MIRRI SR pravidelne monitoruje používateľskú kvalitu služieb prioritných životných situácií pomocou Benchmarku životných situácii MIRRI SR.</w:t>
      </w:r>
    </w:p>
    <w:p w14:paraId="41ACE915" w14:textId="77777777" w:rsidR="3BE3061A" w:rsidRDefault="3BE3061A" w:rsidP="00F06821">
      <w:pPr>
        <w:pStyle w:val="Odsekzoznamu"/>
        <w:numPr>
          <w:ilvl w:val="0"/>
          <w:numId w:val="24"/>
        </w:numPr>
        <w:spacing w:line="240" w:lineRule="auto"/>
        <w:ind w:left="1134" w:hanging="357"/>
        <w:rPr>
          <w:color w:val="000000" w:themeColor="text1"/>
        </w:rPr>
      </w:pPr>
      <w:r w:rsidRPr="190F7DBA">
        <w:rPr>
          <w:rFonts w:ascii="Calibri" w:eastAsia="Calibri" w:hAnsi="Calibri" w:cs="Calibri"/>
          <w:color w:val="000000" w:themeColor="text1"/>
        </w:rPr>
        <w:t>OÚŠS majú vytvorené politiky používateľskej kvality. Na MIRRI sú predkladané prvé správy zlepšovania používateľskej kvality. Predložené správy je možné medzirezortne porovnávať a navrhovať zlepšenia. Digitálne služby zbierajú spätnú väzbu štandardizovane, vďaka čomu je kvalitu služby možné porovnávať.</w:t>
      </w:r>
    </w:p>
    <w:p w14:paraId="21769FD3" w14:textId="77777777" w:rsidR="00CC7DF6" w:rsidRPr="008D395C" w:rsidRDefault="3F8B2716" w:rsidP="00CC7DF6">
      <w:pPr>
        <w:pStyle w:val="Odsekzoznamu"/>
      </w:pPr>
      <w:r>
        <w:t xml:space="preserve">Do roku 2026 </w:t>
      </w:r>
    </w:p>
    <w:p w14:paraId="5EDE2948" w14:textId="77777777" w:rsidR="67FCAFB4" w:rsidRDefault="67FCAFB4" w:rsidP="00F06821">
      <w:pPr>
        <w:pStyle w:val="Odsekzoznamu"/>
        <w:numPr>
          <w:ilvl w:val="0"/>
          <w:numId w:val="24"/>
        </w:numPr>
        <w:spacing w:line="240" w:lineRule="auto"/>
        <w:ind w:left="1134" w:hanging="357"/>
        <w:rPr>
          <w:color w:val="000000" w:themeColor="text1"/>
        </w:rPr>
      </w:pPr>
      <w:r w:rsidRPr="190F7DBA">
        <w:rPr>
          <w:rFonts w:ascii="Calibri" w:eastAsia="Calibri" w:hAnsi="Calibri" w:cs="Calibri"/>
          <w:color w:val="000000" w:themeColor="text1"/>
        </w:rPr>
        <w:t xml:space="preserve">Digitálne služby budú štandardizovane zbierať spätnú väzbu. Kvalitu služby bude možné </w:t>
      </w:r>
      <w:r w:rsidR="3E9F5CA8" w:rsidRPr="190F7DBA">
        <w:rPr>
          <w:rFonts w:ascii="Calibri" w:eastAsia="Calibri" w:hAnsi="Calibri" w:cs="Calibri"/>
          <w:color w:val="000000" w:themeColor="text1"/>
        </w:rPr>
        <w:t xml:space="preserve">medzirezortne a medziročne </w:t>
      </w:r>
      <w:r w:rsidRPr="190F7DBA">
        <w:rPr>
          <w:rFonts w:ascii="Calibri" w:eastAsia="Calibri" w:hAnsi="Calibri" w:cs="Calibri"/>
          <w:color w:val="000000" w:themeColor="text1"/>
        </w:rPr>
        <w:t>porovnávať.</w:t>
      </w:r>
    </w:p>
    <w:p w14:paraId="69FDD038" w14:textId="5983D3BB" w:rsidR="00746A51" w:rsidRPr="007B2A26" w:rsidRDefault="67FCAFB4" w:rsidP="00F06821">
      <w:pPr>
        <w:pStyle w:val="Odsekzoznamu"/>
        <w:numPr>
          <w:ilvl w:val="0"/>
          <w:numId w:val="24"/>
        </w:numPr>
        <w:spacing w:line="240" w:lineRule="auto"/>
        <w:ind w:left="1134" w:hanging="357"/>
        <w:rPr>
          <w:color w:val="000000" w:themeColor="text1"/>
        </w:rPr>
      </w:pPr>
      <w:r w:rsidRPr="190F7DBA">
        <w:rPr>
          <w:rFonts w:ascii="Calibri" w:eastAsia="Calibri" w:hAnsi="Calibri" w:cs="Calibri"/>
          <w:color w:val="000000" w:themeColor="text1"/>
        </w:rPr>
        <w:t>MIRRI SR poskytuje priebežnú G2G implementačnú podporu pri zavádzaní ID-SK a optimalizovaní služieb podľa potreby, spravidla prostredníctvom expertných konzultácií, organizáciou školení a workshopov.</w:t>
      </w:r>
    </w:p>
    <w:p w14:paraId="153C6AE3" w14:textId="77777777" w:rsidR="007B2A26" w:rsidRDefault="007B2A26" w:rsidP="007B2A26">
      <w:pPr>
        <w:spacing w:line="240" w:lineRule="auto"/>
        <w:ind w:left="360"/>
      </w:pPr>
    </w:p>
    <w:p w14:paraId="1068C560" w14:textId="315E99BB" w:rsidR="00CC7DF6" w:rsidRPr="00CB63A7" w:rsidRDefault="3F8B2716" w:rsidP="3912845A">
      <w:pPr>
        <w:pStyle w:val="Odsekzoznamu"/>
        <w:spacing w:line="240" w:lineRule="auto"/>
      </w:pPr>
      <w:r>
        <w:t>Do roku 2030</w:t>
      </w:r>
    </w:p>
    <w:p w14:paraId="1E68B3CB" w14:textId="77777777" w:rsidR="00CC7DF6" w:rsidRPr="00CB63A7"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 xml:space="preserve">Poskytovanie služieb v 100% prioritných životných situácií bude optimalizované. </w:t>
      </w:r>
    </w:p>
    <w:p w14:paraId="31C623E6" w14:textId="77777777" w:rsidR="00CC7DF6" w:rsidRPr="00CB63A7"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Digitálne služby budú štandardizovane zbierať spätnú väzbu. Kvalitu služby bude možné porovnávať.</w:t>
      </w:r>
    </w:p>
    <w:p w14:paraId="195C0E64" w14:textId="77777777" w:rsidR="001D48A4" w:rsidRPr="004D73C4"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Orgány ústrednej štátnej správy jednotne používajú ID-SK pre svoje webové sídla a svoje prioritné elektronické služby.</w:t>
      </w:r>
      <w:r w:rsidR="001D48A4" w:rsidRPr="190F7DBA">
        <w:rPr>
          <w:rFonts w:ascii="Calibri" w:hAnsi="Calibri" w:cs="Calibri"/>
          <w:color w:val="000000" w:themeColor="text1"/>
        </w:rPr>
        <w:t xml:space="preserve"> </w:t>
      </w:r>
    </w:p>
    <w:p w14:paraId="7BA0D204" w14:textId="77777777" w:rsidR="001D48A4" w:rsidRPr="004D73C4" w:rsidRDefault="00A16F44" w:rsidP="3912845A">
      <w:pPr>
        <w:rPr>
          <w:rFonts w:ascii="Calibri" w:eastAsia="Calibri" w:hAnsi="Calibri" w:cs="Calibri"/>
          <w:color w:val="000000" w:themeColor="text1"/>
        </w:rPr>
      </w:pPr>
      <w:r w:rsidRPr="3912845A">
        <w:rPr>
          <w:b/>
          <w:bCs/>
        </w:rPr>
        <w:t xml:space="preserve">Opatrenie </w:t>
      </w:r>
      <w:r w:rsidR="00C24B0D" w:rsidRPr="3912845A">
        <w:rPr>
          <w:b/>
          <w:bCs/>
        </w:rPr>
        <w:t xml:space="preserve">2 – </w:t>
      </w:r>
      <w:r w:rsidR="734B9D68" w:rsidRPr="3912845A">
        <w:rPr>
          <w:b/>
          <w:bCs/>
        </w:rPr>
        <w:t>Š</w:t>
      </w:r>
      <w:r w:rsidR="734B9D68" w:rsidRPr="3912845A">
        <w:rPr>
          <w:rFonts w:ascii="Calibri" w:eastAsia="Calibri" w:hAnsi="Calibri" w:cs="Calibri"/>
          <w:b/>
          <w:bCs/>
          <w:color w:val="000000" w:themeColor="text1"/>
        </w:rPr>
        <w:t>etrenie nákladov sprístupnením centrálnych nástrojov podpory skutočne digitálnych služieb</w:t>
      </w:r>
    </w:p>
    <w:p w14:paraId="63A5CC6D" w14:textId="77777777" w:rsidR="001D48A4" w:rsidRPr="004D73C4" w:rsidRDefault="001D48A4" w:rsidP="002676FA">
      <w:pPr>
        <w:rPr>
          <w:i/>
          <w:u w:val="single"/>
        </w:rPr>
      </w:pPr>
      <w:r w:rsidRPr="3912845A">
        <w:rPr>
          <w:i/>
          <w:iCs/>
          <w:u w:val="single"/>
        </w:rPr>
        <w:t>Jednotný dizajnový systém služieb a webov ID-SK</w:t>
      </w:r>
    </w:p>
    <w:p w14:paraId="6AA05DDE" w14:textId="77777777" w:rsidR="057C73CB" w:rsidRDefault="057C73CB" w:rsidP="3912845A">
      <w:r>
        <w:t xml:space="preserve">ID-SK je bezplatne dostupný nástroj pre celú verejnú správu. Obsahuje vizuálne zjednotený repozitár komponentov a vzorov pre tvorbu webových stránok, digitálnych služieb a mobilných aplikácií štátu. Obsahuje taktiež základné pravidlá, štandardy a metodiky tvorby týchto produktov. ID-SK komponenty a vzory sú responzívne a spĺňajú parametre zabezpečujúce prístup pre znevýhodnené osoby. </w:t>
      </w:r>
    </w:p>
    <w:p w14:paraId="253DF98C" w14:textId="77777777" w:rsidR="057C73CB" w:rsidRDefault="057C73CB" w:rsidP="3912845A">
      <w:r>
        <w:t>Je pravidelne aktualizovaný a iteratívne dopĺňaný o nové prvky. Správcom dizajnového systému je MIRRI SR. Vlastníci digitálnych služieb môžu vyvíjať vlastné komponenty podľa princípov dizajnového manuálu a MIRRI SR následne schvaľuje pridanie nových komponentov do dizajnového systému na návrh vlastníkov služieb. Súlad digitálnych služieb a webových sídel s jednotným dizajnovým systémom kontroluje MIRRI SR.</w:t>
      </w:r>
    </w:p>
    <w:p w14:paraId="559B38EA" w14:textId="77777777" w:rsidR="001D48A4" w:rsidRPr="008D395C" w:rsidRDefault="001D48A4" w:rsidP="3912845A">
      <w:pPr>
        <w:rPr>
          <w:rStyle w:val="normaltextrun"/>
          <w:i/>
          <w:iCs/>
          <w:u w:val="single"/>
        </w:rPr>
      </w:pPr>
      <w:r w:rsidRPr="3912845A">
        <w:rPr>
          <w:i/>
          <w:iCs/>
          <w:u w:val="single"/>
        </w:rPr>
        <w:t xml:space="preserve">Jednotné CMS </w:t>
      </w:r>
    </w:p>
    <w:p w14:paraId="3EE346AB" w14:textId="77777777" w:rsidR="001D48A4" w:rsidRPr="008D395C" w:rsidRDefault="001D48A4" w:rsidP="00615981">
      <w:r w:rsidRPr="008D395C">
        <w:t>Pre účely zabezpečenia zjednotenia dizajnu a použiteľnosti webový stránok rezortov bude vytvorený</w:t>
      </w:r>
      <w:r w:rsidR="00615981" w:rsidRPr="008D395C">
        <w:t xml:space="preserve"> </w:t>
      </w:r>
      <w:r w:rsidRPr="008D395C">
        <w:t>centrálny Systém pre správu webového obsahu</w:t>
      </w:r>
      <w:r w:rsidR="00615981" w:rsidRPr="008D395C">
        <w:t xml:space="preserve"> </w:t>
      </w:r>
      <w:r w:rsidRPr="008D395C">
        <w:t>verejnej správy (GovC</w:t>
      </w:r>
      <w:r w:rsidR="00615981" w:rsidRPr="008D395C">
        <w:t xml:space="preserve">MS, centrálny Content Management System </w:t>
      </w:r>
      <w:r w:rsidRPr="008D395C">
        <w:t xml:space="preserve">a Systém pre správu webového obsah), ktorý sa bude používať predovšetkým pre publikovanie, editáciu a </w:t>
      </w:r>
      <w:r w:rsidR="00615981" w:rsidRPr="008D395C">
        <w:t xml:space="preserve">správu obsahu webových stránok. GovCMS </w:t>
      </w:r>
      <w:r w:rsidRPr="008D395C">
        <w:t>prináša okrem zabezpečenia používateľskej kvality ekonomickú úsporu. Jednotlivé OVM nebudú musieť investovať prostriedky do rozvoja a tvorby webových stránok, ale budú pristupovať do centrálneho systému pre správu obsahu, ktorý zároveň zabezpečí jednotnosť a transparentnosť komuni</w:t>
      </w:r>
      <w:r w:rsidR="00615981" w:rsidRPr="008D395C">
        <w:t xml:space="preserve">kácie s občanom a podnikateľom. GovCMS </w:t>
      </w:r>
      <w:r w:rsidRPr="008D395C">
        <w:t>uľahčí tvor</w:t>
      </w:r>
      <w:r w:rsidR="00615981" w:rsidRPr="008D395C">
        <w:t xml:space="preserve">bu webových sídiel vďaka predvytvoreným </w:t>
      </w:r>
      <w:r w:rsidRPr="008D395C">
        <w:t>šablónam používajúcim</w:t>
      </w:r>
      <w:r w:rsidRPr="004D73C4">
        <w:t xml:space="preserve"> predpísaný jednotný dizajn ID-SK obsahujúci postupy a znovu použiteľné komponenty, ktoré si OVM bude vedieť pridať iba ko</w:t>
      </w:r>
      <w:r w:rsidR="00615981" w:rsidRPr="004D73C4">
        <w:t xml:space="preserve">nfiguráciou. Vybrané komponenty GovCMS </w:t>
      </w:r>
      <w:r w:rsidRPr="004D73C4">
        <w:t xml:space="preserve">postupne umožnia jednoduchou publikáciou pridávať na webové sídla vlastníkov webových sídiel funkcionality súvisiace s integráciou na </w:t>
      </w:r>
      <w:r w:rsidR="00740CD0" w:rsidRPr="004D73C4">
        <w:t xml:space="preserve">Ústredný </w:t>
      </w:r>
      <w:r w:rsidR="00740CD0" w:rsidRPr="008D395C">
        <w:t xml:space="preserve">portál verejnej správy (ďalej len „ÚPVS“) </w:t>
      </w:r>
      <w:r w:rsidRPr="008D395C">
        <w:t>bez nutnosti opakovaného vytvárania a programovanie riešení na mieru (napr. publikovanie povinných informácií a dokumentov). Komponenty budú publikovan</w:t>
      </w:r>
      <w:r w:rsidR="00615981" w:rsidRPr="008D395C">
        <w:t xml:space="preserve">é ako open-source </w:t>
      </w:r>
      <w:r w:rsidRPr="008D395C">
        <w:t xml:space="preserve">a ich rozvoj, údržbu a podporu zabezpečí MIRRI </w:t>
      </w:r>
      <w:r w:rsidR="00E86474" w:rsidRPr="008D395C">
        <w:t xml:space="preserve">SR </w:t>
      </w:r>
      <w:r w:rsidRPr="008D395C">
        <w:t>v súčinnosti so svojimi podriadenými organizáciami.</w:t>
      </w:r>
    </w:p>
    <w:p w14:paraId="301AE9E9" w14:textId="77777777" w:rsidR="001D48A4" w:rsidRPr="008D395C" w:rsidRDefault="00615981" w:rsidP="00615981">
      <w:r w:rsidRPr="008D395C">
        <w:t xml:space="preserve">GovCMS </w:t>
      </w:r>
      <w:r w:rsidR="001D48A4" w:rsidRPr="008D395C">
        <w:t>bud</w:t>
      </w:r>
      <w:r w:rsidRPr="008D395C">
        <w:t xml:space="preserve">e prevádzkované a prístupné ako SaaS </w:t>
      </w:r>
      <w:r w:rsidR="001D48A4" w:rsidRPr="008D395C">
        <w:t xml:space="preserve">služba </w:t>
      </w:r>
      <w:r w:rsidRPr="008D395C">
        <w:t xml:space="preserve">a </w:t>
      </w:r>
      <w:r w:rsidR="001D48A4" w:rsidRPr="008D395C">
        <w:t>v odôvodnených prípadoch s možnosťou vytvorenia samostatnej inštalácie v prípade šp</w:t>
      </w:r>
      <w:r w:rsidRPr="008D395C">
        <w:t>eciálnych požiadaviek OVM</w:t>
      </w:r>
      <w:r w:rsidR="001D48A4" w:rsidRPr="008D395C">
        <w:t>.</w:t>
      </w:r>
    </w:p>
    <w:p w14:paraId="138C56AE" w14:textId="77777777" w:rsidR="001D48A4" w:rsidRPr="008D395C" w:rsidRDefault="001D48A4" w:rsidP="3912845A">
      <w:pPr>
        <w:rPr>
          <w:i/>
          <w:iCs/>
          <w:u w:val="single"/>
        </w:rPr>
      </w:pPr>
      <w:r w:rsidRPr="3912845A">
        <w:rPr>
          <w:i/>
          <w:iCs/>
          <w:u w:val="single"/>
        </w:rPr>
        <w:t xml:space="preserve">E-Dizajnér </w:t>
      </w:r>
    </w:p>
    <w:p w14:paraId="09E60C2F" w14:textId="77777777" w:rsidR="001D48A4" w:rsidRPr="008D395C" w:rsidRDefault="4F506D83" w:rsidP="3912845A">
      <w:pPr>
        <w:rPr>
          <w:rFonts w:ascii="Calibri" w:eastAsia="Calibri" w:hAnsi="Calibri" w:cs="Calibri"/>
          <w:color w:val="000000" w:themeColor="text1"/>
        </w:rPr>
      </w:pPr>
      <w:r w:rsidRPr="3912845A">
        <w:rPr>
          <w:rFonts w:ascii="Calibri" w:eastAsia="Calibri" w:hAnsi="Calibri" w:cs="Calibri"/>
          <w:color w:val="000000" w:themeColor="text1"/>
        </w:rPr>
        <w:t>Pre uľahčenie vytvárania používateľských rozhraní koncových služieb bude zabezpečená centrálna SaaS služba (tzv. e-Dizajnér), ktorá zároveň umožní jednoducho službu prepájať s kompatibilnými agendovými službami a referenčnými registrami naprieč verejnou správou.</w:t>
      </w:r>
    </w:p>
    <w:p w14:paraId="596E18AD" w14:textId="77777777" w:rsidR="00615981" w:rsidRPr="008D395C" w:rsidRDefault="001D48A4" w:rsidP="00615981">
      <w:pPr>
        <w:rPr>
          <w:i/>
          <w:u w:val="single"/>
        </w:rPr>
      </w:pPr>
      <w:r w:rsidRPr="008D395C">
        <w:rPr>
          <w:i/>
          <w:u w:val="single"/>
        </w:rPr>
        <w:t>Benchmark (analytický nástroj hodnotenia služieb)</w:t>
      </w:r>
    </w:p>
    <w:p w14:paraId="6FB58820" w14:textId="77777777" w:rsidR="001D48A4" w:rsidRPr="004D73C4" w:rsidRDefault="001D48A4" w:rsidP="00A16071">
      <w:r w:rsidRPr="008D395C">
        <w:t>Jedná sa o komplexný analytický nástroj, ktorého dizajn však umožňuje, aby slúžil ako návod na zlepšenie kvality poskytovania digitálnej služby. Benchmark životných situácií opisuje metodiku mapovania životných situácií, spôsob merania ich kvality a metodológiu</w:t>
      </w:r>
      <w:r w:rsidRPr="004D73C4">
        <w:t xml:space="preserve"> ich zlepšovania. Kombinuje v sebe aktuálne poznatky z </w:t>
      </w:r>
      <w:r w:rsidR="00615981" w:rsidRPr="004D73C4">
        <w:t xml:space="preserve">oblastí návrhu služieb (service design), UX dizajnu (user experience </w:t>
      </w:r>
      <w:r w:rsidRPr="004D73C4">
        <w:t xml:space="preserve">design – dizajn používateľskej skúsenosti) a behaviorálnych inovácií. Dokumenty stanovujú kvalitatívne </w:t>
      </w:r>
      <w:r w:rsidRPr="004D73C4">
        <w:lastRenderedPageBreak/>
        <w:t>štandardy pre poskytovanie, prevádzku a rozvoj používateľsky kvalitných a prív</w:t>
      </w:r>
      <w:r w:rsidR="00615981" w:rsidRPr="004D73C4">
        <w:t xml:space="preserve">etivých elektronických služieb. </w:t>
      </w:r>
      <w:r w:rsidRPr="004D73C4">
        <w:t xml:space="preserve">MIRRI </w:t>
      </w:r>
      <w:r w:rsidR="00CC7DF6">
        <w:t xml:space="preserve">SR zabezpečuje </w:t>
      </w:r>
      <w:r w:rsidR="00CC7DF6" w:rsidRPr="004D73C4">
        <w:t>podporu</w:t>
      </w:r>
      <w:r w:rsidR="00CC7DF6">
        <w:t xml:space="preserve"> Benchmarku</w:t>
      </w:r>
      <w:r w:rsidRPr="004D73C4">
        <w:t xml:space="preserve"> podľa potreby, spravidla prostredníctvom expertných konzultácií, organizáciou školení a workshopov.</w:t>
      </w:r>
    </w:p>
    <w:p w14:paraId="22342751" w14:textId="3EF30F9C" w:rsidR="003F4A82" w:rsidRPr="004D73C4" w:rsidRDefault="003F4A82" w:rsidP="00615981">
      <w:r w:rsidRPr="004D73C4">
        <w:rPr>
          <w:i/>
          <w:iCs/>
        </w:rPr>
        <w:t>Iniciatívy:</w:t>
      </w:r>
    </w:p>
    <w:p w14:paraId="45D51349" w14:textId="77777777" w:rsidR="00CC7DF6" w:rsidRPr="008D395C" w:rsidRDefault="2EE172CF" w:rsidP="008D395C">
      <w:pPr>
        <w:pStyle w:val="Odsekzoznamu"/>
      </w:pPr>
      <w:r>
        <w:t xml:space="preserve">Do roku 2023 </w:t>
      </w:r>
    </w:p>
    <w:p w14:paraId="1A51AE97" w14:textId="77777777" w:rsidR="00CC7DF6"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 xml:space="preserve">ID-SK bude obsahovať komponenty pre jednotné dizajnovanie služieb, webových sídel a mobilných aplikácií v identite štátu. Obsahuje príklady použitia ID-SK a k jeho zavádzaniu a k používaniu existuje MIRRI </w:t>
      </w:r>
      <w:r w:rsidR="157AD9E9" w:rsidRPr="190F7DBA">
        <w:rPr>
          <w:rFonts w:ascii="Calibri" w:hAnsi="Calibri" w:cs="Calibri"/>
          <w:color w:val="000000" w:themeColor="text1"/>
        </w:rPr>
        <w:t xml:space="preserve">SR </w:t>
      </w:r>
      <w:r w:rsidRPr="190F7DBA">
        <w:rPr>
          <w:rFonts w:ascii="Calibri" w:hAnsi="Calibri" w:cs="Calibri"/>
          <w:color w:val="000000" w:themeColor="text1"/>
        </w:rPr>
        <w:t>implementačná a odborná podpora.</w:t>
      </w:r>
    </w:p>
    <w:p w14:paraId="4AA38CE1" w14:textId="77777777" w:rsidR="00CC7DF6" w:rsidRPr="008D395C" w:rsidRDefault="00CC7DF6" w:rsidP="00F06821">
      <w:pPr>
        <w:pStyle w:val="Odsekzoznamu"/>
        <w:numPr>
          <w:ilvl w:val="0"/>
          <w:numId w:val="24"/>
        </w:numPr>
        <w:spacing w:line="240" w:lineRule="auto"/>
        <w:ind w:left="1134" w:hanging="357"/>
        <w:rPr>
          <w:rFonts w:eastAsiaTheme="minorEastAsia" w:cstheme="minorBidi"/>
          <w:color w:val="000000" w:themeColor="text1"/>
        </w:rPr>
      </w:pPr>
      <w:r w:rsidRPr="190F7DBA">
        <w:rPr>
          <w:rFonts w:ascii="Calibri" w:eastAsia="Calibri" w:hAnsi="Calibri" w:cs="Calibri"/>
          <w:color w:val="000000" w:themeColor="text1"/>
        </w:rPr>
        <w:t>70% orgánov ústrednej štátnej správy implementuje ID-SK na svoje webové sídla, 100% elektronických služieb modernizovaných cez OPII.</w:t>
      </w:r>
    </w:p>
    <w:p w14:paraId="7F606C26" w14:textId="77777777" w:rsidR="00CC7DF6" w:rsidRPr="008D395C" w:rsidRDefault="157AD9E9" w:rsidP="00F06821">
      <w:pPr>
        <w:pStyle w:val="Odsekzoznamu"/>
        <w:numPr>
          <w:ilvl w:val="0"/>
          <w:numId w:val="24"/>
        </w:numPr>
        <w:spacing w:line="240" w:lineRule="auto"/>
        <w:ind w:left="1134" w:hanging="357"/>
        <w:rPr>
          <w:color w:val="000000" w:themeColor="text1"/>
        </w:rPr>
      </w:pPr>
      <w:r w:rsidRPr="190F7DBA">
        <w:rPr>
          <w:color w:val="000000" w:themeColor="text1"/>
        </w:rPr>
        <w:t>Modernizované Ú</w:t>
      </w:r>
      <w:r w:rsidR="00CC7DF6" w:rsidRPr="190F7DBA">
        <w:rPr>
          <w:color w:val="000000" w:themeColor="text1"/>
        </w:rPr>
        <w:t>PVS bude využívať ID-SK identitu. E-dizajnér</w:t>
      </w:r>
      <w:r w:rsidR="00934846" w:rsidRPr="190F7DBA">
        <w:rPr>
          <w:color w:val="000000" w:themeColor="text1"/>
        </w:rPr>
        <w:t xml:space="preserve"> </w:t>
      </w:r>
      <w:r w:rsidR="00CC7DF6" w:rsidRPr="190F7DBA">
        <w:rPr>
          <w:color w:val="000000" w:themeColor="text1"/>
        </w:rPr>
        <w:t xml:space="preserve">bude </w:t>
      </w:r>
      <w:r w:rsidR="279D8BC8" w:rsidRPr="190F7DBA">
        <w:rPr>
          <w:color w:val="000000" w:themeColor="text1"/>
        </w:rPr>
        <w:t>sprístupnený</w:t>
      </w:r>
      <w:r w:rsidR="00CC7DF6" w:rsidRPr="190F7DBA">
        <w:rPr>
          <w:color w:val="000000" w:themeColor="text1"/>
        </w:rPr>
        <w:t xml:space="preserve"> v rámci projektu modernizácie.</w:t>
      </w:r>
    </w:p>
    <w:p w14:paraId="3121FAE5" w14:textId="77777777" w:rsidR="00CC7DF6"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 xml:space="preserve">Započne systematické meranie používateľskej kvality webových sídel </w:t>
      </w:r>
      <w:r>
        <w:t xml:space="preserve">Ústredných orgánov štátnej správy (ďalej len „ÚOŠS“) </w:t>
      </w:r>
      <w:r w:rsidRPr="190F7DBA">
        <w:rPr>
          <w:rFonts w:ascii="Calibri" w:hAnsi="Calibri" w:cs="Calibri"/>
          <w:color w:val="000000" w:themeColor="text1"/>
        </w:rPr>
        <w:t>a digitálnych služieb prioritných životných situácií. Bude možné vykonať prvé porovnania.</w:t>
      </w:r>
    </w:p>
    <w:p w14:paraId="7FA2FE3A" w14:textId="77777777" w:rsidR="00CC7DF6" w:rsidRPr="008D395C" w:rsidRDefault="2EE172CF" w:rsidP="008D395C">
      <w:pPr>
        <w:pStyle w:val="Odsekzoznamu"/>
      </w:pPr>
      <w:r>
        <w:t xml:space="preserve">Do roku 2026 </w:t>
      </w:r>
    </w:p>
    <w:p w14:paraId="2AFFEB83" w14:textId="77777777" w:rsidR="00CC7DF6"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 xml:space="preserve">MIRRI SR podľa potreby poskytuje priebežnú G2G implementačnú podporu pri zavádzaní ID-SK prostredníctvom expertných konzultácií, organizáciou školení a workshopov. MIRRI SR udržiava udržateľný program implementačnej a rozvojovej podpory ID-SK. </w:t>
      </w:r>
    </w:p>
    <w:p w14:paraId="36FABE8E" w14:textId="77777777" w:rsidR="00CC7DF6"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 xml:space="preserve">MIRRI SR pravidelne monitoruje používateľskú kvalitu služieb prioritných životných situácií. </w:t>
      </w:r>
    </w:p>
    <w:p w14:paraId="4C6D2FBE" w14:textId="77777777" w:rsidR="00CC7DF6" w:rsidRPr="008D395C" w:rsidRDefault="00CC7DF6" w:rsidP="00F06821">
      <w:pPr>
        <w:pStyle w:val="Odsekzoznamu"/>
        <w:numPr>
          <w:ilvl w:val="0"/>
          <w:numId w:val="24"/>
        </w:numPr>
        <w:spacing w:line="240" w:lineRule="auto"/>
        <w:ind w:left="1134" w:hanging="357"/>
        <w:rPr>
          <w:rFonts w:eastAsiaTheme="minorEastAsia" w:cstheme="minorBidi"/>
          <w:color w:val="000000" w:themeColor="text1"/>
        </w:rPr>
      </w:pPr>
      <w:r w:rsidRPr="190F7DBA">
        <w:rPr>
          <w:color w:val="000000" w:themeColor="text1"/>
        </w:rPr>
        <w:t>Orgány ústrednej štátnej správy jednotne používajú ID-SK pre svoje webové sídla, 100% na svoje elektronické služby v prioritných životných situáciách. Štát v digitálnom priestore pôsobí zjednotene a dôveryhodne.</w:t>
      </w:r>
    </w:p>
    <w:p w14:paraId="13CD63EB" w14:textId="77777777" w:rsidR="00CC7DF6" w:rsidRPr="008D395C" w:rsidRDefault="00CC7DF6" w:rsidP="00F06821">
      <w:pPr>
        <w:pStyle w:val="Odsekzoznamu"/>
        <w:numPr>
          <w:ilvl w:val="0"/>
          <w:numId w:val="24"/>
        </w:numPr>
        <w:spacing w:line="240" w:lineRule="auto"/>
        <w:ind w:left="1134" w:hanging="357"/>
        <w:rPr>
          <w:rFonts w:eastAsiaTheme="minorEastAsia" w:cstheme="minorBidi"/>
          <w:color w:val="000000" w:themeColor="text1"/>
        </w:rPr>
      </w:pPr>
      <w:r w:rsidRPr="190F7DBA">
        <w:rPr>
          <w:color w:val="000000" w:themeColor="text1"/>
        </w:rPr>
        <w:t>80% ÚOŠS bude aktívne využívať govCMS.</w:t>
      </w:r>
    </w:p>
    <w:p w14:paraId="497EE452" w14:textId="77777777" w:rsidR="00CC7DF6" w:rsidRPr="008D395C" w:rsidRDefault="00CC7DF6" w:rsidP="00F06821">
      <w:pPr>
        <w:pStyle w:val="Odsekzoznamu"/>
        <w:numPr>
          <w:ilvl w:val="0"/>
          <w:numId w:val="24"/>
        </w:numPr>
        <w:spacing w:line="240" w:lineRule="auto"/>
        <w:ind w:left="1134" w:hanging="357"/>
        <w:rPr>
          <w:rFonts w:eastAsiaTheme="minorEastAsia" w:cstheme="minorBidi"/>
          <w:color w:val="000000" w:themeColor="text1"/>
        </w:rPr>
      </w:pPr>
      <w:r w:rsidRPr="190F7DBA">
        <w:rPr>
          <w:rFonts w:ascii="Calibri" w:eastAsia="Calibri" w:hAnsi="Calibri" w:cs="Calibri"/>
          <w:color w:val="000000" w:themeColor="text1"/>
        </w:rPr>
        <w:t>100% ÚOŠS bude aktívne využívať e-dizajnér, náklady na vytvorenie používateľského rozhrania služby klesnú na polovicu.</w:t>
      </w:r>
    </w:p>
    <w:p w14:paraId="2409EF3D" w14:textId="77777777" w:rsidR="00CC7DF6" w:rsidRPr="008D395C" w:rsidRDefault="2EE172CF" w:rsidP="008D395C">
      <w:pPr>
        <w:pStyle w:val="Odsekzoznamu"/>
      </w:pPr>
      <w:r>
        <w:t>Do roku 2030</w:t>
      </w:r>
    </w:p>
    <w:p w14:paraId="2C2BBBA5" w14:textId="77777777" w:rsidR="00CC7DF6"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 xml:space="preserve">MIRRI SR podľa potreby poskytuje priebežnú G2G implementačnú podporu pri zavádzaní ID-SK prostredníctvom expertných konzultácií, organizáciou školení a workshopov. </w:t>
      </w:r>
    </w:p>
    <w:p w14:paraId="24CA8388" w14:textId="77777777" w:rsidR="00CC7DF6"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Orgány ústrednej štátnej správy jednotne používajú ID-SK pre svoje webové sídla, 100% na svoje prioritné elektronické služby. Štát v digitálnom priestore pôsobí zjednotene a dôveryhodne.</w:t>
      </w:r>
    </w:p>
    <w:p w14:paraId="0824C30A" w14:textId="77777777" w:rsidR="00D45DE4"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Digitálne služby budú štandardizovane zbierať spätnú väzbu. Kvalitu služby bude možné porovnávať.</w:t>
      </w:r>
    </w:p>
    <w:p w14:paraId="055B06D1" w14:textId="77777777" w:rsidR="00CC7DF6" w:rsidRDefault="00CC7DF6" w:rsidP="00CC7DF6">
      <w:pPr>
        <w:spacing w:before="120" w:after="0" w:line="240" w:lineRule="auto"/>
        <w:rPr>
          <w:i/>
          <w:iCs/>
        </w:rPr>
      </w:pPr>
      <w:r w:rsidRPr="6E7186B8">
        <w:rPr>
          <w:i/>
          <w:iCs/>
          <w:u w:val="single"/>
        </w:rPr>
        <w:t>Súvisiace iniciatívy</w:t>
      </w:r>
      <w:r w:rsidRPr="6E7186B8">
        <w:rPr>
          <w:i/>
          <w:iCs/>
        </w:rPr>
        <w:t xml:space="preserve">: </w:t>
      </w:r>
    </w:p>
    <w:p w14:paraId="10212B8A" w14:textId="77777777" w:rsidR="00CC7DF6" w:rsidRPr="00CC7DF6" w:rsidRDefault="585DF0FD" w:rsidP="00CC7DF6">
      <w:pPr>
        <w:pStyle w:val="Odsekzoznamu"/>
        <w:rPr>
          <w:rFonts w:eastAsiaTheme="minorEastAsia" w:cstheme="minorBidi"/>
        </w:rPr>
      </w:pPr>
      <w:r>
        <w:t>Vytváranie zdrojov pre zlepšovanie používateľskej kvality služieb</w:t>
      </w:r>
      <w:r w:rsidR="3F8B2716">
        <w:t>.</w:t>
      </w:r>
    </w:p>
    <w:p w14:paraId="638FF5AB" w14:textId="77777777" w:rsidR="001D48A4" w:rsidRPr="004D73C4" w:rsidRDefault="00A16F44" w:rsidP="00C24B0D">
      <w:pPr>
        <w:rPr>
          <w:b/>
          <w:bCs/>
        </w:rPr>
      </w:pPr>
      <w:r w:rsidRPr="3912845A">
        <w:rPr>
          <w:b/>
          <w:bCs/>
        </w:rPr>
        <w:t xml:space="preserve">Opatrenie </w:t>
      </w:r>
      <w:r w:rsidR="00C24B0D" w:rsidRPr="3912845A">
        <w:rPr>
          <w:b/>
          <w:bCs/>
        </w:rPr>
        <w:t xml:space="preserve">3 – </w:t>
      </w:r>
      <w:r w:rsidR="002C2D5B" w:rsidRPr="3912845A">
        <w:rPr>
          <w:b/>
          <w:bCs/>
        </w:rPr>
        <w:t>Poskytovanie komplexných medzirezortných služieb</w:t>
      </w:r>
      <w:r w:rsidR="001D48A4" w:rsidRPr="3912845A">
        <w:rPr>
          <w:b/>
          <w:bCs/>
        </w:rPr>
        <w:t xml:space="preserve"> </w:t>
      </w:r>
    </w:p>
    <w:p w14:paraId="24D0853A" w14:textId="77777777" w:rsidR="62DC8074" w:rsidRDefault="62DC8074" w:rsidP="3912845A">
      <w:pPr>
        <w:rPr>
          <w:rFonts w:ascii="Calibri" w:eastAsia="Calibri" w:hAnsi="Calibri" w:cs="Calibri"/>
          <w:color w:val="000000" w:themeColor="text1"/>
        </w:rPr>
      </w:pPr>
      <w:r w:rsidRPr="3912845A">
        <w:rPr>
          <w:rFonts w:ascii="Calibri" w:eastAsia="Calibri" w:hAnsi="Calibri" w:cs="Calibri"/>
          <w:color w:val="000000" w:themeColor="text1"/>
        </w:rPr>
        <w:t>Doterajší vývoj digitálnych koncových služieb viedol k vytvoreniu stoviek koncových, atomických</w:t>
      </w:r>
      <w:r w:rsidRPr="3912845A">
        <w:rPr>
          <w:rFonts w:ascii="Calibri" w:eastAsia="Calibri" w:hAnsi="Calibri" w:cs="Calibri"/>
          <w:color w:val="000000" w:themeColor="text1"/>
          <w:vertAlign w:val="superscript"/>
        </w:rPr>
        <w:t>11</w:t>
      </w:r>
      <w:r w:rsidR="6EA5A5AD" w:rsidRPr="3912845A">
        <w:rPr>
          <w:rFonts w:ascii="Calibri" w:eastAsia="Calibri" w:hAnsi="Calibri" w:cs="Calibri"/>
          <w:color w:val="000000" w:themeColor="text1"/>
        </w:rPr>
        <w:t xml:space="preserve">) </w:t>
      </w:r>
      <w:r w:rsidRPr="3912845A">
        <w:rPr>
          <w:rFonts w:ascii="Calibri" w:eastAsia="Calibri" w:hAnsi="Calibri" w:cs="Calibri"/>
          <w:color w:val="000000" w:themeColor="text1"/>
        </w:rPr>
        <w:t xml:space="preserve">služieb. Je nepravdepodobné, že by atomické koncové služby úplne stratili na svojej dôležitosti, resp. úslužnosti. Pre naplnenie potrieb občanov a podnikateľov v mnohých ŽS (napr. prihlasovanie sa na vysokú školu) jedna koncová služba už dnes postačuje. </w:t>
      </w:r>
    </w:p>
    <w:p w14:paraId="6E93CF52" w14:textId="77777777" w:rsidR="62DC8074" w:rsidRDefault="62DC8074" w:rsidP="3912845A">
      <w:pPr>
        <w:rPr>
          <w:rFonts w:ascii="Calibri" w:eastAsia="Calibri" w:hAnsi="Calibri" w:cs="Calibri"/>
          <w:color w:val="000000" w:themeColor="text1"/>
        </w:rPr>
      </w:pPr>
      <w:r w:rsidRPr="3912845A">
        <w:rPr>
          <w:rFonts w:ascii="Calibri" w:eastAsia="Calibri" w:hAnsi="Calibri" w:cs="Calibri"/>
          <w:color w:val="000000" w:themeColor="text1"/>
        </w:rPr>
        <w:t>Existujú však aj komplikovanejšie ŽS (napr. narodenie dieťaťa), v rámci ktorých majú občania a podnikatelia viacero súvisiacich potrieb, ktoré však v súčasnosti napĺňa súbor atomických, avšak informačne a technologických nepreviazaných koncových služieb.</w:t>
      </w:r>
    </w:p>
    <w:p w14:paraId="3785610B" w14:textId="77777777" w:rsidR="62DC8074" w:rsidRDefault="62DC8074" w:rsidP="3912845A">
      <w:pPr>
        <w:rPr>
          <w:rFonts w:ascii="Calibri" w:eastAsia="Calibri" w:hAnsi="Calibri" w:cs="Calibri"/>
          <w:color w:val="000000" w:themeColor="text1"/>
        </w:rPr>
      </w:pPr>
      <w:r w:rsidRPr="3912845A">
        <w:rPr>
          <w:rFonts w:ascii="Calibri" w:eastAsia="Calibri" w:hAnsi="Calibri" w:cs="Calibri"/>
          <w:color w:val="000000" w:themeColor="text1"/>
        </w:rPr>
        <w:t xml:space="preserve">Za účelom vytvorenia prívetivej a príjemnej skúsenosti s interakciou so štátom preto dôjde k optimalizácii poskytovania koncových služieb v prioritných ŽS. </w:t>
      </w:r>
    </w:p>
    <w:p w14:paraId="12E8BE56" w14:textId="77777777" w:rsidR="62DC8074" w:rsidRDefault="62DC8074" w:rsidP="3912845A">
      <w:pPr>
        <w:rPr>
          <w:rFonts w:ascii="Calibri" w:eastAsia="Calibri" w:hAnsi="Calibri" w:cs="Calibri"/>
          <w:color w:val="000000" w:themeColor="text1"/>
        </w:rPr>
      </w:pPr>
      <w:r w:rsidRPr="3912845A">
        <w:rPr>
          <w:rFonts w:ascii="Calibri" w:eastAsia="Calibri" w:hAnsi="Calibri" w:cs="Calibri"/>
          <w:color w:val="000000" w:themeColor="text1"/>
        </w:rPr>
        <w:lastRenderedPageBreak/>
        <w:t>Optimalizácia by mala priniesť redukciu počtu atomických koncových služieb a ich nahradenie tzv. komplexnými, skutočne digitálnymi službami s proaktívnymi prvkami, ktoré budú čo najefektívnejším spôsobom riešiť potreby občanov a podnikateľov od samého začiatku ich ŽS, až po jej koniec. Komplexné služby by mali na úrovní ŽS vo významnej miere znížiť celkovú mieru námahy, ktorú v porovnaní so súčasnosťou musia občania alebo podnikatelia vynaložiť v snahe úspešne si uplatniť svoje práve alebo splniť svoje povinnosti.</w:t>
      </w:r>
    </w:p>
    <w:p w14:paraId="05DAACD5" w14:textId="77777777" w:rsidR="62DC8074" w:rsidRDefault="62DC8074" w:rsidP="3912845A">
      <w:pPr>
        <w:rPr>
          <w:rFonts w:ascii="Calibri" w:eastAsia="Calibri" w:hAnsi="Calibri" w:cs="Calibri"/>
          <w:color w:val="000000" w:themeColor="text1"/>
        </w:rPr>
      </w:pPr>
      <w:r w:rsidRPr="3912845A">
        <w:rPr>
          <w:rFonts w:ascii="Calibri" w:eastAsia="Calibri" w:hAnsi="Calibri" w:cs="Calibri"/>
          <w:color w:val="000000" w:themeColor="text1"/>
        </w:rPr>
        <w:t>Súčasťou prechodu od atomických ku komplexným KS bude redizajnovanie služieb do podoby stručných a zrozumiteľných, interaktívnych návodov, ktoré používateľa pripravia na čo najefektívnejšie uplatnenie práv či naplnenie povinností prostredníctvom dostupných služieb štátu. Orgány verejnej moci budú optimalizácii KS priebežne prispôsobovať legislatívu.</w:t>
      </w:r>
    </w:p>
    <w:p w14:paraId="312514B6" w14:textId="77777777" w:rsidR="62DC8074" w:rsidRDefault="62DC8074" w:rsidP="3912845A">
      <w:pPr>
        <w:rPr>
          <w:rFonts w:ascii="Calibri" w:eastAsia="Calibri" w:hAnsi="Calibri" w:cs="Calibri"/>
          <w:color w:val="000000" w:themeColor="text1"/>
        </w:rPr>
      </w:pPr>
      <w:r w:rsidRPr="3912845A">
        <w:rPr>
          <w:rFonts w:ascii="Calibri" w:eastAsia="Calibri" w:hAnsi="Calibri" w:cs="Calibri"/>
          <w:color w:val="000000" w:themeColor="text1"/>
        </w:rPr>
        <w:t>Komplexné KS budú tvorené v súlade s API-first prístupom, tzn. samotná služby mus</w:t>
      </w:r>
      <w:r w:rsidR="7FDAE423" w:rsidRPr="3912845A">
        <w:rPr>
          <w:rFonts w:ascii="Calibri" w:eastAsia="Calibri" w:hAnsi="Calibri" w:cs="Calibri"/>
          <w:color w:val="000000" w:themeColor="text1"/>
        </w:rPr>
        <w:t>í</w:t>
      </w:r>
      <w:r w:rsidRPr="3912845A">
        <w:rPr>
          <w:rFonts w:ascii="Calibri" w:eastAsia="Calibri" w:hAnsi="Calibri" w:cs="Calibri"/>
          <w:color w:val="000000" w:themeColor="text1"/>
        </w:rPr>
        <w:t xml:space="preserve"> byť postavená na základe aplikačného programovacieho rozhrania, ktoré umožnia jej vzájomnú komunikáciu s inými aplikáciami. </w:t>
      </w:r>
    </w:p>
    <w:p w14:paraId="76985FD5" w14:textId="77777777" w:rsidR="62DC8074" w:rsidRDefault="62DC8074" w:rsidP="3912845A">
      <w:pPr>
        <w:rPr>
          <w:rFonts w:ascii="Calibri" w:eastAsia="Calibri" w:hAnsi="Calibri" w:cs="Calibri"/>
          <w:color w:val="000000" w:themeColor="text1"/>
        </w:rPr>
      </w:pPr>
      <w:r w:rsidRPr="3912845A">
        <w:rPr>
          <w:rFonts w:ascii="Calibri" w:eastAsia="Calibri" w:hAnsi="Calibri" w:cs="Calibri"/>
          <w:color w:val="000000" w:themeColor="text1"/>
        </w:rPr>
        <w:t>Elektronické služby budú z pohľadu ich používateľov lepšie, ak spôsob ich usporiadania, resp. poskytovania bude odzrkadľovať perspektívu fyzických či právnických osôb, nie procesy alebo organizačnú štruktúru štátu. Namiesto roztrúsenia informácií k právam a povinnostiam v rámci jednotlivých ŽS sa preto bude prioritne investovať do vytvárania a udržiavania jednotných zdrojov pravdy pre životné situácie (ÚPVS 2.0).</w:t>
      </w:r>
    </w:p>
    <w:p w14:paraId="4EA166CA" w14:textId="77777777" w:rsidR="003F4A82" w:rsidRPr="004D73C4" w:rsidRDefault="003F4A82" w:rsidP="00FE6599">
      <w:r w:rsidRPr="004D73C4">
        <w:rPr>
          <w:i/>
          <w:iCs/>
        </w:rPr>
        <w:t>Iniciatívy:</w:t>
      </w:r>
    </w:p>
    <w:p w14:paraId="20F12954" w14:textId="77777777" w:rsidR="00CC7DF6" w:rsidRPr="004D73C4" w:rsidRDefault="3F8B2716" w:rsidP="00CC7DF6">
      <w:pPr>
        <w:pStyle w:val="Odsekzoznamu"/>
      </w:pPr>
      <w:r>
        <w:t>Do roku 2023</w:t>
      </w:r>
    </w:p>
    <w:p w14:paraId="5ECB3C1A" w14:textId="77777777" w:rsidR="69DEB8AB" w:rsidRDefault="69DEB8AB" w:rsidP="00F06821">
      <w:pPr>
        <w:pStyle w:val="Odsekzoznamu"/>
        <w:numPr>
          <w:ilvl w:val="0"/>
          <w:numId w:val="24"/>
        </w:numPr>
        <w:ind w:left="1080" w:hanging="270"/>
        <w:rPr>
          <w:rFonts w:eastAsiaTheme="minorEastAsia" w:cstheme="minorBidi"/>
          <w:color w:val="000000" w:themeColor="text1"/>
        </w:rPr>
      </w:pPr>
      <w:r w:rsidRPr="190F7DBA">
        <w:rPr>
          <w:rFonts w:ascii="Calibri" w:eastAsia="Calibri" w:hAnsi="Calibri" w:cs="Calibri"/>
          <w:color w:val="000000" w:themeColor="text1"/>
        </w:rPr>
        <w:t>Existuje zoznam prioritných životných situácií a príslušných služieb, ktorých optimalizácia bude prioritizovaná. Započne pravidelné monitorovanie používateľskej kvality týchto služieb. Každá životná situácia zo zoznamu má určeného koordinátora.</w:t>
      </w:r>
    </w:p>
    <w:p w14:paraId="35CDA150" w14:textId="77777777" w:rsidR="69DEB8AB" w:rsidRDefault="69DEB8AB" w:rsidP="00F06821">
      <w:pPr>
        <w:pStyle w:val="Odsekzoznamu"/>
        <w:numPr>
          <w:ilvl w:val="0"/>
          <w:numId w:val="24"/>
        </w:numPr>
        <w:ind w:left="1080" w:hanging="270"/>
        <w:rPr>
          <w:color w:val="000000" w:themeColor="text1"/>
        </w:rPr>
      </w:pPr>
      <w:r w:rsidRPr="190F7DBA">
        <w:rPr>
          <w:rFonts w:ascii="Calibri" w:eastAsia="Calibri" w:hAnsi="Calibri" w:cs="Calibri"/>
          <w:color w:val="000000" w:themeColor="text1"/>
        </w:rPr>
        <w:t xml:space="preserve">Všetky prioritné životné situácie získajú návod, ktorý stručne, zrozumiteľne a v krokoch odprezentuje najkľúčovejšiu navigáciu (vrátane prelinkov na príslušné služby) pre naplnenie jednotlivých potrieb. </w:t>
      </w:r>
    </w:p>
    <w:p w14:paraId="2CB25B2C" w14:textId="23A57A9A" w:rsidR="69DEB8AB" w:rsidRDefault="69DEB8AB" w:rsidP="00F06821">
      <w:pPr>
        <w:pStyle w:val="Odsekzoznamu"/>
        <w:numPr>
          <w:ilvl w:val="0"/>
          <w:numId w:val="24"/>
        </w:numPr>
        <w:ind w:left="1080" w:hanging="270"/>
        <w:rPr>
          <w:color w:val="000000" w:themeColor="text1"/>
        </w:rPr>
      </w:pPr>
      <w:r w:rsidRPr="190F7DBA">
        <w:rPr>
          <w:rFonts w:ascii="Calibri" w:eastAsia="Calibri" w:hAnsi="Calibri" w:cs="Calibri"/>
          <w:color w:val="000000" w:themeColor="text1"/>
        </w:rPr>
        <w:t>Každá životná situácia bude mať prideleného koordinátora, ktorí bude viesť medzirezortné tímy s úlohou zoptimalizovať používateľskú skúsenosť na úrovni ŽS. Okrem samotnej optimalizácie prvých troch ŽS vytvoria projektový zámer a</w:t>
      </w:r>
      <w:r w:rsidR="00892594" w:rsidRPr="190F7DBA">
        <w:rPr>
          <w:rFonts w:ascii="Calibri" w:eastAsia="Calibri" w:hAnsi="Calibri" w:cs="Calibri"/>
          <w:color w:val="000000" w:themeColor="text1"/>
        </w:rPr>
        <w:t> časový plán</w:t>
      </w:r>
      <w:r w:rsidRPr="190F7DBA">
        <w:rPr>
          <w:rFonts w:ascii="Calibri" w:eastAsia="Calibri" w:hAnsi="Calibri" w:cs="Calibri"/>
          <w:color w:val="000000" w:themeColor="text1"/>
        </w:rPr>
        <w:t xml:space="preserve"> optimalizácie všetkých, prioritných životných situácií. Ku každej ŽS bude taktiež </w:t>
      </w:r>
      <w:r w:rsidR="007B2A26" w:rsidRPr="190F7DBA">
        <w:rPr>
          <w:rFonts w:ascii="Calibri" w:eastAsia="Calibri" w:hAnsi="Calibri" w:cs="Calibri"/>
          <w:color w:val="000000" w:themeColor="text1"/>
        </w:rPr>
        <w:t>prislúchať</w:t>
      </w:r>
      <w:r w:rsidRPr="190F7DBA">
        <w:rPr>
          <w:rFonts w:ascii="Calibri" w:eastAsia="Calibri" w:hAnsi="Calibri" w:cs="Calibri"/>
          <w:color w:val="000000" w:themeColor="text1"/>
        </w:rPr>
        <w:t xml:space="preserve"> prehľadná mapa zákazníckej AS IS a TO BE cesty.</w:t>
      </w:r>
    </w:p>
    <w:p w14:paraId="51606A0B" w14:textId="77777777" w:rsidR="69DEB8AB" w:rsidRDefault="69DEB8AB" w:rsidP="00F06821">
      <w:pPr>
        <w:pStyle w:val="Odsekzoznamu"/>
        <w:numPr>
          <w:ilvl w:val="0"/>
          <w:numId w:val="24"/>
        </w:numPr>
        <w:ind w:left="1080" w:hanging="270"/>
        <w:rPr>
          <w:color w:val="000000" w:themeColor="text1"/>
        </w:rPr>
      </w:pPr>
      <w:r w:rsidRPr="190F7DBA">
        <w:rPr>
          <w:rFonts w:ascii="Calibri" w:eastAsia="Calibri" w:hAnsi="Calibri" w:cs="Calibri"/>
          <w:color w:val="000000" w:themeColor="text1"/>
        </w:rPr>
        <w:t>Poskytovanie služieb v prvých troch životných situáciách bude optimalizované, v ďalších</w:t>
      </w:r>
      <w:r w:rsidR="002D7AD4">
        <w:rPr>
          <w:rFonts w:ascii="Calibri" w:eastAsia="Calibri" w:hAnsi="Calibri" w:cs="Calibri"/>
          <w:color w:val="000000" w:themeColor="text1"/>
        </w:rPr>
        <w:t xml:space="preserve"> </w:t>
      </w:r>
      <w:r w:rsidRPr="190F7DBA">
        <w:rPr>
          <w:rFonts w:ascii="Calibri" w:eastAsia="Calibri" w:hAnsi="Calibri" w:cs="Calibri"/>
          <w:color w:val="000000" w:themeColor="text1"/>
        </w:rPr>
        <w:t>30% bude optimalizácia v realizačnej a v 30% v iniciačnej fáze</w:t>
      </w:r>
      <w:r w:rsidR="00892594" w:rsidRPr="190F7DBA">
        <w:rPr>
          <w:rFonts w:ascii="Calibri" w:eastAsia="Calibri" w:hAnsi="Calibri" w:cs="Calibri"/>
          <w:color w:val="000000" w:themeColor="text1"/>
        </w:rPr>
        <w:t>.</w:t>
      </w:r>
      <w:r w:rsidRPr="190F7DBA">
        <w:rPr>
          <w:rFonts w:ascii="Calibri" w:eastAsia="Calibri" w:hAnsi="Calibri" w:cs="Calibri"/>
          <w:color w:val="000000" w:themeColor="text1"/>
          <w:vertAlign w:val="superscript"/>
        </w:rPr>
        <w:footnoteReference w:id="6"/>
      </w:r>
      <w:r w:rsidR="00892594" w:rsidRPr="190F7DBA">
        <w:rPr>
          <w:rFonts w:ascii="Calibri" w:eastAsia="Calibri" w:hAnsi="Calibri" w:cs="Calibri"/>
          <w:color w:val="000000" w:themeColor="text1"/>
        </w:rPr>
        <w:t>)</w:t>
      </w:r>
    </w:p>
    <w:p w14:paraId="7AD117A3" w14:textId="77777777" w:rsidR="69DEB8AB" w:rsidRDefault="69DEB8AB" w:rsidP="00F06821">
      <w:pPr>
        <w:pStyle w:val="Odsekzoznamu"/>
        <w:numPr>
          <w:ilvl w:val="0"/>
          <w:numId w:val="24"/>
        </w:numPr>
        <w:ind w:left="1080" w:hanging="270"/>
        <w:rPr>
          <w:color w:val="000000" w:themeColor="text1"/>
        </w:rPr>
      </w:pPr>
      <w:r w:rsidRPr="190F7DBA">
        <w:rPr>
          <w:rFonts w:ascii="Calibri" w:eastAsia="Calibri" w:hAnsi="Calibri" w:cs="Calibri"/>
          <w:color w:val="000000" w:themeColor="text1"/>
        </w:rPr>
        <w:t>MIRRI SR podľa potreby poskytuje priebežnú G2G implementačnú podporu pri zavádzaní ID-SK a pri zavádzaní princípov a metód používateľsky-orientovaného dizajnu v rámci optimalizovania služieb , spravidla prostredníctvom expertných konzultácií, organizáciou školení a workshopov.</w:t>
      </w:r>
      <w:r w:rsidR="002D7AD4">
        <w:rPr>
          <w:rFonts w:ascii="Calibri" w:eastAsia="Calibri" w:hAnsi="Calibri" w:cs="Calibri"/>
          <w:color w:val="000000" w:themeColor="text1"/>
        </w:rPr>
        <w:t xml:space="preserve"> </w:t>
      </w:r>
    </w:p>
    <w:p w14:paraId="4284BAC8" w14:textId="77777777" w:rsidR="69DEB8AB" w:rsidRDefault="69DEB8AB" w:rsidP="00F06821">
      <w:pPr>
        <w:pStyle w:val="Odsekzoznamu"/>
        <w:numPr>
          <w:ilvl w:val="0"/>
          <w:numId w:val="24"/>
        </w:numPr>
        <w:ind w:left="1080" w:hanging="270"/>
        <w:rPr>
          <w:color w:val="000000" w:themeColor="text1"/>
        </w:rPr>
      </w:pPr>
      <w:r w:rsidRPr="190F7DBA">
        <w:rPr>
          <w:rFonts w:ascii="Calibri" w:eastAsia="Calibri" w:hAnsi="Calibri" w:cs="Calibri"/>
          <w:color w:val="000000" w:themeColor="text1"/>
        </w:rPr>
        <w:t>Príprava dopytových výziev ktoré nadviažu na OPII projekty a umožnia prevádzkovateľom prefinancovať optimalizáciu služieb.</w:t>
      </w:r>
    </w:p>
    <w:p w14:paraId="78FE5A27" w14:textId="77777777" w:rsidR="00CC7DF6" w:rsidRPr="004D73C4" w:rsidRDefault="3F8B2716" w:rsidP="00CC7DF6">
      <w:pPr>
        <w:pStyle w:val="Odsekzoznamu"/>
      </w:pPr>
      <w:r>
        <w:t xml:space="preserve">Do roku 2026 </w:t>
      </w:r>
    </w:p>
    <w:p w14:paraId="50D57FA8" w14:textId="77777777" w:rsidR="2DFCBFAA" w:rsidRDefault="462FF2D4" w:rsidP="00F06821">
      <w:pPr>
        <w:pStyle w:val="Odsekzoznamu"/>
        <w:numPr>
          <w:ilvl w:val="0"/>
          <w:numId w:val="24"/>
        </w:numPr>
        <w:ind w:left="1080"/>
        <w:rPr>
          <w:rFonts w:eastAsiaTheme="minorEastAsia" w:cstheme="minorBidi"/>
        </w:rPr>
      </w:pPr>
      <w:r>
        <w:t xml:space="preserve">Poskytovanie služieb v 100% prioritných životných situácií bude optimalizované. Znížil sa počet atomických služieb a používatelia pociťujú zníženie celkovej miery námahy, ktorú v porovnaní so súčasnosťou musia vynaložiť v snahe úspešne si uplatniť svoje práve alebo splniť svoje povinnosti. </w:t>
      </w:r>
    </w:p>
    <w:p w14:paraId="298F22AE" w14:textId="77777777" w:rsidR="2DFCBFAA" w:rsidRDefault="462FF2D4" w:rsidP="00F06821">
      <w:pPr>
        <w:pStyle w:val="Odsekzoznamu"/>
        <w:numPr>
          <w:ilvl w:val="0"/>
          <w:numId w:val="24"/>
        </w:numPr>
        <w:ind w:left="1080"/>
        <w:rPr>
          <w:rFonts w:eastAsiaTheme="minorEastAsia" w:cstheme="minorBidi"/>
        </w:rPr>
      </w:pPr>
      <w:r>
        <w:t xml:space="preserve">Medzirezortné tímy s úlohou zoptimalizovať používateľskú skúsenosť na úrovni ŽS aktualizujú </w:t>
      </w:r>
      <w:r w:rsidR="00892594">
        <w:t>časový plán</w:t>
      </w:r>
      <w:r>
        <w:t xml:space="preserve"> optimalizácie ŽS pre jej druhú fázu. Kľúčovým vstupom by mala byť priebežne zbieraná spätná väzba od občanov a podnikateľov.</w:t>
      </w:r>
      <w:r w:rsidR="002D7AD4">
        <w:t xml:space="preserve"> </w:t>
      </w:r>
    </w:p>
    <w:p w14:paraId="73322E19" w14:textId="77777777" w:rsidR="2DFCBFAA" w:rsidRDefault="462FF2D4" w:rsidP="00F06821">
      <w:pPr>
        <w:pStyle w:val="Odsekzoznamu"/>
        <w:numPr>
          <w:ilvl w:val="0"/>
          <w:numId w:val="24"/>
        </w:numPr>
        <w:ind w:left="1080"/>
        <w:rPr>
          <w:rFonts w:eastAsiaTheme="minorEastAsia" w:cstheme="minorBidi"/>
        </w:rPr>
      </w:pPr>
      <w:r>
        <w:lastRenderedPageBreak/>
        <w:t>Digitálne služby budú štandardizovane zbierať spätnú väzbu. Kvalitu služby bude možné porovnávať. Existuje udržateľný mechanizmus financovania systematickej optimalizácie služieb na úrovni životných situácií.</w:t>
      </w:r>
      <w:r w:rsidR="002D7AD4">
        <w:t xml:space="preserve"> </w:t>
      </w:r>
    </w:p>
    <w:p w14:paraId="671F5A75" w14:textId="77777777" w:rsidR="00CC7DF6" w:rsidRPr="008D395C" w:rsidRDefault="2EE172CF" w:rsidP="008D395C">
      <w:pPr>
        <w:pStyle w:val="Odsekzoznamu"/>
      </w:pPr>
      <w:r>
        <w:t>Do roku 2030</w:t>
      </w:r>
    </w:p>
    <w:p w14:paraId="38DE3191" w14:textId="77777777" w:rsidR="27704D60" w:rsidRDefault="27704D60" w:rsidP="00F06821">
      <w:pPr>
        <w:pStyle w:val="Odsekzoznamu"/>
        <w:numPr>
          <w:ilvl w:val="0"/>
          <w:numId w:val="24"/>
        </w:numPr>
        <w:spacing w:line="240" w:lineRule="auto"/>
        <w:ind w:left="1134" w:hanging="357"/>
        <w:rPr>
          <w:rFonts w:eastAsiaTheme="minorEastAsia" w:cstheme="minorBidi"/>
          <w:color w:val="000000" w:themeColor="text1"/>
        </w:rPr>
      </w:pPr>
      <w:r w:rsidRPr="3912845A">
        <w:rPr>
          <w:rFonts w:ascii="Calibri" w:hAnsi="Calibri"/>
          <w:color w:val="000000" w:themeColor="text1"/>
        </w:rPr>
        <w:t>Poskytovanie služieb v 100% koncových služieb s viac ako 500 podaniami ročne</w:t>
      </w:r>
      <w:r w:rsidRPr="3912845A">
        <w:rPr>
          <w:rFonts w:ascii="Calibri" w:hAnsi="Calibri"/>
          <w:color w:val="000000" w:themeColor="text1"/>
          <w:vertAlign w:val="superscript"/>
        </w:rPr>
        <w:footnoteReference w:id="7"/>
      </w:r>
      <w:r w:rsidR="6CDB3A7E" w:rsidRPr="3912845A">
        <w:rPr>
          <w:rFonts w:ascii="Calibri" w:hAnsi="Calibri"/>
          <w:color w:val="000000" w:themeColor="text1"/>
        </w:rPr>
        <w:t>)</w:t>
      </w:r>
      <w:r w:rsidRPr="3912845A">
        <w:rPr>
          <w:rFonts w:ascii="Calibri" w:hAnsi="Calibri"/>
          <w:color w:val="000000" w:themeColor="text1"/>
        </w:rPr>
        <w:t xml:space="preserve"> bude optimalizované v súlade s princípmi a metódami </w:t>
      </w:r>
      <w:r w:rsidR="00892594" w:rsidRPr="3912845A">
        <w:rPr>
          <w:rFonts w:ascii="Calibri" w:hAnsi="Calibri"/>
          <w:color w:val="000000" w:themeColor="text1"/>
        </w:rPr>
        <w:t>používateľsky</w:t>
      </w:r>
      <w:r w:rsidRPr="3912845A">
        <w:rPr>
          <w:rFonts w:ascii="Calibri" w:hAnsi="Calibri"/>
          <w:color w:val="000000" w:themeColor="text1"/>
        </w:rPr>
        <w:t xml:space="preserve">-orientovaného dizajnu. Bude existovať udržateľný mechanizmus financovania a monitorovania hodnoty za peniaze optimalizovaných služieb. </w:t>
      </w:r>
    </w:p>
    <w:p w14:paraId="3F205334" w14:textId="77777777" w:rsidR="27704D60" w:rsidRDefault="27704D60" w:rsidP="00F06821">
      <w:pPr>
        <w:pStyle w:val="Odsekzoznamu"/>
        <w:numPr>
          <w:ilvl w:val="0"/>
          <w:numId w:val="24"/>
        </w:numPr>
        <w:ind w:left="1080"/>
        <w:rPr>
          <w:rFonts w:eastAsiaTheme="minorEastAsia" w:cstheme="minorBidi"/>
          <w:color w:val="000000" w:themeColor="text1"/>
        </w:rPr>
      </w:pPr>
      <w:r>
        <w:t>Orgány ústrednej štátnej správy jednotne používajú ID-SK pre svoje webové sídla, 100% na svoje prioritné elektronické služby. Štát v digitálnom priestore pôsobí zjednotene a dôveryhodne</w:t>
      </w:r>
    </w:p>
    <w:p w14:paraId="5624CF53" w14:textId="77777777" w:rsidR="00CC7DF6" w:rsidRDefault="00CC7DF6" w:rsidP="00CC7DF6">
      <w:pPr>
        <w:spacing w:before="120" w:after="0" w:line="240" w:lineRule="auto"/>
        <w:rPr>
          <w:i/>
          <w:iCs/>
        </w:rPr>
      </w:pPr>
      <w:r w:rsidRPr="6E7186B8">
        <w:rPr>
          <w:i/>
          <w:iCs/>
          <w:u w:val="single"/>
        </w:rPr>
        <w:t>Súvisiace iniciatívy</w:t>
      </w:r>
      <w:r w:rsidRPr="6E7186B8">
        <w:rPr>
          <w:i/>
          <w:iCs/>
        </w:rPr>
        <w:t xml:space="preserve">: </w:t>
      </w:r>
    </w:p>
    <w:p w14:paraId="5D329065" w14:textId="77777777" w:rsidR="00CC7DF6" w:rsidRDefault="00CC7DF6" w:rsidP="00F06821">
      <w:pPr>
        <w:pStyle w:val="Odsekzoznamu"/>
        <w:numPr>
          <w:ilvl w:val="0"/>
          <w:numId w:val="35"/>
        </w:numPr>
        <w:rPr>
          <w:rFonts w:eastAsiaTheme="minorEastAsia" w:cstheme="minorBidi"/>
        </w:rPr>
      </w:pPr>
      <w:r>
        <w:t>Vytv</w:t>
      </w:r>
      <w:r w:rsidR="6A7C2638">
        <w:t>á</w:t>
      </w:r>
      <w:r>
        <w:t>r</w:t>
      </w:r>
      <w:r w:rsidR="1544B0CF">
        <w:t>a</w:t>
      </w:r>
      <w:r>
        <w:t>nie zdrojov pre zlepšovanie používateľskej kvality služieb (závislosť).</w:t>
      </w:r>
    </w:p>
    <w:p w14:paraId="77DA6C72" w14:textId="77777777" w:rsidR="00CC7DF6" w:rsidRDefault="00CC7DF6" w:rsidP="00F06821">
      <w:pPr>
        <w:pStyle w:val="Odsekzoznamu"/>
        <w:numPr>
          <w:ilvl w:val="0"/>
          <w:numId w:val="35"/>
        </w:numPr>
        <w:rPr>
          <w:rFonts w:eastAsiaTheme="minorEastAsia" w:cstheme="minorBidi"/>
          <w:i/>
          <w:iCs/>
          <w:szCs w:val="22"/>
        </w:rPr>
      </w:pPr>
      <w:r w:rsidRPr="6E7186B8">
        <w:t>Jednotný dizajnový systém služieb a webov ID-SK</w:t>
      </w:r>
      <w:r>
        <w:t>.</w:t>
      </w:r>
    </w:p>
    <w:p w14:paraId="117F57FD" w14:textId="77777777" w:rsidR="00D45DE4" w:rsidRPr="00CC7DF6" w:rsidRDefault="00CC7DF6" w:rsidP="00F06821">
      <w:pPr>
        <w:pStyle w:val="Odsekzoznamu"/>
        <w:numPr>
          <w:ilvl w:val="0"/>
          <w:numId w:val="35"/>
        </w:numPr>
      </w:pPr>
      <w:r>
        <w:t>Tvorba politiky používateľskej kvality</w:t>
      </w:r>
      <w:r w:rsidR="26790EE7">
        <w:t xml:space="preserve">. </w:t>
      </w:r>
    </w:p>
    <w:p w14:paraId="5D5F4113" w14:textId="77777777" w:rsidR="00024CD6" w:rsidRDefault="00024CD6" w:rsidP="00024CD6">
      <w:pPr>
        <w:pStyle w:val="Nadpis3"/>
        <w:rPr>
          <w:rFonts w:eastAsiaTheme="minorEastAsia" w:cstheme="minorBidi"/>
          <w:sz w:val="22"/>
          <w:szCs w:val="22"/>
        </w:rPr>
      </w:pPr>
      <w:bookmarkStart w:id="97" w:name="_Toc69297705"/>
      <w:bookmarkStart w:id="98" w:name="_Toc70369670"/>
      <w:bookmarkStart w:id="99" w:name="_Toc70711610"/>
      <w:r>
        <w:t>Digitálny úradník</w:t>
      </w:r>
      <w:bookmarkEnd w:id="97"/>
      <w:bookmarkEnd w:id="98"/>
      <w:bookmarkEnd w:id="99"/>
      <w:r>
        <w:t xml:space="preserve"> </w:t>
      </w:r>
    </w:p>
    <w:p w14:paraId="2A5070A3" w14:textId="77777777" w:rsidR="00024CD6" w:rsidRPr="00024CD6" w:rsidRDefault="00024CD6" w:rsidP="00085641">
      <w:pPr>
        <w:rPr>
          <w:rStyle w:val="normaltextrun"/>
        </w:rPr>
      </w:pPr>
      <w:r w:rsidRPr="00024CD6">
        <w:rPr>
          <w:rStyle w:val="normaltextrun"/>
        </w:rPr>
        <w:t>Služby sú poskytované transparentne a je k nim poskytovaná konzistentná a empatická podpora. Ich prevádzkovateľ zbiera spätnú väzbu a umožňuje nahlásiť problém. Občan si vie overiť, v akom stave sa jeho požiadavka nachádza a ako štát nakladá s jeho osobnými údajmi. Služby sú prepojené a odkazujú na súvisiace služby alebo úkony pre danú životnú situáciu. Štát prirodzene poskytuje online podporu.</w:t>
      </w:r>
      <w:r w:rsidR="00934846">
        <w:rPr>
          <w:rStyle w:val="normaltextrun"/>
        </w:rPr>
        <w:t xml:space="preserve"> </w:t>
      </w:r>
    </w:p>
    <w:p w14:paraId="6AFDE4EB" w14:textId="77777777" w:rsidR="00024CD6" w:rsidRDefault="00B86512" w:rsidP="00024CD6">
      <w:pPr>
        <w:rPr>
          <w:b/>
          <w:bCs/>
        </w:rPr>
      </w:pPr>
      <w:r>
        <w:rPr>
          <w:b/>
          <w:bCs/>
        </w:rPr>
        <w:t>Opatrenie 1</w:t>
      </w:r>
      <w:r w:rsidR="00024CD6" w:rsidRPr="362F1752">
        <w:rPr>
          <w:b/>
          <w:bCs/>
        </w:rPr>
        <w:t xml:space="preserve"> – Zavádzanie prvkov asistovanej podpory</w:t>
      </w:r>
    </w:p>
    <w:p w14:paraId="2944050E" w14:textId="77777777" w:rsidR="00024CD6" w:rsidRDefault="00024CD6" w:rsidP="3912845A">
      <w:r>
        <w:t>Úlohou štátu je pomôcť občanom a podnikateľom zorientovať sa v spleti procesov a povinností pri riešení životných situácií. Tam, kde to dáva zmysel, sa podpora automatizuje do podoby interaktívnych webových návodov alebo štátneho messengera. Štát využíva všetky dostupné informačné zdroje na to, aby vedel túto podporu čo najviac prispôsobiť osobitým potrebám jednotlivcov. Automatizovaná, digitálna podpora však nemusí všetkým zákazníkom štátu vyhovovať, štát by mal byť preto pripravený poskytnúť virtuálnu a personalizovanú asistenciu aj prostred</w:t>
      </w:r>
      <w:r w:rsidR="157AD9E9">
        <w:t>níctvom klientskeho pracovníka –</w:t>
      </w:r>
      <w:r>
        <w:t xml:space="preserve"> virtuálneho úradníka. Virtuálny úradník nielenže klientovi sprostredkuje potrebné informácie, umožní mu asistovane vybaviť jeho pohľadávku, ak to jej podstata umožňuje. </w:t>
      </w:r>
      <w:r w:rsidR="116901C7">
        <w:t>Asistovaná podpora je multikanálová</w:t>
      </w:r>
      <w:r w:rsidR="6DF0E4B7">
        <w:t>. V</w:t>
      </w:r>
      <w:r w:rsidR="116901C7">
        <w:t xml:space="preserve">ybavovať môžem začať online a dokončiť cez call-centrum alebo fyzicky s </w:t>
      </w:r>
      <w:r w:rsidR="00892594">
        <w:t>klientskym</w:t>
      </w:r>
      <w:r w:rsidR="116901C7">
        <w:t xml:space="preserve"> pracovníkom</w:t>
      </w:r>
      <w:r w:rsidR="230E2389">
        <w:t xml:space="preserve"> ale len tam, kde je o to používatelia dokázateľne prejavia záujem a preukáže sa hodnota za peniaze.</w:t>
      </w:r>
    </w:p>
    <w:p w14:paraId="3182C354" w14:textId="77777777" w:rsidR="00024CD6" w:rsidRPr="008D395C" w:rsidRDefault="6D949AF9" w:rsidP="00024CD6">
      <w:pPr>
        <w:pStyle w:val="Odsekzoznamu"/>
      </w:pPr>
      <w:r>
        <w:t xml:space="preserve">Do roku 2023 </w:t>
      </w:r>
    </w:p>
    <w:p w14:paraId="008C2DCF" w14:textId="77777777" w:rsidR="00024CD6" w:rsidRPr="008D395C" w:rsidRDefault="00024CD6" w:rsidP="00F06821">
      <w:pPr>
        <w:pStyle w:val="Odsekzoznamu"/>
        <w:numPr>
          <w:ilvl w:val="0"/>
          <w:numId w:val="24"/>
        </w:numPr>
        <w:spacing w:after="0" w:line="240" w:lineRule="auto"/>
        <w:ind w:left="1134"/>
        <w:rPr>
          <w:rFonts w:eastAsiaTheme="minorEastAsia" w:cstheme="minorBidi"/>
          <w:color w:val="000000" w:themeColor="text1"/>
        </w:rPr>
      </w:pPr>
      <w:r w:rsidRPr="190F7DBA">
        <w:rPr>
          <w:rFonts w:ascii="Calibri" w:hAnsi="Calibri" w:cs="Calibri"/>
          <w:color w:val="000000" w:themeColor="text1"/>
        </w:rPr>
        <w:t xml:space="preserve">V rámci projektu modernizácie UPVS bude vytvorený modul </w:t>
      </w:r>
      <w:r w:rsidRPr="190F7DBA">
        <w:rPr>
          <w:rFonts w:ascii="Calibri" w:eastAsia="Calibri" w:hAnsi="Calibri" w:cs="Calibri"/>
          <w:color w:val="000000" w:themeColor="text1"/>
        </w:rPr>
        <w:t>štátneho messengera</w:t>
      </w:r>
      <w:r w:rsidR="00CC7DF6" w:rsidRPr="190F7DBA">
        <w:rPr>
          <w:rFonts w:ascii="Calibri" w:eastAsia="Calibri" w:hAnsi="Calibri" w:cs="Calibri"/>
          <w:color w:val="000000" w:themeColor="text1"/>
        </w:rPr>
        <w:t>.</w:t>
      </w:r>
      <w:r w:rsidRPr="190F7DBA">
        <w:rPr>
          <w:rFonts w:ascii="Calibri" w:eastAsia="Calibri" w:hAnsi="Calibri" w:cs="Calibri"/>
          <w:color w:val="000000" w:themeColor="text1"/>
        </w:rPr>
        <w:t xml:space="preserve"> </w:t>
      </w:r>
    </w:p>
    <w:p w14:paraId="1CC60BD5" w14:textId="77777777" w:rsidR="00024CD6" w:rsidRPr="008D395C" w:rsidRDefault="00024CD6" w:rsidP="00F06821">
      <w:pPr>
        <w:pStyle w:val="Odsekzoznamu"/>
        <w:numPr>
          <w:ilvl w:val="0"/>
          <w:numId w:val="24"/>
        </w:numPr>
        <w:spacing w:after="0" w:line="240" w:lineRule="auto"/>
        <w:ind w:left="1134"/>
        <w:rPr>
          <w:rFonts w:eastAsiaTheme="minorEastAsia" w:cstheme="minorBidi"/>
          <w:color w:val="000000" w:themeColor="text1"/>
        </w:rPr>
      </w:pPr>
      <w:r w:rsidRPr="190F7DBA">
        <w:rPr>
          <w:rFonts w:ascii="Calibri" w:hAnsi="Calibri" w:cs="Calibri"/>
          <w:color w:val="000000" w:themeColor="text1"/>
        </w:rPr>
        <w:t>Všetky prioritné životné situácie získajú návod, ktorý stručne, zrozumiteľne a v krokoch odprezentuje najkľúčovejšiu navigáciu (vrátane prelinkov na príslušné služby) pre naplnenie jednotlivých potrieb.</w:t>
      </w:r>
    </w:p>
    <w:p w14:paraId="74C0B59B" w14:textId="77777777" w:rsidR="00024CD6" w:rsidRPr="008D395C" w:rsidRDefault="00024CD6" w:rsidP="00F06821">
      <w:pPr>
        <w:pStyle w:val="Odsekzoznamu"/>
        <w:numPr>
          <w:ilvl w:val="0"/>
          <w:numId w:val="24"/>
        </w:numPr>
        <w:spacing w:after="0" w:line="240" w:lineRule="auto"/>
        <w:ind w:left="1134"/>
        <w:rPr>
          <w:rFonts w:eastAsiaTheme="minorEastAsia" w:cstheme="minorBidi"/>
          <w:color w:val="000000" w:themeColor="text1"/>
        </w:rPr>
      </w:pPr>
      <w:r w:rsidRPr="190F7DBA">
        <w:rPr>
          <w:rFonts w:ascii="Calibri" w:hAnsi="Calibri" w:cs="Calibri"/>
          <w:color w:val="000000" w:themeColor="text1"/>
        </w:rPr>
        <w:t>Súčasťou každej z prioritných životných situácii budú odpovede na často kladené otázky (t</w:t>
      </w:r>
      <w:r w:rsidR="157AD9E9" w:rsidRPr="190F7DBA">
        <w:rPr>
          <w:rFonts w:ascii="Calibri" w:hAnsi="Calibri" w:cs="Calibri"/>
          <w:color w:val="000000" w:themeColor="text1"/>
        </w:rPr>
        <w:t>zv. FAQ) spojené s prežívaním životnej situácie</w:t>
      </w:r>
      <w:r w:rsidRPr="190F7DBA">
        <w:rPr>
          <w:rFonts w:ascii="Calibri" w:hAnsi="Calibri" w:cs="Calibri"/>
          <w:color w:val="000000" w:themeColor="text1"/>
        </w:rPr>
        <w:t xml:space="preserve">. Prevádzkovatelia modernizovaných koncových služieb aktualizovali svoje KRIT tak, aby bolo jednoznačné, akým spôsobom sa FAQ udržiavajú aktualizované. </w:t>
      </w:r>
    </w:p>
    <w:p w14:paraId="2003EEBD" w14:textId="77777777" w:rsidR="00024CD6" w:rsidRPr="008D395C" w:rsidRDefault="00024CD6" w:rsidP="00F06821">
      <w:pPr>
        <w:pStyle w:val="Odsekzoznamu"/>
        <w:numPr>
          <w:ilvl w:val="0"/>
          <w:numId w:val="24"/>
        </w:numPr>
        <w:spacing w:after="0" w:line="240" w:lineRule="auto"/>
        <w:ind w:left="1134"/>
        <w:rPr>
          <w:rFonts w:eastAsiaTheme="minorEastAsia" w:cstheme="minorBidi"/>
          <w:color w:val="000000" w:themeColor="text1"/>
        </w:rPr>
      </w:pPr>
      <w:r w:rsidRPr="190F7DBA">
        <w:rPr>
          <w:rFonts w:ascii="Calibri" w:hAnsi="Calibri" w:cs="Calibri"/>
          <w:color w:val="000000" w:themeColor="text1"/>
        </w:rPr>
        <w:t xml:space="preserve">MIRRI SR poskytuje priebežnú G2G implementačnú podporu pri vytváraní navigácie a FAQ, spravidla prostredníctvom expertných konzultácií, organizáciou školení a workshopov. </w:t>
      </w:r>
    </w:p>
    <w:p w14:paraId="51EA886C" w14:textId="77777777" w:rsidR="00024CD6" w:rsidRPr="008D395C" w:rsidRDefault="00024CD6" w:rsidP="00F06821">
      <w:pPr>
        <w:pStyle w:val="Odsekzoznamu"/>
        <w:numPr>
          <w:ilvl w:val="0"/>
          <w:numId w:val="24"/>
        </w:numPr>
        <w:spacing w:after="0" w:line="240" w:lineRule="auto"/>
        <w:ind w:left="1134"/>
        <w:rPr>
          <w:color w:val="000000" w:themeColor="text1"/>
        </w:rPr>
      </w:pPr>
      <w:r w:rsidRPr="190F7DBA">
        <w:rPr>
          <w:rFonts w:ascii="Calibri" w:hAnsi="Calibri" w:cs="Calibri"/>
          <w:color w:val="000000" w:themeColor="text1"/>
        </w:rPr>
        <w:t xml:space="preserve">MIRRI </w:t>
      </w:r>
      <w:r w:rsidR="00CC7DF6" w:rsidRPr="190F7DBA">
        <w:rPr>
          <w:rFonts w:ascii="Calibri" w:hAnsi="Calibri" w:cs="Calibri"/>
          <w:color w:val="000000" w:themeColor="text1"/>
        </w:rPr>
        <w:t xml:space="preserve">SR </w:t>
      </w:r>
      <w:r w:rsidRPr="190F7DBA">
        <w:rPr>
          <w:rFonts w:ascii="Calibri" w:hAnsi="Calibri" w:cs="Calibri"/>
          <w:color w:val="000000" w:themeColor="text1"/>
        </w:rPr>
        <w:t xml:space="preserve">systematicky monitoruje dostupnosť a kvalitu FAQ a navigácie k službám, je možné robiť prvé porovnania. </w:t>
      </w:r>
    </w:p>
    <w:p w14:paraId="2D80872E" w14:textId="77777777" w:rsidR="00024CD6" w:rsidRPr="008D395C" w:rsidRDefault="6D949AF9" w:rsidP="00024CD6">
      <w:pPr>
        <w:pStyle w:val="Odsekzoznamu"/>
      </w:pPr>
      <w:r>
        <w:t xml:space="preserve">Do roku 2026 </w:t>
      </w:r>
    </w:p>
    <w:p w14:paraId="36CEB16D" w14:textId="77777777" w:rsidR="00024CD6" w:rsidRPr="008D395C" w:rsidRDefault="00024CD6" w:rsidP="00F06821">
      <w:pPr>
        <w:pStyle w:val="Odsekzoznamu"/>
        <w:numPr>
          <w:ilvl w:val="0"/>
          <w:numId w:val="24"/>
        </w:numPr>
        <w:spacing w:before="120" w:after="0" w:line="240" w:lineRule="auto"/>
        <w:ind w:left="1134"/>
        <w:rPr>
          <w:color w:val="000000" w:themeColor="text1"/>
        </w:rPr>
      </w:pPr>
      <w:r w:rsidRPr="190F7DBA">
        <w:rPr>
          <w:rFonts w:ascii="Calibri" w:eastAsia="Calibri" w:hAnsi="Calibri" w:cs="Calibri"/>
          <w:color w:val="000000" w:themeColor="text1"/>
        </w:rPr>
        <w:t>Spustenie virtuálneho kontaktného centra.</w:t>
      </w:r>
    </w:p>
    <w:p w14:paraId="3279618A" w14:textId="77777777" w:rsidR="00024CD6" w:rsidRPr="008D395C" w:rsidRDefault="00024CD6" w:rsidP="00F06821">
      <w:pPr>
        <w:pStyle w:val="Odsekzoznamu"/>
        <w:numPr>
          <w:ilvl w:val="0"/>
          <w:numId w:val="24"/>
        </w:numPr>
        <w:spacing w:before="120" w:after="0" w:line="240" w:lineRule="auto"/>
        <w:ind w:left="1134"/>
        <w:rPr>
          <w:color w:val="000000" w:themeColor="text1"/>
        </w:rPr>
      </w:pPr>
      <w:r w:rsidRPr="190F7DBA">
        <w:rPr>
          <w:rFonts w:ascii="Calibri" w:hAnsi="Calibri" w:cs="Calibri"/>
          <w:color w:val="000000" w:themeColor="text1"/>
        </w:rPr>
        <w:lastRenderedPageBreak/>
        <w:t>Poskytovanie a udržiavania FAQ je štandardom pri všetkých koncových službách.</w:t>
      </w:r>
    </w:p>
    <w:p w14:paraId="759FB4C9" w14:textId="77777777" w:rsidR="00024CD6" w:rsidRPr="008D395C" w:rsidRDefault="00024CD6" w:rsidP="00F06821">
      <w:pPr>
        <w:pStyle w:val="Odsekzoznamu"/>
        <w:numPr>
          <w:ilvl w:val="0"/>
          <w:numId w:val="24"/>
        </w:numPr>
        <w:spacing w:before="120" w:after="0" w:line="240" w:lineRule="auto"/>
        <w:ind w:left="1134"/>
        <w:rPr>
          <w:rFonts w:eastAsiaTheme="minorEastAsia" w:cstheme="minorBidi"/>
          <w:color w:val="000000" w:themeColor="text1"/>
        </w:rPr>
      </w:pPr>
      <w:r w:rsidRPr="190F7DBA">
        <w:rPr>
          <w:rFonts w:ascii="Calibri" w:hAnsi="Calibri" w:cs="Calibri"/>
          <w:color w:val="000000" w:themeColor="text1"/>
        </w:rPr>
        <w:t xml:space="preserve">MIRRI </w:t>
      </w:r>
      <w:r w:rsidR="00CC7DF6" w:rsidRPr="190F7DBA">
        <w:rPr>
          <w:rFonts w:ascii="Calibri" w:hAnsi="Calibri" w:cs="Calibri"/>
          <w:color w:val="000000" w:themeColor="text1"/>
        </w:rPr>
        <w:t xml:space="preserve">SR </w:t>
      </w:r>
      <w:r w:rsidRPr="190F7DBA">
        <w:rPr>
          <w:rFonts w:ascii="Calibri" w:hAnsi="Calibri" w:cs="Calibri"/>
          <w:color w:val="000000" w:themeColor="text1"/>
        </w:rPr>
        <w:t>systematicky monitoruje dostupnosť a kvalitu FAQ a navigácie k službám, ich kvalitu a spokojnosť s nimi je možné porovnať.</w:t>
      </w:r>
    </w:p>
    <w:p w14:paraId="0AE77211" w14:textId="77777777" w:rsidR="00024CD6" w:rsidRDefault="00024CD6" w:rsidP="00024CD6">
      <w:pPr>
        <w:spacing w:before="120" w:after="0" w:line="240" w:lineRule="auto"/>
        <w:rPr>
          <w:i/>
          <w:iCs/>
        </w:rPr>
      </w:pPr>
      <w:r w:rsidRPr="362F1752">
        <w:rPr>
          <w:i/>
          <w:iCs/>
          <w:u w:val="single"/>
        </w:rPr>
        <w:t>Súvisiace iniciatívy</w:t>
      </w:r>
      <w:r w:rsidRPr="362F1752">
        <w:rPr>
          <w:i/>
          <w:iCs/>
        </w:rPr>
        <w:t xml:space="preserve">: </w:t>
      </w:r>
    </w:p>
    <w:p w14:paraId="6C0FB124" w14:textId="77777777" w:rsidR="00024CD6" w:rsidRDefault="586630C8" w:rsidP="00F06821">
      <w:pPr>
        <w:pStyle w:val="Odsekzoznamu"/>
        <w:numPr>
          <w:ilvl w:val="0"/>
          <w:numId w:val="32"/>
        </w:numPr>
        <w:rPr>
          <w:rFonts w:eastAsiaTheme="minorEastAsia" w:cstheme="minorBidi"/>
          <w:i/>
          <w:iCs/>
        </w:rPr>
      </w:pPr>
      <w:r>
        <w:t>Centrálne nástroje podpory</w:t>
      </w:r>
      <w:r w:rsidR="002D7AD4">
        <w:t xml:space="preserve"> </w:t>
      </w:r>
    </w:p>
    <w:p w14:paraId="310BB069" w14:textId="77777777" w:rsidR="00024CD6" w:rsidRPr="00CC7DF6" w:rsidRDefault="00024CD6" w:rsidP="00F06821">
      <w:pPr>
        <w:pStyle w:val="Odsekzoznamu"/>
        <w:numPr>
          <w:ilvl w:val="0"/>
          <w:numId w:val="32"/>
        </w:numPr>
        <w:rPr>
          <w:rFonts w:eastAsiaTheme="minorEastAsia" w:cstheme="minorBidi"/>
          <w:i/>
          <w:iCs/>
        </w:rPr>
      </w:pPr>
      <w:r>
        <w:t>Komplexné služby</w:t>
      </w:r>
      <w:r w:rsidR="157AD9E9">
        <w:t>.</w:t>
      </w:r>
    </w:p>
    <w:p w14:paraId="287B6936" w14:textId="77777777" w:rsidR="00A16F44" w:rsidRPr="004D73C4" w:rsidRDefault="00A16F44" w:rsidP="00024CD6">
      <w:pPr>
        <w:pStyle w:val="Nadpis3"/>
      </w:pPr>
      <w:bookmarkStart w:id="100" w:name="_Toc69297706"/>
      <w:bookmarkStart w:id="101" w:name="_Toc70369671"/>
      <w:bookmarkStart w:id="102" w:name="_Toc70711611"/>
      <w:r w:rsidRPr="004D73C4">
        <w:t>Jeden štát, jed</w:t>
      </w:r>
      <w:r w:rsidR="0072692D">
        <w:t>en dizajn</w:t>
      </w:r>
      <w:r w:rsidRPr="004D73C4">
        <w:t>, jedno miesto</w:t>
      </w:r>
      <w:bookmarkEnd w:id="100"/>
      <w:bookmarkEnd w:id="101"/>
      <w:bookmarkEnd w:id="102"/>
    </w:p>
    <w:p w14:paraId="218017E2" w14:textId="77777777" w:rsidR="00A16F44" w:rsidRPr="004D73C4" w:rsidRDefault="00A16F44" w:rsidP="00085641">
      <w:r w:rsidRPr="004D73C4">
        <w:t xml:space="preserve">Ústredné orgány štátnej správy zjednotia dizajn používateľského rozhrania digitálnych služieb a webových sídel v ich gescii. Jednotnú identitu vytvárame používaním spoločného ID-SK dizajnu na našich portáloch a v našich službách. Jednotný dizajn mu dáva záruku a prináša komfort používania a môže zvýšiť dôveryhodnosť a použiteľnosť služieb a informácií poskytovaných štátom pre občanov a podnikateľov. Zjednotí sa aj názvoslovie domén, resp. subdomén využívaných ÚOŠS. </w:t>
      </w:r>
    </w:p>
    <w:p w14:paraId="4A20F5B8" w14:textId="77777777" w:rsidR="00A16F44" w:rsidRPr="004D73C4" w:rsidRDefault="00A16F44" w:rsidP="00085641">
      <w:r w:rsidRPr="004D73C4">
        <w:t xml:space="preserve">Našu jednotnú identitu umocňuje aj zdieľaná a prehľadná, jednotná digitálna brána k našim službám a navigácia k nim, ktorú koordinovane pomáhame udržiavať aktuálnu. </w:t>
      </w:r>
    </w:p>
    <w:p w14:paraId="6D7F6BA8" w14:textId="77777777" w:rsidR="002201F4" w:rsidRPr="002201F4" w:rsidRDefault="002201F4" w:rsidP="002201F4">
      <w:pPr>
        <w:rPr>
          <w:b/>
        </w:rPr>
      </w:pPr>
      <w:r w:rsidRPr="002201F4">
        <w:rPr>
          <w:b/>
        </w:rPr>
        <w:t>Sumarizácia hlavných o</w:t>
      </w:r>
      <w:r w:rsidRPr="002201F4">
        <w:rPr>
          <w:b/>
          <w:bCs/>
        </w:rPr>
        <w:t>patrení</w:t>
      </w:r>
      <w:r w:rsidRPr="002201F4">
        <w:rPr>
          <w:b/>
        </w:rPr>
        <w:t>:</w:t>
      </w:r>
    </w:p>
    <w:p w14:paraId="4C5207BD" w14:textId="77777777" w:rsidR="002201F4" w:rsidRPr="002201F4" w:rsidRDefault="002201F4" w:rsidP="00F06821">
      <w:pPr>
        <w:pStyle w:val="Odsekzoznamu"/>
        <w:numPr>
          <w:ilvl w:val="0"/>
          <w:numId w:val="36"/>
        </w:numPr>
        <w:rPr>
          <w:rStyle w:val="normaltextrun"/>
        </w:rPr>
      </w:pPr>
      <w:r w:rsidRPr="3912845A">
        <w:rPr>
          <w:rStyle w:val="normaltextrun"/>
        </w:rPr>
        <w:t>Zjednotenie dizajnu služieb, webový stránok a názvoslovia domén</w:t>
      </w:r>
    </w:p>
    <w:p w14:paraId="01FFB34F" w14:textId="77777777" w:rsidR="002201F4" w:rsidRPr="002201F4" w:rsidRDefault="06F2B8EE" w:rsidP="00F06821">
      <w:pPr>
        <w:pStyle w:val="Odsekzoznamu"/>
        <w:numPr>
          <w:ilvl w:val="0"/>
          <w:numId w:val="36"/>
        </w:numPr>
        <w:rPr>
          <w:rStyle w:val="normaltextrun"/>
          <w:rFonts w:eastAsiaTheme="minorEastAsia" w:cstheme="minorBidi"/>
          <w:szCs w:val="22"/>
        </w:rPr>
      </w:pPr>
      <w:r w:rsidRPr="3912845A">
        <w:rPr>
          <w:rStyle w:val="normaltextrun"/>
          <w:rFonts w:ascii="Calibri" w:hAnsi="Calibri"/>
        </w:rPr>
        <w:t>Jednotná digitálna brána, viackanálový eGov a cezhraničné prístup k službám</w:t>
      </w:r>
    </w:p>
    <w:p w14:paraId="498E826A" w14:textId="77777777" w:rsidR="001D48A4" w:rsidRPr="004D73C4" w:rsidRDefault="00A16F44" w:rsidP="00C24B0D">
      <w:pPr>
        <w:rPr>
          <w:b/>
          <w:bCs/>
        </w:rPr>
      </w:pPr>
      <w:r w:rsidRPr="3912845A">
        <w:rPr>
          <w:b/>
          <w:bCs/>
        </w:rPr>
        <w:t>Opatrenie</w:t>
      </w:r>
      <w:r w:rsidR="00B86512" w:rsidRPr="3912845A">
        <w:rPr>
          <w:b/>
          <w:bCs/>
        </w:rPr>
        <w:t xml:space="preserve"> 1</w:t>
      </w:r>
      <w:r w:rsidR="00C24B0D" w:rsidRPr="3912845A">
        <w:rPr>
          <w:b/>
          <w:bCs/>
        </w:rPr>
        <w:t xml:space="preserve"> – </w:t>
      </w:r>
      <w:r w:rsidR="002C2D5B" w:rsidRPr="3912845A">
        <w:rPr>
          <w:b/>
          <w:bCs/>
        </w:rPr>
        <w:t>Zjednotenie dizajnu služieb, webový stránok a názvoslovia domén</w:t>
      </w:r>
    </w:p>
    <w:p w14:paraId="7B2DF67F" w14:textId="77777777" w:rsidR="31D52FB2" w:rsidRDefault="31D52FB2" w:rsidP="3912845A">
      <w:pPr>
        <w:rPr>
          <w:rFonts w:ascii="Calibri" w:eastAsia="Calibri" w:hAnsi="Calibri" w:cs="Calibri"/>
          <w:color w:val="000000" w:themeColor="text1"/>
        </w:rPr>
      </w:pPr>
      <w:r w:rsidRPr="3912845A">
        <w:rPr>
          <w:rFonts w:ascii="Calibri" w:eastAsia="Calibri" w:hAnsi="Calibri" w:cs="Calibri"/>
          <w:color w:val="000000" w:themeColor="text1"/>
        </w:rPr>
        <w:t>Ústredné orgány štátnej správy zjednotia dizajn používateľského rozhrania digitálnych služieb a webových sídel v ich gescii. Zjednotí sa aj názvoslovie domén, resp. subdomén využívaných ÚOŠS. Zabezpečí sa tak jednotná digitálna identita štátu, vďaka ktorej používateľ pri kontakte so službou štátu bude vedieť, že sa jedná o službu štátu. Jednotná identita mu dáva záruku a prináša komfort používania a môže zvýšiť dôveryhodnosť a použiteľnosť služieb a informácií poskytovaných štátom pre občanov a podnikateľov.</w:t>
      </w:r>
    </w:p>
    <w:p w14:paraId="2D565CC0" w14:textId="77777777" w:rsidR="001D48A4" w:rsidRPr="008D395C" w:rsidRDefault="003F4A82" w:rsidP="008D395C">
      <w:pPr>
        <w:rPr>
          <w:i/>
        </w:rPr>
      </w:pPr>
      <w:r w:rsidRPr="008D395C">
        <w:rPr>
          <w:i/>
          <w:iCs/>
        </w:rPr>
        <w:t xml:space="preserve">Iniciatívy: </w:t>
      </w:r>
    </w:p>
    <w:p w14:paraId="6530F9E7" w14:textId="77777777" w:rsidR="00CC7DF6" w:rsidRPr="008D395C" w:rsidRDefault="2EE172CF" w:rsidP="008D395C">
      <w:pPr>
        <w:pStyle w:val="Odsekzoznamu"/>
      </w:pPr>
      <w:r>
        <w:t xml:space="preserve">V roku 2021 </w:t>
      </w:r>
    </w:p>
    <w:p w14:paraId="22F0100D" w14:textId="77777777" w:rsidR="00CC7DF6" w:rsidRPr="008D395C" w:rsidRDefault="00CC7DF6"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ID-SK bude rozšírený o komponenty pre webové sídla na jednotný manuál pre elektronické služby a webové sídla štátu. MIRRI SR vytvorí udržateľný program implementačnej podpory.</w:t>
      </w:r>
    </w:p>
    <w:p w14:paraId="6EA4833C" w14:textId="60B95DD3" w:rsidR="00CC7DF6" w:rsidRPr="008D395C" w:rsidRDefault="00CC7DF6"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Do platnosti vstupuje legislatíva, ktorá definuje základne rámce obstarávania a rozvoja digitálnych služieb a portálov štátu v súlade s princípmi a metódami používateľsky-orientovaného dizajnu – vrátane povinnosti tvorby webov a služieb v súlade s</w:t>
      </w:r>
      <w:r w:rsidR="007B2A26">
        <w:rPr>
          <w:rFonts w:ascii="Calibri" w:hAnsi="Calibri" w:cs="Calibri"/>
          <w:color w:val="000000" w:themeColor="text1"/>
        </w:rPr>
        <w:t> </w:t>
      </w:r>
      <w:r w:rsidRPr="190F7DBA">
        <w:rPr>
          <w:rFonts w:ascii="Calibri" w:hAnsi="Calibri" w:cs="Calibri"/>
          <w:color w:val="000000" w:themeColor="text1"/>
        </w:rPr>
        <w:t>ID</w:t>
      </w:r>
      <w:r w:rsidR="007B2A26">
        <w:rPr>
          <w:rFonts w:ascii="Calibri" w:hAnsi="Calibri" w:cs="Calibri"/>
          <w:color w:val="000000" w:themeColor="text1"/>
        </w:rPr>
        <w:t>-</w:t>
      </w:r>
      <w:r w:rsidRPr="190F7DBA">
        <w:rPr>
          <w:rFonts w:ascii="Calibri" w:hAnsi="Calibri" w:cs="Calibri"/>
          <w:color w:val="000000" w:themeColor="text1"/>
        </w:rPr>
        <w:t>SK.</w:t>
      </w:r>
    </w:p>
    <w:p w14:paraId="384B7DB3" w14:textId="77777777" w:rsidR="00CC7DF6" w:rsidRPr="008D395C" w:rsidRDefault="2EE172CF" w:rsidP="008D395C">
      <w:pPr>
        <w:pStyle w:val="Odsekzoznamu"/>
      </w:pPr>
      <w:r>
        <w:t xml:space="preserve">Do roku 2023 </w:t>
      </w:r>
    </w:p>
    <w:p w14:paraId="4321FAE4" w14:textId="77777777" w:rsidR="00CC7DF6" w:rsidRPr="008D395C" w:rsidRDefault="00CC7DF6" w:rsidP="00F06821">
      <w:pPr>
        <w:pStyle w:val="Odsekzoznamu"/>
        <w:numPr>
          <w:ilvl w:val="0"/>
          <w:numId w:val="24"/>
        </w:numPr>
        <w:spacing w:before="120" w:after="0" w:line="240" w:lineRule="auto"/>
        <w:ind w:left="1134"/>
        <w:rPr>
          <w:rFonts w:eastAsiaTheme="minorEastAsia" w:cstheme="minorBidi"/>
          <w:color w:val="000000" w:themeColor="text1"/>
        </w:rPr>
      </w:pPr>
      <w:r w:rsidRPr="190F7DBA">
        <w:rPr>
          <w:rFonts w:ascii="Calibri" w:eastAsia="Calibri" w:hAnsi="Calibri" w:cs="Calibri"/>
          <w:color w:val="000000" w:themeColor="text1"/>
        </w:rPr>
        <w:t>70% orgánov ústrednej štátnej správy implementuje ID-SK na svoje webové sídla, 100% elektronických služieb modernizovaných cez OPII.</w:t>
      </w:r>
      <w:r w:rsidRPr="190F7DBA">
        <w:rPr>
          <w:rFonts w:ascii="Calibri" w:hAnsi="Calibri" w:cs="Calibri"/>
          <w:color w:val="000000" w:themeColor="text1"/>
        </w:rPr>
        <w:t xml:space="preserve"> MIRRI SR systematicky poskytuje priebežnú implementačnú podporu pri zavádzaní ID-SK prostredníctvom expertných konzultácií, organizáciou školení a workshopov.</w:t>
      </w:r>
      <w:r w:rsidRPr="190F7DBA">
        <w:rPr>
          <w:rFonts w:ascii="Calibri" w:eastAsia="Calibri" w:hAnsi="Calibri" w:cs="Calibri"/>
          <w:color w:val="000000" w:themeColor="text1"/>
        </w:rPr>
        <w:t xml:space="preserve"> </w:t>
      </w:r>
    </w:p>
    <w:p w14:paraId="09A2E5E2" w14:textId="77777777" w:rsidR="00CC7DF6" w:rsidRPr="008D395C" w:rsidRDefault="00CC7DF6" w:rsidP="00F06821">
      <w:pPr>
        <w:pStyle w:val="Odsekzoznamu"/>
        <w:numPr>
          <w:ilvl w:val="0"/>
          <w:numId w:val="24"/>
        </w:numPr>
        <w:spacing w:before="120" w:after="0" w:line="240" w:lineRule="auto"/>
        <w:ind w:left="1134"/>
        <w:rPr>
          <w:rFonts w:eastAsiaTheme="minorEastAsia" w:cstheme="minorBidi"/>
          <w:color w:val="000000" w:themeColor="text1"/>
        </w:rPr>
      </w:pPr>
      <w:r w:rsidRPr="190F7DBA">
        <w:rPr>
          <w:rFonts w:ascii="Calibri" w:hAnsi="Calibri" w:cs="Calibri"/>
          <w:color w:val="000000" w:themeColor="text1"/>
        </w:rPr>
        <w:t xml:space="preserve">ID-SK bude rozšírený o ďalšie metodiky a šablóny aplikácie používateľsky-orientovaného dizajnu. </w:t>
      </w:r>
    </w:p>
    <w:p w14:paraId="4959B58A" w14:textId="77777777" w:rsidR="00CC7DF6" w:rsidRPr="008D395C" w:rsidRDefault="2EE172CF" w:rsidP="008D395C">
      <w:pPr>
        <w:pStyle w:val="Odsekzoznamu"/>
      </w:pPr>
      <w:r>
        <w:t xml:space="preserve">Do roku 2026 </w:t>
      </w:r>
    </w:p>
    <w:p w14:paraId="11964FF1" w14:textId="77777777" w:rsidR="00CC7DF6" w:rsidRPr="008D395C" w:rsidRDefault="00CC7DF6" w:rsidP="00F06821">
      <w:pPr>
        <w:pStyle w:val="Odsekzoznamu"/>
        <w:numPr>
          <w:ilvl w:val="0"/>
          <w:numId w:val="24"/>
        </w:numPr>
        <w:spacing w:before="120" w:after="0" w:line="240" w:lineRule="auto"/>
        <w:ind w:left="1134"/>
        <w:rPr>
          <w:rFonts w:eastAsiaTheme="minorEastAsia" w:cstheme="minorBidi"/>
          <w:color w:val="000000" w:themeColor="text1"/>
        </w:rPr>
      </w:pPr>
      <w:r w:rsidRPr="190F7DBA">
        <w:rPr>
          <w:rFonts w:ascii="Calibri" w:hAnsi="Calibri" w:cs="Calibri"/>
          <w:color w:val="000000" w:themeColor="text1"/>
        </w:rPr>
        <w:t>100% orgánov ústrednej štátnej správy implementuje ID-SK na svoje webové sídla a na svoje prioritné elektronické služby.</w:t>
      </w:r>
    </w:p>
    <w:p w14:paraId="4E859E1A" w14:textId="77777777" w:rsidR="00CC7DF6" w:rsidRPr="008D395C" w:rsidRDefault="00CC7DF6"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MIRRI SR poskytuje priebežnú G2G implementačnú podporu pri zavádzaní ID-SK a optimalizovaní služieb podľa potreby, spravidla prostredníctvom expertných konzultácií, organizáciou školení a workshopov.</w:t>
      </w:r>
    </w:p>
    <w:p w14:paraId="4ECDFD62" w14:textId="77777777" w:rsidR="00746A51" w:rsidRDefault="00746A51" w:rsidP="00746A51">
      <w:pPr>
        <w:ind w:left="360"/>
      </w:pPr>
    </w:p>
    <w:p w14:paraId="7ADC17E2" w14:textId="77777777" w:rsidR="00746A51" w:rsidRDefault="00746A51" w:rsidP="00746A51">
      <w:pPr>
        <w:ind w:left="360"/>
      </w:pPr>
    </w:p>
    <w:p w14:paraId="770F2535" w14:textId="76CEE961" w:rsidR="00CC7DF6" w:rsidRPr="008D395C" w:rsidRDefault="2EE172CF" w:rsidP="008D395C">
      <w:pPr>
        <w:pStyle w:val="Odsekzoznamu"/>
      </w:pPr>
      <w:r>
        <w:lastRenderedPageBreak/>
        <w:t>Do roku 2030</w:t>
      </w:r>
    </w:p>
    <w:p w14:paraId="1B135353" w14:textId="77777777" w:rsidR="00CC7DF6" w:rsidRPr="008D395C" w:rsidRDefault="00CC7DF6"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Orgány ústrednej štátnej správy jednotne používajú ID-SK pre svoje webové sídla, 100% na svoje elektronické služby. Štát v digitálnom priestore pôsobí zjednotene a dôveryhodne.</w:t>
      </w:r>
    </w:p>
    <w:p w14:paraId="4F704E60" w14:textId="77777777" w:rsidR="00CC7DF6" w:rsidRDefault="00CC7DF6" w:rsidP="00CC7DF6">
      <w:pPr>
        <w:spacing w:before="120" w:after="0" w:line="240" w:lineRule="auto"/>
        <w:rPr>
          <w:i/>
          <w:iCs/>
        </w:rPr>
      </w:pPr>
      <w:r w:rsidRPr="6E7186B8">
        <w:rPr>
          <w:i/>
          <w:iCs/>
          <w:u w:val="single"/>
        </w:rPr>
        <w:t>Súvisiace iniciatívy</w:t>
      </w:r>
      <w:r w:rsidRPr="6E7186B8">
        <w:rPr>
          <w:i/>
          <w:iCs/>
        </w:rPr>
        <w:t xml:space="preserve">: </w:t>
      </w:r>
    </w:p>
    <w:p w14:paraId="227B8DB2" w14:textId="77777777" w:rsidR="00CC7DF6" w:rsidRDefault="00CC7DF6" w:rsidP="00F06821">
      <w:pPr>
        <w:pStyle w:val="Odsekzoznamu"/>
        <w:numPr>
          <w:ilvl w:val="0"/>
          <w:numId w:val="35"/>
        </w:numPr>
        <w:rPr>
          <w:rFonts w:eastAsiaTheme="minorEastAsia" w:cstheme="minorBidi"/>
        </w:rPr>
      </w:pPr>
      <w:r>
        <w:t>Vytv</w:t>
      </w:r>
      <w:r w:rsidR="39856F9E">
        <w:t>á</w:t>
      </w:r>
      <w:r>
        <w:t>r</w:t>
      </w:r>
      <w:r w:rsidR="0A0277FB">
        <w:t>a</w:t>
      </w:r>
      <w:r>
        <w:t>nie zdrojov pre zlepšovanie používateľskej kvality služieb</w:t>
      </w:r>
      <w:r w:rsidR="00AF798C">
        <w:t>.</w:t>
      </w:r>
    </w:p>
    <w:p w14:paraId="78F7B0D0" w14:textId="77777777" w:rsidR="00C24B0D" w:rsidRPr="00CC7DF6" w:rsidRDefault="3AF320B6" w:rsidP="00F06821">
      <w:pPr>
        <w:pStyle w:val="Odsekzoznamu"/>
        <w:numPr>
          <w:ilvl w:val="0"/>
          <w:numId w:val="35"/>
        </w:numPr>
        <w:rPr>
          <w:rFonts w:eastAsiaTheme="minorEastAsia" w:cstheme="minorBidi"/>
        </w:rPr>
      </w:pPr>
      <w:r w:rsidRPr="3912845A">
        <w:rPr>
          <w:rFonts w:ascii="Calibri" w:hAnsi="Calibri"/>
        </w:rPr>
        <w:t>C</w:t>
      </w:r>
      <w:r w:rsidR="00CC7DF6" w:rsidRPr="3912845A">
        <w:rPr>
          <w:rFonts w:ascii="Calibri" w:hAnsi="Calibri"/>
        </w:rPr>
        <w:t>entráln</w:t>
      </w:r>
      <w:r w:rsidR="482E820F" w:rsidRPr="3912845A">
        <w:rPr>
          <w:rFonts w:ascii="Calibri" w:hAnsi="Calibri"/>
        </w:rPr>
        <w:t>e</w:t>
      </w:r>
      <w:r w:rsidR="00CC7DF6" w:rsidRPr="3912845A">
        <w:rPr>
          <w:rFonts w:ascii="Calibri" w:hAnsi="Calibri"/>
        </w:rPr>
        <w:t xml:space="preserve"> nástroj</w:t>
      </w:r>
      <w:r w:rsidR="61C21508" w:rsidRPr="3912845A">
        <w:rPr>
          <w:rFonts w:ascii="Calibri" w:hAnsi="Calibri"/>
        </w:rPr>
        <w:t>e</w:t>
      </w:r>
      <w:r w:rsidR="00CC7DF6" w:rsidRPr="3912845A">
        <w:rPr>
          <w:rFonts w:ascii="Calibri" w:hAnsi="Calibri"/>
        </w:rPr>
        <w:t xml:space="preserve"> podpory</w:t>
      </w:r>
      <w:r w:rsidR="00AF798C" w:rsidRPr="3912845A">
        <w:rPr>
          <w:rFonts w:ascii="Calibri" w:hAnsi="Calibri"/>
        </w:rPr>
        <w:t>.</w:t>
      </w:r>
      <w:r w:rsidR="00934846" w:rsidRPr="3912845A">
        <w:rPr>
          <w:rFonts w:ascii="Calibri" w:hAnsi="Calibri"/>
        </w:rPr>
        <w:t xml:space="preserve"> </w:t>
      </w:r>
    </w:p>
    <w:p w14:paraId="514722E2" w14:textId="77777777" w:rsidR="001D48A4" w:rsidRPr="004D73C4" w:rsidRDefault="00A16F44" w:rsidP="3912845A">
      <w:pPr>
        <w:rPr>
          <w:rFonts w:ascii="Calibri" w:eastAsia="Calibri" w:hAnsi="Calibri" w:cs="Calibri"/>
          <w:b/>
          <w:bCs/>
          <w:color w:val="000000" w:themeColor="text1"/>
        </w:rPr>
      </w:pPr>
      <w:r w:rsidRPr="3912845A">
        <w:rPr>
          <w:b/>
          <w:bCs/>
        </w:rPr>
        <w:t>Opatrenie</w:t>
      </w:r>
      <w:r w:rsidR="00B86512" w:rsidRPr="3912845A">
        <w:rPr>
          <w:b/>
          <w:bCs/>
        </w:rPr>
        <w:t xml:space="preserve"> 2</w:t>
      </w:r>
      <w:r w:rsidR="00C24B0D" w:rsidRPr="3912845A">
        <w:rPr>
          <w:b/>
          <w:bCs/>
        </w:rPr>
        <w:t xml:space="preserve"> – </w:t>
      </w:r>
      <w:r w:rsidR="2E2BFF49" w:rsidRPr="3912845A">
        <w:rPr>
          <w:rFonts w:ascii="Calibri" w:eastAsia="Calibri" w:hAnsi="Calibri" w:cs="Calibri"/>
          <w:b/>
          <w:bCs/>
          <w:color w:val="000000" w:themeColor="text1"/>
        </w:rPr>
        <w:t>Jednotná digitálna brána, viackanálový eGov a cezhraničné prístup k službám</w:t>
      </w:r>
    </w:p>
    <w:p w14:paraId="311213BD" w14:textId="77777777" w:rsidR="001D48A4" w:rsidRPr="004D73C4" w:rsidRDefault="001D48A4" w:rsidP="00FE6599">
      <w:r w:rsidRPr="004D73C4">
        <w:t xml:space="preserve">ÚPVS slúži ako jednotná prístupová brána k informáciám a službám štátu. Cez používateľské prostredie (www.slovensko.sk) poskytuje prístup k elektronickým schránkam, k profilu používateľa, k informačnému obsahu (životné situácie, </w:t>
      </w:r>
      <w:r w:rsidR="00FE6599" w:rsidRPr="004D73C4">
        <w:t xml:space="preserve">agendy, články, oznamy, návody, </w:t>
      </w:r>
      <w:r w:rsidRPr="004D73C4">
        <w:t>videonávody, FAQ, metodické usmernenia, kontaktné údaje inštitúcií), k Elektronickej úradnej tabuli, k Centrálnemu úložisku záznamov a k</w:t>
      </w:r>
      <w:r w:rsidR="00752FB6" w:rsidRPr="004D73C4">
        <w:t xml:space="preserve"> </w:t>
      </w:r>
      <w:r w:rsidRPr="004D73C4">
        <w:t>elektronickým službám.</w:t>
      </w:r>
    </w:p>
    <w:p w14:paraId="1D8C191F" w14:textId="77777777" w:rsidR="001D48A4" w:rsidRPr="004D73C4" w:rsidRDefault="001D48A4" w:rsidP="00FE6599">
      <w:r w:rsidRPr="004D73C4">
        <w:t xml:space="preserve">Slovensko.sk z pohľadu používateľa </w:t>
      </w:r>
      <w:r w:rsidR="00FE6599" w:rsidRPr="004D73C4">
        <w:t>občana a podnikateľa zabezpečí:</w:t>
      </w:r>
    </w:p>
    <w:p w14:paraId="22AC7D79" w14:textId="77777777" w:rsidR="001D48A4" w:rsidRPr="004D73C4" w:rsidRDefault="423406CC" w:rsidP="00FE6599">
      <w:pPr>
        <w:pStyle w:val="Odsekzoznamu"/>
      </w:pPr>
      <w:r w:rsidRPr="190F7DBA">
        <w:rPr>
          <w:rStyle w:val="normaltextrun"/>
          <w:rFonts w:ascii="Calibri" w:hAnsi="Calibri" w:cs="Calibri"/>
          <w:color w:val="000000" w:themeColor="text1"/>
        </w:rPr>
        <w:t>j</w:t>
      </w:r>
      <w:r w:rsidR="2C435982" w:rsidRPr="190F7DBA">
        <w:rPr>
          <w:rStyle w:val="normaltextrun"/>
          <w:rFonts w:ascii="Calibri" w:hAnsi="Calibri" w:cs="Calibri"/>
          <w:color w:val="000000" w:themeColor="text1"/>
        </w:rPr>
        <w:t>ednoducho dohľadateľné a intuitívne použiteľné prístupové miesto pre elektronické služby štátu v používateľskej kvalite a tým jednoduchý prístup k službám,</w:t>
      </w:r>
    </w:p>
    <w:p w14:paraId="4E56622C" w14:textId="77777777" w:rsidR="001D48A4" w:rsidRPr="004D73C4" w:rsidRDefault="423406CC" w:rsidP="00FE6599">
      <w:pPr>
        <w:pStyle w:val="Odsekzoznamu"/>
      </w:pPr>
      <w:r w:rsidRPr="190F7DBA">
        <w:rPr>
          <w:rStyle w:val="normaltextrun"/>
          <w:rFonts w:ascii="Calibri" w:hAnsi="Calibri" w:cs="Calibri"/>
          <w:color w:val="000000" w:themeColor="text1"/>
        </w:rPr>
        <w:t>z</w:t>
      </w:r>
      <w:r w:rsidR="2C435982" w:rsidRPr="190F7DBA">
        <w:rPr>
          <w:rStyle w:val="normaltextrun"/>
          <w:rFonts w:ascii="Calibri" w:hAnsi="Calibri" w:cs="Calibri"/>
          <w:color w:val="000000" w:themeColor="text1"/>
        </w:rPr>
        <w:t>rozumiteľnú navigáciu službami naprieč životnými situáciami na j</w:t>
      </w:r>
      <w:r w:rsidR="59FBA3F9" w:rsidRPr="190F7DBA">
        <w:rPr>
          <w:rStyle w:val="normaltextrun"/>
          <w:rFonts w:ascii="Calibri" w:hAnsi="Calibri" w:cs="Calibri"/>
          <w:color w:val="000000" w:themeColor="text1"/>
        </w:rPr>
        <w:t>ednom mieste spolu so službami,</w:t>
      </w:r>
    </w:p>
    <w:p w14:paraId="63011C4E" w14:textId="77777777" w:rsidR="001D48A4" w:rsidRPr="004D73C4" w:rsidRDefault="2C435982" w:rsidP="00FE6599">
      <w:pPr>
        <w:pStyle w:val="Odsekzoznamu"/>
      </w:pPr>
      <w:r w:rsidRPr="190F7DBA">
        <w:rPr>
          <w:rStyle w:val="normaltextrun"/>
          <w:rFonts w:ascii="Calibri" w:hAnsi="Calibri" w:cs="Calibri"/>
          <w:color w:val="000000" w:themeColor="text1"/>
        </w:rPr>
        <w:t>plynulosť realizácie životných situácií občana a podnikateľa prostredníctvom navigácií na centrálnej úrovni,</w:t>
      </w:r>
    </w:p>
    <w:p w14:paraId="3CA7D2DF" w14:textId="77777777" w:rsidR="001D48A4" w:rsidRPr="004D73C4" w:rsidRDefault="2C435982" w:rsidP="00FE6599">
      <w:pPr>
        <w:pStyle w:val="Odsekzoznamu"/>
      </w:pPr>
      <w:r w:rsidRPr="190F7DBA">
        <w:rPr>
          <w:rStyle w:val="normaltextrun"/>
          <w:rFonts w:ascii="Calibri" w:hAnsi="Calibri" w:cs="Calibri"/>
          <w:color w:val="000000" w:themeColor="text1"/>
        </w:rPr>
        <w:t>osobnú zónu –</w:t>
      </w:r>
      <w:r w:rsidR="423406CC" w:rsidRPr="190F7DBA">
        <w:rPr>
          <w:rStyle w:val="normaltextrun"/>
          <w:rFonts w:ascii="Calibri" w:hAnsi="Calibri" w:cs="Calibri"/>
          <w:color w:val="000000" w:themeColor="text1"/>
        </w:rPr>
        <w:t xml:space="preserve"> sekciu portfólio klienta, tzn. personalizovanú </w:t>
      </w:r>
      <w:r w:rsidRPr="190F7DBA">
        <w:rPr>
          <w:rStyle w:val="normaltextrun"/>
          <w:rFonts w:ascii="Calibri" w:hAnsi="Calibri" w:cs="Calibri"/>
          <w:color w:val="000000" w:themeColor="text1"/>
        </w:rPr>
        <w:t>časť pre občana a podnikateľa, kde prehľadne na jednom mieste nájde informácie k svojím žiadostiam, pohľadávkam a dopytu voči štátu,</w:t>
      </w:r>
    </w:p>
    <w:p w14:paraId="0D519C7E" w14:textId="77777777" w:rsidR="001D48A4" w:rsidRPr="004D73C4" w:rsidRDefault="2C435982" w:rsidP="00FE6599">
      <w:pPr>
        <w:pStyle w:val="Odsekzoznamu"/>
      </w:pPr>
      <w:r w:rsidRPr="190F7DBA">
        <w:rPr>
          <w:rStyle w:val="normaltextrun"/>
          <w:rFonts w:ascii="Calibri" w:hAnsi="Calibri" w:cs="Calibri"/>
          <w:color w:val="000000" w:themeColor="text1"/>
        </w:rPr>
        <w:t>možnosť získania personalizo</w:t>
      </w:r>
      <w:r w:rsidR="59FBA3F9" w:rsidRPr="190F7DBA">
        <w:rPr>
          <w:rStyle w:val="normaltextrun"/>
          <w:rFonts w:ascii="Calibri" w:hAnsi="Calibri" w:cs="Calibri"/>
          <w:color w:val="000000" w:themeColor="text1"/>
        </w:rPr>
        <w:t>vanej, digitálne</w:t>
      </w:r>
      <w:r w:rsidR="14195AA1" w:rsidRPr="190F7DBA">
        <w:rPr>
          <w:rStyle w:val="normaltextrun"/>
          <w:rFonts w:ascii="Calibri" w:hAnsi="Calibri" w:cs="Calibri"/>
          <w:color w:val="000000" w:themeColor="text1"/>
        </w:rPr>
        <w:t>j podpory</w:t>
      </w:r>
      <w:r w:rsidR="151D573C" w:rsidRPr="190F7DBA">
        <w:rPr>
          <w:rStyle w:val="normaltextrun"/>
          <w:rFonts w:ascii="Calibri" w:hAnsi="Calibri" w:cs="Calibri"/>
          <w:color w:val="000000" w:themeColor="text1"/>
        </w:rPr>
        <w:t>,</w:t>
      </w:r>
    </w:p>
    <w:p w14:paraId="0EED3B55" w14:textId="77777777" w:rsidR="001D48A4" w:rsidRPr="004D73C4" w:rsidRDefault="76A3E9CA" w:rsidP="00FE6599">
      <w:pPr>
        <w:pStyle w:val="Odsekzoznamu"/>
        <w:rPr>
          <w:rStyle w:val="eop"/>
          <w:rFonts w:ascii="Calibri" w:hAnsi="Calibri" w:cs="Calibri"/>
        </w:rPr>
      </w:pPr>
      <w:r w:rsidRPr="190F7DBA">
        <w:rPr>
          <w:rStyle w:val="normaltextrun"/>
          <w:rFonts w:ascii="Calibri" w:hAnsi="Calibri" w:cs="Calibri"/>
          <w:color w:val="000000" w:themeColor="text1"/>
        </w:rPr>
        <w:t>pohodlné online platby za všetky elektronické služby.</w:t>
      </w:r>
    </w:p>
    <w:p w14:paraId="3E09F024" w14:textId="77777777" w:rsidR="3FC92A5F" w:rsidRDefault="3FC92A5F" w:rsidP="3912845A">
      <w:pPr>
        <w:spacing w:line="257" w:lineRule="exact"/>
        <w:rPr>
          <w:rFonts w:ascii="Calibri" w:eastAsia="Calibri" w:hAnsi="Calibri" w:cs="Calibri"/>
          <w:color w:val="000000" w:themeColor="text1"/>
          <w:lang w:val="en-US"/>
        </w:rPr>
      </w:pPr>
      <w:r w:rsidRPr="3912845A">
        <w:rPr>
          <w:rStyle w:val="normaltextrun"/>
          <w:rFonts w:ascii="Calibri" w:eastAsia="Calibri" w:hAnsi="Calibri" w:cs="Calibri"/>
          <w:color w:val="000000" w:themeColor="text1"/>
        </w:rPr>
        <w:t>Často používané služby by mali byť dostupné z mobilných zariadení, pokiaľ o to používatelia dokázateľne prejavia záujem a riešenie sa preukáže ako hodnotné za investované peniaze. Primárnym riešením budú responzívne, webové aplikácie. Pre mobilné prihlasovanie, ktoré nahradí prihlasovanie prostredníctvom eID (občianskeho preukazu s čipom) bude vytvorené tzv. Mobilné ID.</w:t>
      </w:r>
    </w:p>
    <w:p w14:paraId="1E4E5AC4" w14:textId="42514FE1" w:rsidR="3FC92A5F" w:rsidRDefault="3FC92A5F" w:rsidP="3912845A">
      <w:pPr>
        <w:spacing w:line="257" w:lineRule="exact"/>
        <w:rPr>
          <w:rFonts w:ascii="Calibri" w:eastAsia="Calibri" w:hAnsi="Calibri" w:cs="Calibri"/>
          <w:color w:val="000000" w:themeColor="text1"/>
        </w:rPr>
      </w:pPr>
      <w:r w:rsidRPr="3912845A">
        <w:rPr>
          <w:rFonts w:ascii="Calibri" w:eastAsia="Calibri" w:hAnsi="Calibri" w:cs="Calibri"/>
          <w:color w:val="000000" w:themeColor="text1"/>
        </w:rPr>
        <w:t>Mobilné prihlasovanie poskytne náhradu elektronického občianskeho preukazu na úrovni autentifikácie s nutnosťou aktivácie prostredníctvom internetu a eID. Mobilom prístupné sa aj vďaka mobilnému ID stanú mnohé samoobslužné služby, vrátane portfólia klienta (Doručenie dokumentov, Podania, Zmeny údajov a pod.). Občan a podnikateľ tak bude mať kedykoľvek prístup k aktuálnemu stavu svojich interakcií so štátom, k stavu vybavenia služieb a elektronickej schránke. V druhej fáze sa počíta s využitím technológie NFC, ktorá bude zavedená s novými ID dokladmi.</w:t>
      </w:r>
    </w:p>
    <w:p w14:paraId="3EFCC1D5" w14:textId="77777777" w:rsidR="3FC92A5F" w:rsidRDefault="3FC92A5F" w:rsidP="3912845A">
      <w:pPr>
        <w:spacing w:line="257" w:lineRule="exact"/>
        <w:rPr>
          <w:rFonts w:ascii="Calibri" w:eastAsia="Calibri" w:hAnsi="Calibri" w:cs="Calibri"/>
          <w:color w:val="000000" w:themeColor="text1"/>
        </w:rPr>
      </w:pPr>
      <w:r w:rsidRPr="3912845A">
        <w:rPr>
          <w:rFonts w:ascii="Calibri" w:eastAsia="Calibri" w:hAnsi="Calibri" w:cs="Calibri"/>
          <w:color w:val="000000" w:themeColor="text1"/>
        </w:rPr>
        <w:t>Digitálne služby verejnej správy každej členskej krajiny EÚ vrátane Slovenska musia byť dostupné aj pre používateľov z ostatných členských krajín14 a to v rovnakom rozsahu a kvalite, v akých sú dostupné slovenským používateľom. Týmto osobám budú prispôsobené možnosti autentifikácie, resp. autorizácie tak na legislatívnej, ako aj na procesnej a technickej úrovni. Zahraniční používatelia budú mať taktiež prístup ku kvalitnej používateľskej podpore rovnako, ako miestni používatelia. Budú môcť zanechať spätnú väzbu, podať sťažnosť na službu a taktiež podávať, resp. obdŕžať elektronicky dokumenty v medzinárodne uznávanej podobe (napr. v anglickom jazyku).</w:t>
      </w:r>
    </w:p>
    <w:p w14:paraId="01A4DDCD" w14:textId="77777777" w:rsidR="00201C3D" w:rsidRPr="008D395C" w:rsidRDefault="00201C3D" w:rsidP="00201C3D">
      <w:pPr>
        <w:rPr>
          <w:i/>
        </w:rPr>
      </w:pPr>
      <w:r w:rsidRPr="008D395C">
        <w:rPr>
          <w:i/>
          <w:iCs/>
        </w:rPr>
        <w:t xml:space="preserve">Iniciatívy: </w:t>
      </w:r>
    </w:p>
    <w:p w14:paraId="2CDDB7A6" w14:textId="77777777" w:rsidR="76CB41CF" w:rsidRDefault="76CB41CF" w:rsidP="00D80A69">
      <w:pPr>
        <w:pStyle w:val="Odsekzoznamu"/>
      </w:pPr>
      <w:r>
        <w:t xml:space="preserve">V roku 2021 </w:t>
      </w:r>
    </w:p>
    <w:p w14:paraId="50DB1B4B"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 xml:space="preserve">Spustenie Mobile ID (funkcionality prihlásenia na slovensko.sk cez mobil, notifikácia o správe, podanie s podpisom klikom). </w:t>
      </w:r>
    </w:p>
    <w:p w14:paraId="00B2F63D"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 xml:space="preserve">Budú pripravené projektové zámery implementácie cezhraničných služieb a centrálnych komponentov potrebných pre ich plnohodnotné poskytovanie. </w:t>
      </w:r>
    </w:p>
    <w:p w14:paraId="6CCC69CF" w14:textId="77777777" w:rsidR="007B2A26" w:rsidRDefault="007B2A26" w:rsidP="007B2A26">
      <w:pPr>
        <w:ind w:left="360"/>
      </w:pPr>
    </w:p>
    <w:p w14:paraId="6C9D1FD4" w14:textId="4472379D" w:rsidR="76CB41CF" w:rsidRDefault="76CB41CF" w:rsidP="00D80A69">
      <w:pPr>
        <w:pStyle w:val="Odsekzoznamu"/>
      </w:pPr>
      <w:r>
        <w:lastRenderedPageBreak/>
        <w:t xml:space="preserve">V rokoch 2022 až 2023 </w:t>
      </w:r>
    </w:p>
    <w:p w14:paraId="62DB0585"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Sprístupnenie OpenAPI</w:t>
      </w:r>
      <w:r w:rsidR="002D7AD4">
        <w:rPr>
          <w:rFonts w:ascii="Calibri" w:hAnsi="Calibri" w:cs="Calibri"/>
          <w:color w:val="000000" w:themeColor="text1"/>
        </w:rPr>
        <w:t xml:space="preserve"> </w:t>
      </w:r>
      <w:r w:rsidRPr="190F7DBA">
        <w:rPr>
          <w:rFonts w:ascii="Calibri" w:hAnsi="Calibri" w:cs="Calibri"/>
          <w:color w:val="000000" w:themeColor="text1"/>
        </w:rPr>
        <w:t>(REST) pre relevantné služby</w:t>
      </w:r>
      <w:r w:rsidR="002D7AD4">
        <w:rPr>
          <w:rFonts w:ascii="Calibri" w:hAnsi="Calibri" w:cs="Calibri"/>
          <w:color w:val="000000" w:themeColor="text1"/>
        </w:rPr>
        <w:t xml:space="preserve"> </w:t>
      </w:r>
    </w:p>
    <w:p w14:paraId="076FAE4A"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 xml:space="preserve">Realizácia Modernizácie ÚPVS (portfólio klienta, slovensko.sk, štátny messenger (chatbot) </w:t>
      </w:r>
    </w:p>
    <w:p w14:paraId="627E00BB"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 xml:space="preserve">Aplikácia Slovensko v mobile v plnej prevádzke </w:t>
      </w:r>
    </w:p>
    <w:p w14:paraId="16EEFA73"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Služby vyžadované nariadením o jednotnej digitálnej bráne budú prepojené s EÚ systémami pre cezhraničné „jedenkrát a dosť“.</w:t>
      </w:r>
      <w:r w:rsidR="002D7AD4">
        <w:rPr>
          <w:rFonts w:ascii="Calibri" w:hAnsi="Calibri" w:cs="Calibri"/>
          <w:color w:val="000000" w:themeColor="text1"/>
        </w:rPr>
        <w:t xml:space="preserve"> </w:t>
      </w:r>
    </w:p>
    <w:p w14:paraId="690AD28F" w14:textId="77777777" w:rsidR="76CB41CF" w:rsidRDefault="76CB41CF" w:rsidP="00D80A69">
      <w:pPr>
        <w:pStyle w:val="Odsekzoznamu"/>
      </w:pPr>
      <w:r>
        <w:t xml:space="preserve">Do roku 2026 </w:t>
      </w:r>
    </w:p>
    <w:p w14:paraId="5F3CAE69"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Spustenie virtuálneho kontaktného centra (digitálny úradník) pre</w:t>
      </w:r>
      <w:r w:rsidR="002D7AD4">
        <w:rPr>
          <w:rFonts w:ascii="Calibri" w:hAnsi="Calibri" w:cs="Calibri"/>
          <w:color w:val="000000" w:themeColor="text1"/>
        </w:rPr>
        <w:t xml:space="preserve"> </w:t>
      </w:r>
      <w:r w:rsidRPr="190F7DBA">
        <w:rPr>
          <w:rFonts w:ascii="Calibri" w:hAnsi="Calibri" w:cs="Calibri"/>
          <w:color w:val="000000" w:themeColor="text1"/>
        </w:rPr>
        <w:t xml:space="preserve">relevantné služby štátu aj mimo slovensko.sk </w:t>
      </w:r>
    </w:p>
    <w:p w14:paraId="35FBD2A7"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 xml:space="preserve">50% prioritných cezhraničných životných situácií bude implementovaných v súlade s kvalitatívnymi požiadavkami nariadenia o jednotnej digitálnej bráne. </w:t>
      </w:r>
    </w:p>
    <w:p w14:paraId="18CD28B6" w14:textId="687EA45F" w:rsidR="76CB41CF" w:rsidRPr="004956A3" w:rsidRDefault="76CB41CF" w:rsidP="004956A3">
      <w:pPr>
        <w:pStyle w:val="Odsekzoznamu"/>
      </w:pPr>
      <w:r w:rsidRPr="004956A3">
        <w:t xml:space="preserve">Do roku 2030 </w:t>
      </w:r>
    </w:p>
    <w:p w14:paraId="119F9201" w14:textId="77777777" w:rsidR="76CB41CF" w:rsidRPr="00D80A69" w:rsidRDefault="76CB41CF" w:rsidP="00F06821">
      <w:pPr>
        <w:pStyle w:val="Odsekzoznamu"/>
        <w:numPr>
          <w:ilvl w:val="0"/>
          <w:numId w:val="24"/>
        </w:numPr>
        <w:spacing w:before="120" w:after="0" w:line="240" w:lineRule="auto"/>
        <w:ind w:left="1134"/>
        <w:rPr>
          <w:rFonts w:ascii="Calibri" w:hAnsi="Calibri" w:cs="Calibri"/>
          <w:color w:val="000000" w:themeColor="text1"/>
        </w:rPr>
      </w:pPr>
      <w:r w:rsidRPr="190F7DBA">
        <w:rPr>
          <w:rFonts w:ascii="Calibri" w:hAnsi="Calibri" w:cs="Calibri"/>
          <w:color w:val="000000" w:themeColor="text1"/>
        </w:rPr>
        <w:t xml:space="preserve">100% prioritných cezhraničných životných situácií bude implementovaných v súlade s kvalitatívnymi požiadavkami nariadenia o jednotnej digitálnej bráne. </w:t>
      </w:r>
    </w:p>
    <w:p w14:paraId="31B0F992" w14:textId="77777777" w:rsidR="3912845A" w:rsidRDefault="3912845A" w:rsidP="3912845A">
      <w:pPr>
        <w:rPr>
          <w:b/>
          <w:bCs/>
        </w:rPr>
      </w:pPr>
    </w:p>
    <w:p w14:paraId="6D631B45" w14:textId="77777777" w:rsidR="00250001" w:rsidRPr="00E7487B" w:rsidRDefault="00250001" w:rsidP="002B60D7">
      <w:pPr>
        <w:pStyle w:val="Nadpis2"/>
      </w:pPr>
      <w:bookmarkStart w:id="103" w:name="_Toc62481024"/>
      <w:bookmarkStart w:id="104" w:name="_Toc69297707"/>
      <w:bookmarkStart w:id="105" w:name="_Toc70369672"/>
      <w:bookmarkStart w:id="106" w:name="_Toc70711612"/>
      <w:r>
        <w:t>Digitálna transformácia</w:t>
      </w:r>
      <w:bookmarkEnd w:id="103"/>
      <w:r>
        <w:t xml:space="preserve"> </w:t>
      </w:r>
      <w:r w:rsidR="00986458">
        <w:t>verejnej správy</w:t>
      </w:r>
      <w:bookmarkEnd w:id="104"/>
      <w:bookmarkEnd w:id="105"/>
      <w:bookmarkEnd w:id="106"/>
    </w:p>
    <w:p w14:paraId="0E1A1FFA" w14:textId="77777777" w:rsidR="00250001" w:rsidRPr="004D73C4" w:rsidRDefault="00383D4E" w:rsidP="00E362F7">
      <w:pPr>
        <w:pStyle w:val="Nadpis3"/>
      </w:pPr>
      <w:bookmarkStart w:id="107" w:name="_Toc69297708"/>
      <w:bookmarkStart w:id="108" w:name="_Toc70369673"/>
      <w:bookmarkStart w:id="109" w:name="_Toc70711613"/>
      <w:r w:rsidRPr="004D73C4">
        <w:t>Zásadná zmena fungovania verejnej správy</w:t>
      </w:r>
      <w:bookmarkEnd w:id="107"/>
      <w:bookmarkEnd w:id="108"/>
      <w:bookmarkEnd w:id="109"/>
    </w:p>
    <w:p w14:paraId="1B4981AE" w14:textId="77777777" w:rsidR="00B534B4" w:rsidRPr="004D73C4" w:rsidRDefault="00B534B4" w:rsidP="00A16071">
      <w:r w:rsidRPr="004D73C4">
        <w:t xml:space="preserve">Zavedieme samostatné nástroje a postupy pre elektronické procesy, nezávislé preskúmateľné a neviazané na listinné postupy a nástroj. Dosiahneme, že občan k podaniu bude prikladať len informácie, ktoré štát nemá. Zabezpečíme, aby bol výsledok konania dostupný pre všetky dotknuté orgány, čím bude umožnené automatické naštartovanie spracovania v ďalších agendách v záujme sfunkčnenia proaktívnych postupov orgánov verejnej moci. </w:t>
      </w:r>
      <w:r w:rsidR="00C04C83" w:rsidRPr="001B5326">
        <w:t xml:space="preserve">Podporíme </w:t>
      </w:r>
      <w:r w:rsidRPr="004D73C4">
        <w:t xml:space="preserve">využívanie dát verejnej správy komerčným sektorom s dôsledným zohľadnením ochrany osobných údajov. Vytvoríme predpoklady pre smerovanie k digitálnemu biznis dizajnu. </w:t>
      </w:r>
    </w:p>
    <w:p w14:paraId="6E00AB1A" w14:textId="77777777" w:rsidR="00B534B4" w:rsidRPr="004D73C4" w:rsidRDefault="00CB63A7" w:rsidP="190F7DBA">
      <w:pPr>
        <w:rPr>
          <w:b/>
          <w:bCs/>
        </w:rPr>
      </w:pPr>
      <w:r w:rsidRPr="190F7DBA">
        <w:rPr>
          <w:b/>
          <w:bCs/>
        </w:rPr>
        <w:t xml:space="preserve">Opatrenie </w:t>
      </w:r>
      <w:r w:rsidR="213FDA20" w:rsidRPr="190F7DBA">
        <w:rPr>
          <w:b/>
          <w:bCs/>
        </w:rPr>
        <w:t>1</w:t>
      </w:r>
      <w:r w:rsidR="00B534B4" w:rsidRPr="190F7DBA">
        <w:rPr>
          <w:b/>
          <w:bCs/>
        </w:rPr>
        <w:t xml:space="preserve"> </w:t>
      </w:r>
      <w:r w:rsidR="00F430CF" w:rsidRPr="190F7DBA">
        <w:rPr>
          <w:b/>
          <w:bCs/>
        </w:rPr>
        <w:t xml:space="preserve">– </w:t>
      </w:r>
      <w:r w:rsidR="00B534B4" w:rsidRPr="190F7DBA">
        <w:rPr>
          <w:b/>
          <w:bCs/>
        </w:rPr>
        <w:t>Z</w:t>
      </w:r>
      <w:r w:rsidRPr="190F7DBA">
        <w:rPr>
          <w:b/>
          <w:bCs/>
        </w:rPr>
        <w:t>oštíhlenie procesov</w:t>
      </w:r>
    </w:p>
    <w:p w14:paraId="2AB0FBCF" w14:textId="77777777" w:rsidR="00B534B4" w:rsidRPr="004D73C4" w:rsidRDefault="596E4140">
      <w:pPr>
        <w:rPr>
          <w:lang w:val="sk"/>
        </w:rPr>
      </w:pPr>
      <w:r w:rsidRPr="006D77C9">
        <w:rPr>
          <w:lang w:val="sk"/>
        </w:rPr>
        <w:t xml:space="preserve">Investície do informačných systémov sa odrazia v kvalite verejných služieb, resp. v celkových nákladoch na ich poskytovanie najmä v agendách a systémoch s potenciálom úspor, či už z dôvodu vysokých prevádzkových nákladov, veľkej chybovosti v procesoch, dlhých lehôt na vybavenie podania alebo vysokej náročnosti na ľudské zdroje. Zvýšenie kvality procesov a zníženie nákladov na procesy bude dosiahnuté ich optimalizáciou až na úrovni zákonov alebo podzákonnej legislatívy, resp. zmenami organizácie činností bez ohľadu na vlastníkov procesov. Optimalizačné opatrenia sa budú zameriavať na elimináciu administratívnych nedostatkov, akými sú nevybavené práce, nadbytok vstupných dokumentov a informácií, chyby dát, chýbajúce informácie, nadprodukcia vo výkone procesov, čiže nepotrebné výstupy a aktivity, ktoré nie sú požadované používateľom, ďalej duplicity a zbytočné kroky procesu, prestoje vo schvaľovacom procese, neefektívne presuny zamestnancov alebo informácií v rámci výkonu procesov, chýbajúca podpora automatizovanej tvorby dokumentov, chýbajúce údaje pre vyhodnotenie výkonnosti, nedostatočná zastupiteľnosť zamestnancov a nejasná legislatíva pre určenie schvaľovateľa. </w:t>
      </w:r>
    </w:p>
    <w:p w14:paraId="62B8F54F" w14:textId="77777777" w:rsidR="00B534B4" w:rsidRPr="004D73C4" w:rsidRDefault="2A5A1C19" w:rsidP="190F7DBA">
      <w:pPr>
        <w:rPr>
          <w:lang w:val="sk"/>
        </w:rPr>
      </w:pPr>
      <w:r w:rsidRPr="190F7DBA">
        <w:rPr>
          <w:lang w:val="sk"/>
        </w:rPr>
        <w:t>P</w:t>
      </w:r>
      <w:r w:rsidR="596E4140" w:rsidRPr="006D77C9">
        <w:rPr>
          <w:lang w:val="sk"/>
        </w:rPr>
        <w:t xml:space="preserve">roces </w:t>
      </w:r>
      <w:r w:rsidR="75111A5A" w:rsidRPr="190F7DBA">
        <w:rPr>
          <w:lang w:val="sk"/>
        </w:rPr>
        <w:t xml:space="preserve">digitálnej transformácie môže </w:t>
      </w:r>
      <w:r w:rsidR="596E4140" w:rsidRPr="006D77C9">
        <w:rPr>
          <w:lang w:val="sk"/>
        </w:rPr>
        <w:t xml:space="preserve">prebiehať s ohľadom na technické prevedenie – migrácia (rehost) aplikácie, migrácia (rehost) serverov, zmena platformy (replatform), opätovný nákup (repurchase), </w:t>
      </w:r>
      <w:r w:rsidR="6373D10A" w:rsidRPr="190F7DBA">
        <w:rPr>
          <w:lang w:val="sk"/>
        </w:rPr>
        <w:t xml:space="preserve">preprogramovanie </w:t>
      </w:r>
      <w:r w:rsidR="596E4140" w:rsidRPr="006D77C9">
        <w:rPr>
          <w:lang w:val="sk"/>
        </w:rPr>
        <w:t>(refactor).</w:t>
      </w:r>
      <w:r w:rsidR="7547FBF0" w:rsidRPr="190F7DBA">
        <w:rPr>
          <w:lang w:val="sk"/>
        </w:rPr>
        <w:t xml:space="preserve"> Optimalizácia a automatizácia procesov zodpovedajúca úprave agendových systémov bude prebiehať zavedením riadenia Enterprise architektúry a novou generáciou koncepcie rozvoja IT</w:t>
      </w:r>
    </w:p>
    <w:p w14:paraId="6CA7D1FB" w14:textId="77777777" w:rsidR="00B534B4" w:rsidRPr="006D77C9" w:rsidRDefault="59E944F9" w:rsidP="190F7DBA">
      <w:pPr>
        <w:rPr>
          <w:i/>
          <w:lang w:val="sk"/>
        </w:rPr>
      </w:pPr>
      <w:r w:rsidRPr="006D77C9">
        <w:rPr>
          <w:i/>
          <w:lang w:val="sk"/>
        </w:rPr>
        <w:t>Iniciatívy</w:t>
      </w:r>
      <w:r w:rsidR="006D77C9" w:rsidRPr="006D77C9">
        <w:rPr>
          <w:i/>
          <w:lang w:val="sk"/>
        </w:rPr>
        <w:t>:</w:t>
      </w:r>
      <w:r w:rsidRPr="006D77C9">
        <w:rPr>
          <w:i/>
          <w:lang w:val="sk"/>
        </w:rPr>
        <w:t xml:space="preserve"> </w:t>
      </w:r>
    </w:p>
    <w:p w14:paraId="7D2F74CE" w14:textId="77777777" w:rsidR="00B534B4" w:rsidRPr="006D77C9" w:rsidRDefault="59E944F9" w:rsidP="006D77C9">
      <w:pPr>
        <w:pStyle w:val="Odsekzoznamu"/>
      </w:pPr>
      <w:r w:rsidRPr="006D77C9">
        <w:t>Do roku 2023</w:t>
      </w:r>
    </w:p>
    <w:p w14:paraId="20A0EEF6" w14:textId="77777777" w:rsidR="00B534B4" w:rsidRPr="004D73C4" w:rsidRDefault="5509A1C3" w:rsidP="00F06821">
      <w:pPr>
        <w:pStyle w:val="Odsekzoznamu"/>
        <w:numPr>
          <w:ilvl w:val="0"/>
          <w:numId w:val="24"/>
        </w:numPr>
        <w:spacing w:line="240" w:lineRule="auto"/>
        <w:ind w:left="1134" w:hanging="357"/>
        <w:rPr>
          <w:color w:val="000000" w:themeColor="text1"/>
        </w:rPr>
      </w:pPr>
      <w:r w:rsidRPr="006D77C9">
        <w:rPr>
          <w:rFonts w:ascii="Calibri" w:hAnsi="Calibri" w:cs="Calibri"/>
          <w:color w:val="000000" w:themeColor="text1"/>
        </w:rPr>
        <w:t>Vypracovanie</w:t>
      </w:r>
      <w:r>
        <w:t xml:space="preserve"> organizačného modelu a súvisiaceho predpisu pre správu centrálnej a referenčnej architektúry verejnej správy,</w:t>
      </w:r>
    </w:p>
    <w:p w14:paraId="58FC0B0A" w14:textId="77777777" w:rsidR="00B534B4" w:rsidRPr="004D73C4" w:rsidRDefault="5509A1C3" w:rsidP="00F06821">
      <w:pPr>
        <w:pStyle w:val="Odsekzoznamu"/>
        <w:numPr>
          <w:ilvl w:val="0"/>
          <w:numId w:val="24"/>
        </w:numPr>
        <w:spacing w:line="240" w:lineRule="auto"/>
        <w:ind w:left="1134" w:hanging="357"/>
        <w:rPr>
          <w:rFonts w:eastAsiaTheme="minorEastAsia" w:cstheme="minorBidi"/>
          <w:color w:val="000000" w:themeColor="text1"/>
          <w:szCs w:val="22"/>
        </w:rPr>
      </w:pPr>
      <w:r>
        <w:lastRenderedPageBreak/>
        <w:t>Príprava nástrojov pre zabezpečenie spolupráce a zdieľanie znalostí pri správe architektúry,</w:t>
      </w:r>
    </w:p>
    <w:p w14:paraId="584056E6" w14:textId="77777777" w:rsidR="00B534B4" w:rsidRPr="004D73C4" w:rsidRDefault="0FBB0444" w:rsidP="00F06821">
      <w:pPr>
        <w:pStyle w:val="Odsekzoznamu"/>
        <w:numPr>
          <w:ilvl w:val="0"/>
          <w:numId w:val="24"/>
        </w:numPr>
        <w:spacing w:line="240" w:lineRule="auto"/>
        <w:ind w:left="1134" w:hanging="357"/>
        <w:rPr>
          <w:rFonts w:eastAsiaTheme="minorEastAsia" w:cstheme="minorBidi"/>
          <w:color w:val="000000" w:themeColor="text1"/>
          <w:szCs w:val="22"/>
        </w:rPr>
      </w:pPr>
      <w:r w:rsidRPr="190F7DBA">
        <w:rPr>
          <w:rFonts w:ascii="Calibri" w:hAnsi="Calibri" w:cs="Calibri"/>
          <w:color w:val="000000" w:themeColor="text1"/>
        </w:rPr>
        <w:t>Vypracujeme obsah novej generácie KRIT, ktorý umožní nadefinovať stratégiu digitalizácie rezortu v súlade s cieľmi digitálnej transformácie, bude teda obsahovať procesné, informatické aj finančne aspekty vo vzájomnej previazanosti.</w:t>
      </w:r>
    </w:p>
    <w:p w14:paraId="37528E58" w14:textId="77777777" w:rsidR="00B534B4" w:rsidRPr="006D77C9" w:rsidRDefault="59E944F9" w:rsidP="006D77C9">
      <w:pPr>
        <w:pStyle w:val="Odsekzoznamu"/>
      </w:pPr>
      <w:r w:rsidRPr="006D77C9">
        <w:t>Do roku 2026</w:t>
      </w:r>
    </w:p>
    <w:p w14:paraId="752BA92C" w14:textId="77777777" w:rsidR="00B534B4" w:rsidRPr="006D77C9" w:rsidRDefault="1F635AC4" w:rsidP="006D77C9">
      <w:pPr>
        <w:pStyle w:val="Odsekzoznamu"/>
        <w:spacing w:after="0" w:line="240" w:lineRule="auto"/>
        <w:ind w:left="1134" w:hanging="357"/>
        <w:rPr>
          <w:rFonts w:eastAsiaTheme="minorEastAsia"/>
          <w:lang w:val="sk"/>
        </w:rPr>
      </w:pPr>
      <w:r w:rsidRPr="006D77C9">
        <w:rPr>
          <w:rFonts w:ascii="Calibri" w:hAnsi="Calibri"/>
          <w:lang w:val="sk"/>
        </w:rPr>
        <w:t xml:space="preserve">Zavedenie </w:t>
      </w:r>
      <w:r w:rsidRPr="006D77C9">
        <w:rPr>
          <w:lang w:val="sk"/>
        </w:rPr>
        <w:t>modelu</w:t>
      </w:r>
      <w:r w:rsidRPr="006D77C9">
        <w:rPr>
          <w:rFonts w:ascii="Calibri" w:hAnsi="Calibri"/>
          <w:lang w:val="sk"/>
        </w:rPr>
        <w:t xml:space="preserve"> merania vyspelosti </w:t>
      </w:r>
      <w:r w:rsidR="4276185D" w:rsidRPr="006D77C9">
        <w:rPr>
          <w:rFonts w:ascii="Calibri" w:eastAsia="Calibri" w:hAnsi="Calibri" w:cs="Calibri"/>
          <w:lang w:val="sk"/>
        </w:rPr>
        <w:t>v riadení Enterprise architektúry verejnej správy</w:t>
      </w:r>
      <w:r w:rsidR="002D7AD4" w:rsidRPr="006D77C9">
        <w:rPr>
          <w:rFonts w:ascii="Calibri" w:hAnsi="Calibri"/>
          <w:lang w:val="sk"/>
        </w:rPr>
        <w:t xml:space="preserve"> </w:t>
      </w:r>
      <w:r w:rsidR="4CB4A709" w:rsidRPr="006D77C9">
        <w:rPr>
          <w:rFonts w:ascii="Calibri" w:hAnsi="Calibri"/>
          <w:lang w:val="sk"/>
        </w:rPr>
        <w:t xml:space="preserve">20% </w:t>
      </w:r>
      <w:r w:rsidR="6C3238AB" w:rsidRPr="006D77C9">
        <w:rPr>
          <w:rFonts w:ascii="Calibri" w:eastAsia="Calibri" w:hAnsi="Calibri" w:cs="Calibri"/>
          <w:szCs w:val="22"/>
          <w:lang w:val="sk"/>
        </w:rPr>
        <w:t>orgánov verejnej správy s najväčšími výdavkami na IT</w:t>
      </w:r>
    </w:p>
    <w:p w14:paraId="2705E9B5" w14:textId="77777777" w:rsidR="00B534B4" w:rsidRPr="006D77C9" w:rsidRDefault="70694103" w:rsidP="006D77C9">
      <w:pPr>
        <w:pStyle w:val="Odsekzoznamu"/>
        <w:spacing w:after="0" w:line="240" w:lineRule="auto"/>
        <w:ind w:left="1134" w:hanging="357"/>
        <w:rPr>
          <w:lang w:val="sk"/>
        </w:rPr>
      </w:pPr>
      <w:r w:rsidRPr="006D77C9">
        <w:rPr>
          <w:rFonts w:ascii="Calibri" w:hAnsi="Calibri"/>
          <w:lang w:val="sk"/>
        </w:rPr>
        <w:t>Plánovanie projektov</w:t>
      </w:r>
      <w:r w:rsidR="217A74B8" w:rsidRPr="006D77C9">
        <w:rPr>
          <w:rFonts w:ascii="Calibri" w:hAnsi="Calibri"/>
          <w:lang w:val="sk"/>
        </w:rPr>
        <w:t xml:space="preserve"> ústredných orgánov štátnej</w:t>
      </w:r>
      <w:r w:rsidRPr="006D77C9">
        <w:rPr>
          <w:rFonts w:ascii="Calibri" w:hAnsi="Calibri"/>
          <w:lang w:val="sk"/>
        </w:rPr>
        <w:t xml:space="preserve"> </w:t>
      </w:r>
      <w:r w:rsidR="1FBE1EFC" w:rsidRPr="006D77C9">
        <w:rPr>
          <w:rFonts w:ascii="Calibri" w:hAnsi="Calibri"/>
          <w:lang w:val="sk"/>
        </w:rPr>
        <w:t xml:space="preserve">správy </w:t>
      </w:r>
      <w:r w:rsidRPr="006D77C9">
        <w:rPr>
          <w:rFonts w:ascii="Calibri" w:hAnsi="Calibri"/>
          <w:lang w:val="sk"/>
        </w:rPr>
        <w:t>je previazané s novou generáciou KRIT</w:t>
      </w:r>
    </w:p>
    <w:p w14:paraId="28E38DD0" w14:textId="77777777" w:rsidR="00B534B4" w:rsidRPr="006D77C9" w:rsidRDefault="364012BC" w:rsidP="006D77C9">
      <w:pPr>
        <w:pStyle w:val="Odsekzoznamu"/>
        <w:spacing w:after="0" w:line="240" w:lineRule="auto"/>
        <w:ind w:left="1134" w:hanging="357"/>
        <w:rPr>
          <w:rFonts w:eastAsiaTheme="minorEastAsia"/>
          <w:lang w:val="sk"/>
        </w:rPr>
      </w:pPr>
      <w:r w:rsidRPr="006D77C9">
        <w:rPr>
          <w:lang w:val="sk"/>
        </w:rPr>
        <w:t>Zavedenie centrálneho miesta vyhodnocovania hodnoty investícií do informačných systémov formou monitorovania</w:t>
      </w:r>
      <w:r w:rsidR="2C9A58AE" w:rsidRPr="006D77C9">
        <w:rPr>
          <w:lang w:val="sk"/>
        </w:rPr>
        <w:t xml:space="preserve"> </w:t>
      </w:r>
      <w:r w:rsidR="2C9A58AE" w:rsidRPr="006D77C9">
        <w:rPr>
          <w:rFonts w:ascii="Calibri" w:eastAsia="Calibri" w:hAnsi="Calibri" w:cs="Calibri"/>
          <w:lang w:val="sk"/>
        </w:rPr>
        <w:t>20% najnákladnejších</w:t>
      </w:r>
      <w:r w:rsidRPr="006D77C9">
        <w:rPr>
          <w:lang w:val="sk"/>
        </w:rPr>
        <w:t xml:space="preserve"> </w:t>
      </w:r>
      <w:r w:rsidR="4FC502D4" w:rsidRPr="006D77C9">
        <w:rPr>
          <w:lang w:val="sk"/>
        </w:rPr>
        <w:t>informačných systémov (prevádzky, n</w:t>
      </w:r>
      <w:r w:rsidRPr="006D77C9">
        <w:rPr>
          <w:lang w:val="sk"/>
        </w:rPr>
        <w:t>ákladov, podaní, transakcií a návratnosti</w:t>
      </w:r>
      <w:r w:rsidR="7EDE677C" w:rsidRPr="006D77C9">
        <w:rPr>
          <w:lang w:val="sk"/>
        </w:rPr>
        <w:t>)</w:t>
      </w:r>
    </w:p>
    <w:p w14:paraId="3CC41BDC" w14:textId="06762D7B" w:rsidR="00B534B4" w:rsidRPr="006D77C9" w:rsidRDefault="59E944F9" w:rsidP="006D77C9">
      <w:pPr>
        <w:pStyle w:val="Odsekzoznamu"/>
      </w:pPr>
      <w:r w:rsidRPr="006D77C9">
        <w:t>Do roku 2030</w:t>
      </w:r>
    </w:p>
    <w:p w14:paraId="4A6DA2B5" w14:textId="77777777" w:rsidR="00B534B4" w:rsidRPr="006D77C9" w:rsidRDefault="1BD35CBD" w:rsidP="190F7DBA">
      <w:pPr>
        <w:pStyle w:val="Odsekzoznamu"/>
        <w:spacing w:after="0" w:line="240" w:lineRule="auto"/>
        <w:ind w:left="1134" w:hanging="357"/>
        <w:rPr>
          <w:rFonts w:eastAsiaTheme="minorEastAsia" w:cstheme="minorBidi"/>
          <w:szCs w:val="22"/>
          <w:lang w:val="sk"/>
        </w:rPr>
      </w:pPr>
      <w:r w:rsidRPr="190F7DBA">
        <w:rPr>
          <w:rFonts w:ascii="Calibri" w:hAnsi="Calibri"/>
          <w:color w:val="000000" w:themeColor="text1"/>
          <w:lang w:val="sk"/>
        </w:rPr>
        <w:t xml:space="preserve">Zavedenie </w:t>
      </w:r>
      <w:r w:rsidRPr="190F7DBA">
        <w:rPr>
          <w:lang w:val="sk"/>
        </w:rPr>
        <w:t>modelu</w:t>
      </w:r>
      <w:r w:rsidRPr="190F7DBA">
        <w:rPr>
          <w:rFonts w:ascii="Calibri" w:hAnsi="Calibri"/>
          <w:color w:val="000000" w:themeColor="text1"/>
          <w:lang w:val="sk"/>
        </w:rPr>
        <w:t xml:space="preserve"> merania </w:t>
      </w:r>
      <w:r w:rsidRPr="006D77C9">
        <w:rPr>
          <w:rFonts w:ascii="Calibri" w:hAnsi="Calibri"/>
          <w:lang w:val="sk"/>
        </w:rPr>
        <w:t>vyspelosti</w:t>
      </w:r>
      <w:r w:rsidR="618B8757" w:rsidRPr="006D77C9">
        <w:rPr>
          <w:rFonts w:ascii="Calibri" w:hAnsi="Calibri"/>
          <w:lang w:val="sk"/>
        </w:rPr>
        <w:t xml:space="preserve"> </w:t>
      </w:r>
      <w:r w:rsidR="618B8757" w:rsidRPr="006D77C9">
        <w:rPr>
          <w:rFonts w:ascii="Calibri" w:eastAsia="Calibri" w:hAnsi="Calibri" w:cs="Calibri"/>
          <w:lang w:val="sk"/>
        </w:rPr>
        <w:t>v riadení Enterprise architektúry verejnej správy</w:t>
      </w:r>
      <w:r w:rsidRPr="006D77C9">
        <w:rPr>
          <w:rFonts w:ascii="Calibri" w:hAnsi="Calibri"/>
          <w:lang w:val="sk"/>
        </w:rPr>
        <w:t xml:space="preserve"> </w:t>
      </w:r>
      <w:r w:rsidR="4260AEE5" w:rsidRPr="006D77C9">
        <w:rPr>
          <w:rFonts w:ascii="Calibri" w:hAnsi="Calibri"/>
          <w:lang w:val="sk"/>
        </w:rPr>
        <w:t>8</w:t>
      </w:r>
      <w:r w:rsidR="3F7B46A3" w:rsidRPr="006D77C9">
        <w:rPr>
          <w:rFonts w:ascii="Calibri" w:hAnsi="Calibri"/>
          <w:lang w:val="sk"/>
        </w:rPr>
        <w:t xml:space="preserve">0% </w:t>
      </w:r>
      <w:r w:rsidRPr="006D77C9">
        <w:rPr>
          <w:rFonts w:ascii="Calibri" w:hAnsi="Calibri"/>
          <w:lang w:val="sk"/>
        </w:rPr>
        <w:t xml:space="preserve">orgánov verejnej správy </w:t>
      </w:r>
      <w:r w:rsidR="2DB44C8B" w:rsidRPr="006D77C9">
        <w:rPr>
          <w:rFonts w:ascii="Calibri" w:hAnsi="Calibri"/>
          <w:lang w:val="sk"/>
        </w:rPr>
        <w:t xml:space="preserve">s najväčšími výdavkami na IT </w:t>
      </w:r>
    </w:p>
    <w:p w14:paraId="6B07E726" w14:textId="77777777" w:rsidR="00B534B4" w:rsidRPr="006D77C9" w:rsidRDefault="1BD35CBD" w:rsidP="190F7DBA">
      <w:pPr>
        <w:pStyle w:val="Odsekzoznamu"/>
        <w:spacing w:after="0" w:line="240" w:lineRule="auto"/>
        <w:ind w:left="1134" w:hanging="357"/>
        <w:rPr>
          <w:szCs w:val="22"/>
          <w:lang w:val="sk"/>
        </w:rPr>
      </w:pPr>
      <w:r w:rsidRPr="006D77C9">
        <w:rPr>
          <w:rFonts w:ascii="Calibri" w:hAnsi="Calibri"/>
          <w:lang w:val="sk"/>
        </w:rPr>
        <w:t xml:space="preserve">Plánovanie </w:t>
      </w:r>
      <w:r w:rsidR="1E86F2D9" w:rsidRPr="006D77C9">
        <w:rPr>
          <w:rFonts w:ascii="Calibri" w:hAnsi="Calibri"/>
          <w:lang w:val="sk"/>
        </w:rPr>
        <w:t xml:space="preserve">80% </w:t>
      </w:r>
      <w:r w:rsidRPr="006D77C9">
        <w:rPr>
          <w:rFonts w:ascii="Calibri" w:hAnsi="Calibri"/>
          <w:lang w:val="sk"/>
        </w:rPr>
        <w:t>projektov</w:t>
      </w:r>
      <w:r w:rsidR="002D7AD4" w:rsidRPr="006D77C9">
        <w:rPr>
          <w:rFonts w:ascii="Calibri" w:hAnsi="Calibri"/>
          <w:lang w:val="sk"/>
        </w:rPr>
        <w:t xml:space="preserve"> </w:t>
      </w:r>
      <w:r w:rsidRPr="006D77C9">
        <w:rPr>
          <w:rFonts w:ascii="Calibri" w:hAnsi="Calibri"/>
          <w:lang w:val="sk"/>
        </w:rPr>
        <w:t>je previazané s novou generáciou KRIT</w:t>
      </w:r>
    </w:p>
    <w:p w14:paraId="293B7E23" w14:textId="77777777" w:rsidR="00B534B4" w:rsidRPr="006D77C9" w:rsidRDefault="1BD35CBD" w:rsidP="190F7DBA">
      <w:pPr>
        <w:pStyle w:val="Odsekzoznamu"/>
        <w:spacing w:after="0" w:line="240" w:lineRule="auto"/>
        <w:ind w:left="1134" w:hanging="357"/>
        <w:rPr>
          <w:rFonts w:eastAsiaTheme="minorEastAsia" w:cstheme="minorBidi"/>
          <w:szCs w:val="22"/>
          <w:lang w:val="sk"/>
        </w:rPr>
      </w:pPr>
      <w:r w:rsidRPr="006D77C9">
        <w:rPr>
          <w:lang w:val="sk"/>
        </w:rPr>
        <w:t xml:space="preserve">Zavedenie centrálneho miesta vyhodnocovania hodnoty investícií do informačných systémov formou monitorovania </w:t>
      </w:r>
      <w:r w:rsidR="3B91EEEA" w:rsidRPr="006D77C9">
        <w:rPr>
          <w:lang w:val="sk"/>
        </w:rPr>
        <w:t>8</w:t>
      </w:r>
      <w:r w:rsidR="21C15A98" w:rsidRPr="006D77C9">
        <w:rPr>
          <w:lang w:val="sk"/>
        </w:rPr>
        <w:t xml:space="preserve">0% najnákladnejších </w:t>
      </w:r>
      <w:r w:rsidRPr="006D77C9">
        <w:rPr>
          <w:lang w:val="sk"/>
        </w:rPr>
        <w:t>informačných systémov (prevádzky, nákladov, podaní, transakcií a návratnosti)</w:t>
      </w:r>
    </w:p>
    <w:p w14:paraId="6A62DCC1" w14:textId="77777777" w:rsidR="00250001" w:rsidRPr="004D73C4" w:rsidRDefault="00250001" w:rsidP="00E362F7">
      <w:pPr>
        <w:pStyle w:val="Nadpis3"/>
      </w:pPr>
      <w:bookmarkStart w:id="110" w:name="_Toc69297709"/>
      <w:bookmarkStart w:id="111" w:name="_Toc70369674"/>
      <w:bookmarkStart w:id="112" w:name="_Toc70711614"/>
      <w:r>
        <w:t>Lepšie údaje</w:t>
      </w:r>
      <w:bookmarkEnd w:id="110"/>
      <w:bookmarkEnd w:id="111"/>
      <w:bookmarkEnd w:id="112"/>
    </w:p>
    <w:p w14:paraId="6DBBC25C" w14:textId="77777777" w:rsidR="00250001" w:rsidRPr="004D73C4" w:rsidRDefault="00250001" w:rsidP="57A63F5E">
      <w:pPr>
        <w:rPr>
          <w:b/>
          <w:bCs/>
        </w:rPr>
      </w:pPr>
      <w:r w:rsidRPr="004D73C4">
        <w:rPr>
          <w:b/>
          <w:bCs/>
        </w:rPr>
        <w:t xml:space="preserve">Potrebujeme dátovú transformáciu verejnej správy </w:t>
      </w:r>
    </w:p>
    <w:p w14:paraId="571C32FD" w14:textId="77777777" w:rsidR="00250001" w:rsidRPr="004D73C4" w:rsidRDefault="00A874A8" w:rsidP="00A874A8">
      <w:r>
        <w:t>Prechod k fungujúcej informačnej spoločnosti a budovanie otvoreného a inteligentného vládnutia si vyžaduje výrazne lepšie využívanie údajov vo verejnej správe. Údaje v špecifickom, zmysluplnom kontexte vytvárajú informácie a rozširujú</w:t>
      </w:r>
      <w:r w:rsidR="30331727">
        <w:t xml:space="preserve"> tak</w:t>
      </w:r>
      <w:r>
        <w:t xml:space="preserve"> individuálne aj kolektívne znalosti, ktoré následne umožňujú realizovať aktivity vedúce k efektívnemu fungovaniu verejnej správy, najmä v oblasti rozhodovacích procesov. Nový prístup k nazeraniu na údaje ako na aktívum je potrebné aj ako súčasť komplexného prístupu (legislatíva, technológie, architektúra, procesy) k proaktívnemu riešeniu ŽS občanov a k poskytovaniu lepších služieb verejnou správou.</w:t>
      </w:r>
      <w:r w:rsidR="002D7AD4">
        <w:t xml:space="preserve"> </w:t>
      </w:r>
    </w:p>
    <w:p w14:paraId="6FDCFF94" w14:textId="77777777" w:rsidR="00F30A77" w:rsidRPr="004D73C4" w:rsidRDefault="00F30A77" w:rsidP="00F30A77">
      <w:pPr>
        <w:rPr>
          <w:b/>
        </w:rPr>
      </w:pPr>
      <w:r w:rsidRPr="004D73C4">
        <w:rPr>
          <w:b/>
        </w:rPr>
        <w:t>Sumarizácia hlavných opatrení:</w:t>
      </w:r>
    </w:p>
    <w:p w14:paraId="0C45D1A5" w14:textId="77777777" w:rsidR="00A874A8" w:rsidRPr="00712EA2" w:rsidRDefault="00D55A39" w:rsidP="00F06821">
      <w:pPr>
        <w:pStyle w:val="Odsekzoznamu"/>
        <w:numPr>
          <w:ilvl w:val="0"/>
          <w:numId w:val="29"/>
        </w:numPr>
      </w:pPr>
      <w:r w:rsidRPr="00712EA2">
        <w:rPr>
          <w:bCs/>
        </w:rPr>
        <w:t xml:space="preserve">Dátová interoperabilita a dátové modelovanie </w:t>
      </w:r>
      <w:r w:rsidR="005B5543" w:rsidRPr="00712EA2">
        <w:rPr>
          <w:bCs/>
        </w:rPr>
        <w:t xml:space="preserve">– </w:t>
      </w:r>
      <w:r w:rsidR="00A874A8" w:rsidRPr="00712EA2">
        <w:t>aby každá inštitúcia mala zavedený systematický manažment dát vo svojej správe podporujúci ich výmenu s inými inštitúciami</w:t>
      </w:r>
      <w:r w:rsidR="002B60D7" w:rsidRPr="00712EA2">
        <w:t>.</w:t>
      </w:r>
    </w:p>
    <w:p w14:paraId="6D886A99" w14:textId="77777777" w:rsidR="00A874A8" w:rsidRPr="00712EA2" w:rsidRDefault="00D55A39" w:rsidP="00F06821">
      <w:pPr>
        <w:pStyle w:val="Odsekzoznamu"/>
        <w:numPr>
          <w:ilvl w:val="0"/>
          <w:numId w:val="29"/>
        </w:numPr>
      </w:pPr>
      <w:r>
        <w:t xml:space="preserve">Dátová kvalita </w:t>
      </w:r>
      <w:r w:rsidR="005B5543">
        <w:t xml:space="preserve">– </w:t>
      </w:r>
      <w:r w:rsidR="00A874A8">
        <w:t>aby každá inštitúcia systematicky, rázne a proaktívne zvýšila a udržiavala minimálnu stanovenú úroveň dátovej kvality svojich registrov</w:t>
      </w:r>
      <w:r w:rsidR="002B60D7">
        <w:t>.</w:t>
      </w:r>
      <w:r w:rsidR="00A874A8">
        <w:t xml:space="preserve"> </w:t>
      </w:r>
    </w:p>
    <w:p w14:paraId="256E709C" w14:textId="77777777" w:rsidR="00A874A8" w:rsidRPr="00712EA2" w:rsidRDefault="00D55A39" w:rsidP="00F06821">
      <w:pPr>
        <w:pStyle w:val="Odsekzoznamu"/>
        <w:numPr>
          <w:ilvl w:val="0"/>
          <w:numId w:val="29"/>
        </w:numPr>
      </w:pPr>
      <w:r>
        <w:t xml:space="preserve">Jedenkrát a dosť (zdieľanie údajov – referenčné údaje) </w:t>
      </w:r>
      <w:r w:rsidR="005B5543">
        <w:t xml:space="preserve">– </w:t>
      </w:r>
      <w:r w:rsidR="00A874A8">
        <w:t>aby každá inštitúcia sprístupňovala údaje vo svojej evidencii a vo svojich procesoch povinne využívala (referen</w:t>
      </w:r>
      <w:r w:rsidR="002B60D7">
        <w:t>čné) údaje ostatných inštitúcií.</w:t>
      </w:r>
      <w:r w:rsidR="00A874A8">
        <w:t xml:space="preserve"> </w:t>
      </w:r>
    </w:p>
    <w:p w14:paraId="18E2E26C" w14:textId="77777777" w:rsidR="00A874A8" w:rsidRPr="00712EA2" w:rsidRDefault="00D55A39" w:rsidP="00F06821">
      <w:pPr>
        <w:pStyle w:val="Odsekzoznamu"/>
        <w:numPr>
          <w:ilvl w:val="0"/>
          <w:numId w:val="29"/>
        </w:numPr>
      </w:pPr>
      <w:r>
        <w:t xml:space="preserve">Moje údaje </w:t>
      </w:r>
      <w:r w:rsidR="005B5543">
        <w:t xml:space="preserve">– </w:t>
      </w:r>
      <w:r w:rsidR="00A874A8">
        <w:t>aby každý občan, podnikateľ aj právnická osoba mali transparentný prístup k dátam, ktoré verejná správa o nich eviduje</w:t>
      </w:r>
      <w:r w:rsidR="63F01227">
        <w:t>.</w:t>
      </w:r>
      <w:r w:rsidR="00A874A8">
        <w:t xml:space="preserve"> </w:t>
      </w:r>
    </w:p>
    <w:p w14:paraId="5315033A" w14:textId="77777777" w:rsidR="00A874A8" w:rsidRPr="00712EA2" w:rsidRDefault="00D55A39" w:rsidP="00F06821">
      <w:pPr>
        <w:pStyle w:val="Odsekzoznamu"/>
        <w:numPr>
          <w:ilvl w:val="0"/>
          <w:numId w:val="29"/>
        </w:numPr>
      </w:pPr>
      <w:r w:rsidRPr="00712EA2">
        <w:rPr>
          <w:bCs/>
        </w:rPr>
        <w:t>Analytické údaje</w:t>
      </w:r>
      <w:r w:rsidR="005B5543" w:rsidRPr="00712EA2">
        <w:rPr>
          <w:bCs/>
        </w:rPr>
        <w:t xml:space="preserve"> – </w:t>
      </w:r>
      <w:r w:rsidR="00A874A8" w:rsidRPr="00712EA2">
        <w:t>aby rozhodovanie, poskytovanie služieb a tvorba verejných politík vo verejnej správe bolo podporené analýzami na základ</w:t>
      </w:r>
      <w:r w:rsidR="002B60D7" w:rsidRPr="00712EA2">
        <w:t>e spracovania kvalitných údajov.</w:t>
      </w:r>
      <w:r w:rsidR="00A874A8" w:rsidRPr="00712EA2">
        <w:t xml:space="preserve"> </w:t>
      </w:r>
    </w:p>
    <w:p w14:paraId="6829B889" w14:textId="77777777" w:rsidR="00A874A8" w:rsidRPr="00712EA2" w:rsidRDefault="00D55A39" w:rsidP="00F06821">
      <w:pPr>
        <w:pStyle w:val="Odsekzoznamu"/>
        <w:numPr>
          <w:ilvl w:val="0"/>
          <w:numId w:val="29"/>
        </w:numPr>
      </w:pPr>
      <w:r w:rsidRPr="00712EA2">
        <w:rPr>
          <w:bCs/>
        </w:rPr>
        <w:t>Otvorené údaje</w:t>
      </w:r>
      <w:r w:rsidR="005B5543" w:rsidRPr="00712EA2">
        <w:rPr>
          <w:bCs/>
        </w:rPr>
        <w:t xml:space="preserve"> –</w:t>
      </w:r>
      <w:r w:rsidRPr="00712EA2">
        <w:t xml:space="preserve"> </w:t>
      </w:r>
      <w:r w:rsidR="00A874A8" w:rsidRPr="00712EA2">
        <w:t>aby údaje vo verejnej správe boli proaktívne publikované vo formáte otvorených údajov podľa zásad</w:t>
      </w:r>
      <w:r w:rsidR="002B60D7" w:rsidRPr="00712EA2">
        <w:t>y „čo nie je tajné, je verejné“.</w:t>
      </w:r>
    </w:p>
    <w:p w14:paraId="23995243" w14:textId="77777777" w:rsidR="00250001" w:rsidRPr="00712EA2" w:rsidRDefault="005B5543" w:rsidP="00F06821">
      <w:pPr>
        <w:pStyle w:val="Odsekzoznamu"/>
        <w:numPr>
          <w:ilvl w:val="0"/>
          <w:numId w:val="29"/>
        </w:numPr>
      </w:pPr>
      <w:r>
        <w:t xml:space="preserve">Dátová legislatíva – </w:t>
      </w:r>
      <w:r w:rsidR="00A874A8">
        <w:t>aby dátová legislatíva bola komplexná, vnútorne konzistentná, promptne a efektívne reagujúca na zmeny v technológiách a súvisiacich procesoch.</w:t>
      </w:r>
    </w:p>
    <w:p w14:paraId="4BF59CCC" w14:textId="77777777" w:rsidR="002B60D7" w:rsidRPr="004D73C4" w:rsidRDefault="002B60D7" w:rsidP="00F06821">
      <w:pPr>
        <w:pStyle w:val="Odsekzoznamu"/>
        <w:numPr>
          <w:ilvl w:val="0"/>
          <w:numId w:val="29"/>
        </w:numPr>
      </w:pPr>
      <w:r>
        <w:t>Dátová etika – aby každá inštitúcia bola schopná vyhodnotiť možné etické a spoločenské</w:t>
      </w:r>
      <w:r w:rsidR="00D54BF2">
        <w:t xml:space="preserve"> </w:t>
      </w:r>
      <w:r>
        <w:t xml:space="preserve">dopady, ktoré vznikajú pri spracovaní dát, </w:t>
      </w:r>
      <w:r w:rsidR="06C62E5E">
        <w:t>vrátane</w:t>
      </w:r>
      <w:r>
        <w:t xml:space="preserve"> prípado</w:t>
      </w:r>
      <w:r w:rsidR="661AF7AE">
        <w:t>v</w:t>
      </w:r>
      <w:r>
        <w:t xml:space="preserve"> nasadenia nástrojov umelej inteligencie.</w:t>
      </w:r>
    </w:p>
    <w:p w14:paraId="371251D9" w14:textId="77777777" w:rsidR="007B2A26" w:rsidRDefault="007B2A26" w:rsidP="57A63F5E">
      <w:pPr>
        <w:rPr>
          <w:b/>
          <w:bCs/>
        </w:rPr>
      </w:pPr>
    </w:p>
    <w:p w14:paraId="288D0A63" w14:textId="022DEE0E" w:rsidR="00A874A8" w:rsidRPr="004D73C4" w:rsidRDefault="00A874A8" w:rsidP="57A63F5E">
      <w:pPr>
        <w:rPr>
          <w:b/>
          <w:bCs/>
        </w:rPr>
      </w:pPr>
      <w:r w:rsidRPr="004D73C4">
        <w:rPr>
          <w:b/>
          <w:bCs/>
        </w:rPr>
        <w:lastRenderedPageBreak/>
        <w:t xml:space="preserve">Opatrenie 1 – Dátová interoperabilita a dátové modelovanie </w:t>
      </w:r>
    </w:p>
    <w:p w14:paraId="45D44E5B" w14:textId="77777777" w:rsidR="00A874A8" w:rsidRPr="004D73C4" w:rsidRDefault="517A048B" w:rsidP="190F7DBA">
      <w:pPr>
        <w:rPr>
          <w:i/>
          <w:iCs/>
        </w:rPr>
      </w:pPr>
      <w:r>
        <w:t>K</w:t>
      </w:r>
      <w:r w:rsidR="00A874A8">
        <w:t>ľúčový</w:t>
      </w:r>
      <w:r w:rsidR="66347A21">
        <w:t>m</w:t>
      </w:r>
      <w:r w:rsidR="00A874A8">
        <w:t xml:space="preserve"> problémo</w:t>
      </w:r>
      <w:r w:rsidR="1D11CAB1">
        <w:t>m</w:t>
      </w:r>
      <w:r w:rsidR="00A874A8">
        <w:t xml:space="preserve"> efektívneho použitia </w:t>
      </w:r>
      <w:r w:rsidR="7EF4BEBA">
        <w:t>údajov vo verejnej správe</w:t>
      </w:r>
      <w:r w:rsidR="00A874A8">
        <w:t xml:space="preserve"> je ich nejednotná reprezentácia (chýbajúci zdieľaný model) a identifikácia. Na základe tohto nie je možné pracovať s dátami ako s jedným celkom, t.j. dáta nie sú prepojené. Dátové štruktúry musia byť štandardizované, zastrešené jednotnou metodológiou a používané všetkými inštitúciami verejnej správy. Dátové modely jednotlivých inštitúcii verejnej správy budú vytvárať Centrálny dátový model verejnej správy SR. </w:t>
      </w:r>
    </w:p>
    <w:p w14:paraId="7CCEE374" w14:textId="77777777" w:rsidR="00A874A8" w:rsidRPr="004D73C4" w:rsidRDefault="00A874A8" w:rsidP="190F7DBA">
      <w:pPr>
        <w:rPr>
          <w:i/>
          <w:iCs/>
        </w:rPr>
      </w:pPr>
      <w:r w:rsidRPr="190F7DBA">
        <w:rPr>
          <w:i/>
          <w:iCs/>
        </w:rPr>
        <w:t>Iniciatívy</w:t>
      </w:r>
      <w:r w:rsidR="00F30A77" w:rsidRPr="190F7DBA">
        <w:rPr>
          <w:i/>
          <w:iCs/>
        </w:rPr>
        <w:t>:</w:t>
      </w:r>
    </w:p>
    <w:p w14:paraId="27F8D6A6" w14:textId="77777777" w:rsidR="00F30A77" w:rsidRPr="004D73C4" w:rsidRDefault="00433BD6" w:rsidP="00F30A77">
      <w:pPr>
        <w:pStyle w:val="Odsekzoznamu"/>
      </w:pPr>
      <w:r>
        <w:t>Do roku 2023</w:t>
      </w:r>
    </w:p>
    <w:p w14:paraId="104F5B60" w14:textId="77777777" w:rsidR="00F30A77" w:rsidRPr="00236EBE" w:rsidRDefault="085D0D4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w:t>
      </w:r>
      <w:r w:rsidR="00F30A77" w:rsidRPr="190F7DBA">
        <w:rPr>
          <w:rFonts w:ascii="Calibri" w:hAnsi="Calibri" w:cs="Calibri"/>
          <w:color w:val="000000" w:themeColor="text1"/>
        </w:rPr>
        <w:t>ybrané referenčné registre sprístupňujú svoje údaje dereferenciáciou zdrojov prostredníctvom API.</w:t>
      </w:r>
    </w:p>
    <w:p w14:paraId="4F7126C6" w14:textId="77777777" w:rsidR="00F30A77" w:rsidRPr="00236EBE"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Poskytova</w:t>
      </w:r>
      <w:r w:rsidR="000778EC" w:rsidRPr="190F7DBA">
        <w:rPr>
          <w:rFonts w:ascii="Calibri" w:hAnsi="Calibri" w:cs="Calibri"/>
          <w:color w:val="000000" w:themeColor="text1"/>
        </w:rPr>
        <w:t>ť</w:t>
      </w:r>
      <w:r w:rsidRPr="190F7DBA">
        <w:rPr>
          <w:rFonts w:ascii="Calibri" w:hAnsi="Calibri" w:cs="Calibri"/>
          <w:color w:val="000000" w:themeColor="text1"/>
        </w:rPr>
        <w:t xml:space="preserve"> dátov</w:t>
      </w:r>
      <w:r w:rsidR="000778EC" w:rsidRPr="190F7DBA">
        <w:rPr>
          <w:rFonts w:ascii="Calibri" w:hAnsi="Calibri" w:cs="Calibri"/>
          <w:color w:val="000000" w:themeColor="text1"/>
        </w:rPr>
        <w:t>é</w:t>
      </w:r>
      <w:r w:rsidRPr="190F7DBA">
        <w:rPr>
          <w:rFonts w:ascii="Calibri" w:hAnsi="Calibri" w:cs="Calibri"/>
          <w:color w:val="000000" w:themeColor="text1"/>
        </w:rPr>
        <w:t xml:space="preserve"> elektronick</w:t>
      </w:r>
      <w:r w:rsidR="000778EC" w:rsidRPr="190F7DBA">
        <w:rPr>
          <w:rFonts w:ascii="Calibri" w:hAnsi="Calibri" w:cs="Calibri"/>
          <w:color w:val="000000" w:themeColor="text1"/>
        </w:rPr>
        <w:t>é</w:t>
      </w:r>
      <w:r w:rsidRPr="190F7DBA">
        <w:rPr>
          <w:rFonts w:ascii="Calibri" w:hAnsi="Calibri" w:cs="Calibri"/>
          <w:color w:val="000000" w:themeColor="text1"/>
        </w:rPr>
        <w:t xml:space="preserve"> služ</w:t>
      </w:r>
      <w:r w:rsidR="000778EC" w:rsidRPr="190F7DBA">
        <w:rPr>
          <w:rFonts w:ascii="Calibri" w:hAnsi="Calibri" w:cs="Calibri"/>
          <w:color w:val="000000" w:themeColor="text1"/>
        </w:rPr>
        <w:t>by</w:t>
      </w:r>
      <w:r w:rsidRPr="190F7DBA">
        <w:rPr>
          <w:rFonts w:ascii="Calibri" w:hAnsi="Calibri" w:cs="Calibri"/>
          <w:color w:val="000000" w:themeColor="text1"/>
        </w:rPr>
        <w:t xml:space="preserve"> pre dereferenciáciu sprístupniteľného zdroja. </w:t>
      </w:r>
    </w:p>
    <w:p w14:paraId="42E95CE9" w14:textId="77777777" w:rsidR="000778EC" w:rsidRPr="00236EBE"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Rozšír</w:t>
      </w:r>
      <w:r w:rsidR="00F5630D" w:rsidRPr="190F7DBA">
        <w:rPr>
          <w:rFonts w:ascii="Calibri" w:hAnsi="Calibri" w:cs="Calibri"/>
          <w:color w:val="000000" w:themeColor="text1"/>
        </w:rPr>
        <w:t>iť</w:t>
      </w:r>
      <w:r w:rsidRPr="190F7DBA">
        <w:rPr>
          <w:rFonts w:ascii="Calibri" w:hAnsi="Calibri" w:cs="Calibri"/>
          <w:color w:val="000000" w:themeColor="text1"/>
        </w:rPr>
        <w:t xml:space="preserve"> MetaIS o depozitár dátových modelov jednotlivých IS verejnej správy v súlade s dátovou metodikou a Centrálnym modelom údajov verejnej správy. </w:t>
      </w:r>
    </w:p>
    <w:p w14:paraId="0D9E2E77" w14:textId="77777777" w:rsidR="000778EC" w:rsidRPr="00236EBE"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Štandardiz</w:t>
      </w:r>
      <w:r w:rsidR="000778EC" w:rsidRPr="190F7DBA">
        <w:rPr>
          <w:rFonts w:ascii="Calibri" w:hAnsi="Calibri" w:cs="Calibri"/>
          <w:color w:val="000000" w:themeColor="text1"/>
        </w:rPr>
        <w:t>ovať</w:t>
      </w:r>
      <w:r w:rsidRPr="190F7DBA">
        <w:rPr>
          <w:rFonts w:ascii="Calibri" w:hAnsi="Calibri" w:cs="Calibri"/>
          <w:color w:val="000000" w:themeColor="text1"/>
        </w:rPr>
        <w:t xml:space="preserve"> dátov</w:t>
      </w:r>
      <w:r w:rsidR="000778EC" w:rsidRPr="190F7DBA">
        <w:rPr>
          <w:rFonts w:ascii="Calibri" w:hAnsi="Calibri" w:cs="Calibri"/>
          <w:color w:val="000000" w:themeColor="text1"/>
        </w:rPr>
        <w:t>é</w:t>
      </w:r>
      <w:r w:rsidRPr="190F7DBA">
        <w:rPr>
          <w:rFonts w:ascii="Calibri" w:hAnsi="Calibri" w:cs="Calibri"/>
          <w:color w:val="000000" w:themeColor="text1"/>
        </w:rPr>
        <w:t xml:space="preserve"> model</w:t>
      </w:r>
      <w:r w:rsidR="000778EC" w:rsidRPr="190F7DBA">
        <w:rPr>
          <w:rFonts w:ascii="Calibri" w:hAnsi="Calibri" w:cs="Calibri"/>
          <w:color w:val="000000" w:themeColor="text1"/>
        </w:rPr>
        <w:t>y</w:t>
      </w:r>
      <w:r w:rsidRPr="190F7DBA">
        <w:rPr>
          <w:rFonts w:ascii="Calibri" w:hAnsi="Calibri" w:cs="Calibri"/>
          <w:color w:val="000000" w:themeColor="text1"/>
        </w:rPr>
        <w:t xml:space="preserve"> pre IS verejnej správy. </w:t>
      </w:r>
    </w:p>
    <w:p w14:paraId="08693A37" w14:textId="77777777" w:rsidR="000778EC" w:rsidRPr="00236EBE"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w:t>
      </w:r>
      <w:r w:rsidR="000778EC" w:rsidRPr="190F7DBA">
        <w:rPr>
          <w:rFonts w:ascii="Calibri" w:hAnsi="Calibri" w:cs="Calibri"/>
          <w:color w:val="000000" w:themeColor="text1"/>
        </w:rPr>
        <w:t>iť</w:t>
      </w:r>
      <w:r w:rsidRPr="190F7DBA">
        <w:rPr>
          <w:rFonts w:ascii="Calibri" w:hAnsi="Calibri" w:cs="Calibri"/>
          <w:color w:val="000000" w:themeColor="text1"/>
        </w:rPr>
        <w:t xml:space="preserve"> jednotn</w:t>
      </w:r>
      <w:r w:rsidR="000778EC" w:rsidRPr="190F7DBA">
        <w:rPr>
          <w:rFonts w:ascii="Calibri" w:hAnsi="Calibri" w:cs="Calibri"/>
          <w:color w:val="000000" w:themeColor="text1"/>
        </w:rPr>
        <w:t>ú</w:t>
      </w:r>
      <w:r w:rsidRPr="190F7DBA">
        <w:rPr>
          <w:rFonts w:ascii="Calibri" w:hAnsi="Calibri" w:cs="Calibri"/>
          <w:color w:val="000000" w:themeColor="text1"/>
        </w:rPr>
        <w:t xml:space="preserve"> metodológi</w:t>
      </w:r>
      <w:r w:rsidR="000778EC" w:rsidRPr="190F7DBA">
        <w:rPr>
          <w:rFonts w:ascii="Calibri" w:hAnsi="Calibri" w:cs="Calibri"/>
          <w:color w:val="000000" w:themeColor="text1"/>
        </w:rPr>
        <w:t>u</w:t>
      </w:r>
      <w:r w:rsidRPr="190F7DBA">
        <w:rPr>
          <w:rFonts w:ascii="Calibri" w:hAnsi="Calibri" w:cs="Calibri"/>
          <w:color w:val="000000" w:themeColor="text1"/>
        </w:rPr>
        <w:t xml:space="preserve"> pri vytváraní dátových modelov pre ITVS.</w:t>
      </w:r>
    </w:p>
    <w:p w14:paraId="47EAFF2F" w14:textId="77777777" w:rsidR="00F30A77" w:rsidRPr="00236EBE" w:rsidRDefault="3C3175C4"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Zaviesť p</w:t>
      </w:r>
      <w:r w:rsidR="00F30A77" w:rsidRPr="190F7DBA">
        <w:rPr>
          <w:rFonts w:ascii="Calibri" w:hAnsi="Calibri" w:cs="Calibri"/>
          <w:color w:val="000000" w:themeColor="text1"/>
        </w:rPr>
        <w:t>ovinnosť vytvárania a aktualizácie dátových modelov inštitúcií verejnej správy.</w:t>
      </w:r>
    </w:p>
    <w:p w14:paraId="1D4C988D" w14:textId="77777777" w:rsidR="00F30A77" w:rsidRPr="00236EBE" w:rsidRDefault="00433BD6" w:rsidP="00236EBE">
      <w:pPr>
        <w:pStyle w:val="Odsekzoznamu"/>
      </w:pPr>
      <w:r>
        <w:t>Do roku 2026</w:t>
      </w:r>
    </w:p>
    <w:p w14:paraId="1E8510F9" w14:textId="77777777" w:rsidR="00F30A77" w:rsidRPr="00236EBE" w:rsidRDefault="54A7FA25"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w:t>
      </w:r>
      <w:r w:rsidR="00F30A77" w:rsidRPr="190F7DBA">
        <w:rPr>
          <w:rFonts w:ascii="Calibri" w:hAnsi="Calibri" w:cs="Calibri"/>
          <w:color w:val="000000" w:themeColor="text1"/>
        </w:rPr>
        <w:t>yhlásené referenčné registre sprístupňujú svoje údaje dereferenciáciou zdrojov prostredníctvom API</w:t>
      </w:r>
      <w:r w:rsidR="324B727A" w:rsidRPr="190F7DBA">
        <w:rPr>
          <w:rFonts w:ascii="Calibri" w:hAnsi="Calibri" w:cs="Calibri"/>
          <w:color w:val="000000" w:themeColor="text1"/>
        </w:rPr>
        <w:t>.</w:t>
      </w:r>
    </w:p>
    <w:p w14:paraId="71E8D953" w14:textId="77777777" w:rsidR="00F30A77" w:rsidRPr="004D73C4" w:rsidRDefault="00433BD6" w:rsidP="00236EBE">
      <w:pPr>
        <w:pStyle w:val="Odsekzoznamu"/>
        <w:rPr>
          <w:rFonts w:ascii="Calibri" w:hAnsi="Calibri" w:cs="Calibri"/>
          <w:color w:val="000000"/>
        </w:rPr>
      </w:pPr>
      <w:r>
        <w:rPr>
          <w:rFonts w:ascii="Calibri" w:hAnsi="Calibri" w:cs="Calibri"/>
          <w:color w:val="000000" w:themeColor="text1"/>
        </w:rPr>
        <w:t>Do roku 2030</w:t>
      </w:r>
    </w:p>
    <w:p w14:paraId="0CE64030" w14:textId="77777777" w:rsidR="000778EC" w:rsidRPr="004D73C4" w:rsidRDefault="00F5630D"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Všetky informačné systémy verejnej správy spĺňajú požiadavky na dátovú interoperabilitu. </w:t>
      </w:r>
    </w:p>
    <w:p w14:paraId="78392ECD" w14:textId="77777777" w:rsidR="00F5630D" w:rsidRPr="004D73C4" w:rsidRDefault="00F5630D"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Dátová integrácia, realizácia princípu „jedenkrát a dosť“, dátová analytika sú zosúladené s jednotnou identifikáciou a reprezentáciou údajov.</w:t>
      </w:r>
    </w:p>
    <w:p w14:paraId="44C5659C" w14:textId="77777777" w:rsidR="00A874A8" w:rsidRPr="004D73C4" w:rsidRDefault="00F5630D"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 xml:space="preserve">Všetky referenčné registre sprístupňujú svoje údaje dereferenciáciou zdrojov prostredníctvom API </w:t>
      </w:r>
      <w:r w:rsidR="0BA61759" w:rsidRPr="190F7DBA">
        <w:rPr>
          <w:rFonts w:ascii="Calibri" w:hAnsi="Calibri" w:cs="Calibri"/>
          <w:color w:val="000000" w:themeColor="text1"/>
        </w:rPr>
        <w:t>.</w:t>
      </w:r>
    </w:p>
    <w:p w14:paraId="63D7E451" w14:textId="77777777" w:rsidR="00D55A39" w:rsidRPr="004D73C4" w:rsidRDefault="00D55A39" w:rsidP="00D55A39">
      <w:pPr>
        <w:rPr>
          <w:b/>
        </w:rPr>
      </w:pPr>
      <w:r w:rsidRPr="004D73C4">
        <w:rPr>
          <w:b/>
        </w:rPr>
        <w:t xml:space="preserve">Opatrenie 2 – Dátová kvalita </w:t>
      </w:r>
    </w:p>
    <w:p w14:paraId="6C5EDEAD" w14:textId="77777777" w:rsidR="00D55A39" w:rsidRPr="004D73C4" w:rsidRDefault="00D55A39" w:rsidP="00D55A39">
      <w:r w:rsidRPr="004D73C4">
        <w:t>Riadenie kvality údajov na ÚOŠS</w:t>
      </w:r>
      <w:r w:rsidR="00B032C5" w:rsidRPr="004D73C4">
        <w:t xml:space="preserve"> </w:t>
      </w:r>
      <w:r w:rsidRPr="004D73C4">
        <w:t xml:space="preserve">je v súčasnosti v inicializačnej fáze. Projekty na zlepšenie dátovej kvality sa realizujú len na niektorých ÚOŠS, a väčšinou sa jedná buď o pilotné projekty alebo o nevyhnutné reakcie pri implementácii podružných projektov. Nie sú zabezpečené automatizované procesy a ani služby pre meranie dátovej kvality. </w:t>
      </w:r>
    </w:p>
    <w:p w14:paraId="0E91783B" w14:textId="77777777" w:rsidR="00D55A39" w:rsidRPr="004D73C4" w:rsidRDefault="00D55A39" w:rsidP="00D55A39">
      <w:pPr>
        <w:rPr>
          <w:i/>
          <w:iCs/>
        </w:rPr>
      </w:pPr>
      <w:r w:rsidRPr="004D73C4">
        <w:rPr>
          <w:i/>
          <w:iCs/>
        </w:rPr>
        <w:t>Iniciatívy:</w:t>
      </w:r>
    </w:p>
    <w:p w14:paraId="7DBE19C4" w14:textId="77777777" w:rsidR="00D55A39" w:rsidRPr="004D73C4" w:rsidRDefault="00433BD6" w:rsidP="00D55A39">
      <w:pPr>
        <w:pStyle w:val="Odsekzoznamu"/>
      </w:pPr>
      <w:r>
        <w:t>Do roku 2023</w:t>
      </w:r>
    </w:p>
    <w:p w14:paraId="00EF6619" w14:textId="77777777" w:rsidR="00D55A39" w:rsidRPr="00236EBE" w:rsidRDefault="00D55A39"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Realizovaný aspoň jeden pilotný projekt na vybranom ÚOŠS, v rámci ktorého bude aplikovaný prístup k automatizovanému meraniu kvality údajov aspoň v rámci jedného agendového IS. </w:t>
      </w:r>
    </w:p>
    <w:p w14:paraId="7B2C8427" w14:textId="77777777" w:rsidR="00D55A39" w:rsidRPr="00236EBE" w:rsidRDefault="00D55A39" w:rsidP="00F06821">
      <w:pPr>
        <w:pStyle w:val="Odsekzoznamu"/>
        <w:numPr>
          <w:ilvl w:val="0"/>
          <w:numId w:val="24"/>
        </w:numPr>
        <w:spacing w:before="120" w:after="0" w:line="240" w:lineRule="auto"/>
        <w:ind w:left="1134"/>
      </w:pPr>
      <w:r w:rsidRPr="190F7DBA">
        <w:rPr>
          <w:rFonts w:ascii="Calibri" w:hAnsi="Calibri" w:cs="Calibri"/>
          <w:color w:val="000000" w:themeColor="text1"/>
        </w:rPr>
        <w:t xml:space="preserve">Povinnosť merať dátovú kvalitu pre vlastníkov údajov </w:t>
      </w:r>
      <w:r w:rsidR="001253C6" w:rsidRPr="190F7DBA">
        <w:rPr>
          <w:rFonts w:ascii="Calibri" w:hAnsi="Calibri" w:cs="Calibri"/>
          <w:color w:val="000000" w:themeColor="text1"/>
        </w:rPr>
        <w:t>j</w:t>
      </w:r>
      <w:r w:rsidRPr="190F7DBA">
        <w:rPr>
          <w:rFonts w:ascii="Calibri" w:hAnsi="Calibri" w:cs="Calibri"/>
          <w:color w:val="000000" w:themeColor="text1"/>
        </w:rPr>
        <w:t>e zaveden</w:t>
      </w:r>
      <w:r w:rsidR="5D47C462" w:rsidRPr="190F7DBA">
        <w:rPr>
          <w:rFonts w:ascii="Calibri" w:hAnsi="Calibri" w:cs="Calibri"/>
          <w:color w:val="000000" w:themeColor="text1"/>
        </w:rPr>
        <w:t>á v</w:t>
      </w:r>
      <w:r w:rsidRPr="190F7DBA">
        <w:rPr>
          <w:rFonts w:ascii="Calibri" w:hAnsi="Calibri" w:cs="Calibri"/>
          <w:color w:val="000000" w:themeColor="text1"/>
        </w:rPr>
        <w:t xml:space="preserve"> legislatív</w:t>
      </w:r>
      <w:r w:rsidR="46A9FDC8" w:rsidRPr="190F7DBA">
        <w:rPr>
          <w:rFonts w:ascii="Calibri" w:hAnsi="Calibri" w:cs="Calibri"/>
          <w:color w:val="000000" w:themeColor="text1"/>
        </w:rPr>
        <w:t>e</w:t>
      </w:r>
      <w:r w:rsidRPr="190F7DBA">
        <w:rPr>
          <w:rFonts w:ascii="Calibri" w:hAnsi="Calibri" w:cs="Calibri"/>
          <w:color w:val="000000" w:themeColor="text1"/>
        </w:rPr>
        <w:t>.</w:t>
      </w:r>
    </w:p>
    <w:p w14:paraId="75D6B969" w14:textId="77777777" w:rsidR="00D55A39" w:rsidRPr="004D73C4" w:rsidRDefault="00433BD6" w:rsidP="00D55A39">
      <w:pPr>
        <w:pStyle w:val="Odsekzoznamu"/>
      </w:pPr>
      <w:r>
        <w:t>Do roku 2026</w:t>
      </w:r>
      <w:r w:rsidR="1F4DA4B6">
        <w:t xml:space="preserve"> </w:t>
      </w:r>
    </w:p>
    <w:p w14:paraId="4993F671" w14:textId="77777777" w:rsidR="00D55A39" w:rsidRPr="004D73C4" w:rsidRDefault="00D55A39"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Všetky ÚOŠS majú zabezpečené automatizované procesy pre meranie dátovej kvality aspoň jedného agendového IS, ktorého sú správcom. Výstupy z meraní sú automatizovane publikované ako otvorené dáta.</w:t>
      </w:r>
    </w:p>
    <w:p w14:paraId="4C622C49" w14:textId="77777777" w:rsidR="00D55A39" w:rsidRPr="004D73C4" w:rsidRDefault="00433BD6" w:rsidP="00236EBE">
      <w:pPr>
        <w:pStyle w:val="Odsekzoznamu"/>
      </w:pPr>
      <w:r>
        <w:t>Do roku 2030</w:t>
      </w:r>
    </w:p>
    <w:p w14:paraId="6D49C130" w14:textId="77777777" w:rsidR="00D55A39" w:rsidRPr="004D73C4" w:rsidRDefault="00D55A39"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Všetky ÚOŠS majú nastavené procesy pre riadenie kvality údajov, vrátane personálneho zabezpečenia a realizujú aspoň jedno meranie dátovej kvality ročne. </w:t>
      </w:r>
    </w:p>
    <w:p w14:paraId="41853204" w14:textId="77777777" w:rsidR="00D55A39" w:rsidRPr="004D73C4" w:rsidRDefault="00D55A39" w:rsidP="00F06821">
      <w:pPr>
        <w:pStyle w:val="Odsekzoznamu"/>
        <w:numPr>
          <w:ilvl w:val="0"/>
          <w:numId w:val="24"/>
        </w:numPr>
        <w:spacing w:line="240" w:lineRule="auto"/>
        <w:ind w:left="1134" w:hanging="357"/>
      </w:pPr>
      <w:r w:rsidRPr="190F7DBA">
        <w:rPr>
          <w:rFonts w:ascii="Calibri" w:hAnsi="Calibri" w:cs="Calibri"/>
          <w:color w:val="000000" w:themeColor="text1"/>
        </w:rPr>
        <w:t>Všetky ÚOŠS</w:t>
      </w:r>
      <w:r w:rsidR="00934846" w:rsidRPr="190F7DBA">
        <w:rPr>
          <w:rFonts w:ascii="Calibri" w:hAnsi="Calibri" w:cs="Calibri"/>
          <w:color w:val="000000" w:themeColor="text1"/>
        </w:rPr>
        <w:t xml:space="preserve"> </w:t>
      </w:r>
      <w:r w:rsidRPr="190F7DBA">
        <w:rPr>
          <w:rFonts w:ascii="Calibri" w:hAnsi="Calibri" w:cs="Calibri"/>
          <w:color w:val="000000" w:themeColor="text1"/>
        </w:rPr>
        <w:t>majú zabezpečené automatizované procesy pre meranie dátovej kvality všetkých agendových IS, ktorých sú správcom. Výstupy z meraní sú automatizovane publikované ako otvorené dáta.</w:t>
      </w:r>
    </w:p>
    <w:p w14:paraId="31B6DF72" w14:textId="77777777" w:rsidR="00746A51" w:rsidRDefault="00746A51" w:rsidP="00F30A77">
      <w:pPr>
        <w:rPr>
          <w:b/>
        </w:rPr>
      </w:pPr>
    </w:p>
    <w:p w14:paraId="6ADAFFB6" w14:textId="77777777" w:rsidR="00746A51" w:rsidRDefault="00746A51" w:rsidP="00F30A77">
      <w:pPr>
        <w:rPr>
          <w:b/>
        </w:rPr>
      </w:pPr>
    </w:p>
    <w:p w14:paraId="2DDCACBB" w14:textId="031F826B" w:rsidR="00F30A77" w:rsidRPr="004D73C4" w:rsidRDefault="00D55A39" w:rsidP="00F30A77">
      <w:pPr>
        <w:rPr>
          <w:b/>
          <w:bCs/>
        </w:rPr>
      </w:pPr>
      <w:r w:rsidRPr="004D73C4">
        <w:rPr>
          <w:b/>
        </w:rPr>
        <w:lastRenderedPageBreak/>
        <w:t xml:space="preserve">Opatrenie </w:t>
      </w:r>
      <w:r w:rsidR="00F30A77" w:rsidRPr="004D73C4">
        <w:rPr>
          <w:b/>
        </w:rPr>
        <w:t xml:space="preserve">3 – </w:t>
      </w:r>
      <w:r w:rsidR="00F30A77" w:rsidRPr="004D73C4">
        <w:rPr>
          <w:b/>
          <w:bCs/>
        </w:rPr>
        <w:t xml:space="preserve">Jedenkrát a dosť (zdieľanie údajov – referenčné údaje) </w:t>
      </w:r>
    </w:p>
    <w:p w14:paraId="05DB3D48" w14:textId="77777777" w:rsidR="00F30A77" w:rsidRPr="004D73C4" w:rsidRDefault="00F30A77" w:rsidP="00F30A77">
      <w:r>
        <w:t xml:space="preserve">V súčasnosti si inštitúcie verejnej správy navzájom zdieľajú len malú množinu kľúčových údajov, čo bráni plnému zavedeniu princípu „Jedenkrát a dosť“. Zdieľanie údajov je neefektívne, nekoordinované a neprihliada sa k optimalizácii a digitalizácii agend verejnej správy. </w:t>
      </w:r>
    </w:p>
    <w:p w14:paraId="46CAA13D" w14:textId="77777777" w:rsidR="005B5543" w:rsidRPr="004D73C4" w:rsidRDefault="005B5543" w:rsidP="005B5543">
      <w:pPr>
        <w:rPr>
          <w:i/>
          <w:iCs/>
        </w:rPr>
      </w:pPr>
      <w:r w:rsidRPr="004D73C4">
        <w:rPr>
          <w:i/>
          <w:iCs/>
        </w:rPr>
        <w:t>Iniciatívy:</w:t>
      </w:r>
    </w:p>
    <w:p w14:paraId="66986FD5" w14:textId="77777777" w:rsidR="005B5543" w:rsidRPr="00236EBE" w:rsidRDefault="00433BD6" w:rsidP="005B5543">
      <w:pPr>
        <w:pStyle w:val="Odsekzoznamu"/>
      </w:pPr>
      <w:r>
        <w:t>Do roku 2023</w:t>
      </w:r>
    </w:p>
    <w:p w14:paraId="010733F2" w14:textId="77777777" w:rsidR="005B5543" w:rsidRPr="00236EBE"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Sprístupnenie definovanej masy údajov v súlade s Centrálnym modelom údajov verejnej správy. </w:t>
      </w:r>
    </w:p>
    <w:p w14:paraId="0C607E2B" w14:textId="77777777" w:rsidR="005B5543" w:rsidRPr="00236EBE"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Úprava ISVS a procesov inštitúcií verejnej správy za účelom stotožňovania a referencovania údajov. </w:t>
      </w:r>
    </w:p>
    <w:p w14:paraId="6CD4F463" w14:textId="77777777" w:rsidR="005B5543" w:rsidRPr="00236EBE"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Implementácia mechanizmu s cieľom sprístupnenia údajov verejnej správy </w:t>
      </w:r>
      <w:r w:rsidR="0D6A7B15" w:rsidRPr="190F7DBA">
        <w:rPr>
          <w:rFonts w:ascii="Calibri" w:hAnsi="Calibri" w:cs="Calibri"/>
          <w:color w:val="000000" w:themeColor="text1"/>
        </w:rPr>
        <w:t xml:space="preserve">aj </w:t>
      </w:r>
      <w:r w:rsidRPr="190F7DBA">
        <w:rPr>
          <w:rFonts w:ascii="Calibri" w:hAnsi="Calibri" w:cs="Calibri"/>
          <w:color w:val="000000" w:themeColor="text1"/>
        </w:rPr>
        <w:t>voči vybraným komerčným subjektom a členským štátom Európskej únie</w:t>
      </w:r>
    </w:p>
    <w:p w14:paraId="40B06B38" w14:textId="145B56F1" w:rsidR="005B5543" w:rsidRPr="004D73C4" w:rsidRDefault="00433BD6" w:rsidP="00236EBE">
      <w:pPr>
        <w:pStyle w:val="Odsekzoznamu"/>
      </w:pPr>
      <w:r>
        <w:t>Do roku 2026</w:t>
      </w:r>
    </w:p>
    <w:p w14:paraId="4B0E1F21" w14:textId="77777777" w:rsidR="005B5543" w:rsidRPr="004D73C4" w:rsidRDefault="001253C6"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w:t>
      </w:r>
      <w:r w:rsidR="005B5543" w:rsidRPr="190F7DBA">
        <w:rPr>
          <w:rFonts w:ascii="Calibri" w:hAnsi="Calibri" w:cs="Calibri"/>
          <w:color w:val="000000" w:themeColor="text1"/>
        </w:rPr>
        <w:t>poj</w:t>
      </w:r>
      <w:r w:rsidRPr="190F7DBA">
        <w:rPr>
          <w:rFonts w:ascii="Calibri" w:hAnsi="Calibri" w:cs="Calibri"/>
          <w:color w:val="000000" w:themeColor="text1"/>
        </w:rPr>
        <w:t>iť</w:t>
      </w:r>
      <w:r w:rsidR="005B5543" w:rsidRPr="190F7DBA">
        <w:rPr>
          <w:rFonts w:ascii="Calibri" w:hAnsi="Calibri" w:cs="Calibri"/>
          <w:color w:val="000000" w:themeColor="text1"/>
        </w:rPr>
        <w:t xml:space="preserve"> elektronick</w:t>
      </w:r>
      <w:r w:rsidRPr="190F7DBA">
        <w:rPr>
          <w:rFonts w:ascii="Calibri" w:hAnsi="Calibri" w:cs="Calibri"/>
          <w:color w:val="000000" w:themeColor="text1"/>
        </w:rPr>
        <w:t>é</w:t>
      </w:r>
      <w:r w:rsidR="005B5543" w:rsidRPr="190F7DBA">
        <w:rPr>
          <w:rFonts w:ascii="Calibri" w:hAnsi="Calibri" w:cs="Calibri"/>
          <w:color w:val="000000" w:themeColor="text1"/>
        </w:rPr>
        <w:t xml:space="preserve"> služb</w:t>
      </w:r>
      <w:r w:rsidRPr="190F7DBA">
        <w:rPr>
          <w:rFonts w:ascii="Calibri" w:hAnsi="Calibri" w:cs="Calibri"/>
          <w:color w:val="000000" w:themeColor="text1"/>
        </w:rPr>
        <w:t>y</w:t>
      </w:r>
      <w:r w:rsidR="005B5543" w:rsidRPr="190F7DBA">
        <w:rPr>
          <w:rFonts w:ascii="Calibri" w:hAnsi="Calibri" w:cs="Calibri"/>
          <w:color w:val="000000" w:themeColor="text1"/>
        </w:rPr>
        <w:t xml:space="preserve"> na referenčné údaje tak</w:t>
      </w:r>
      <w:r w:rsidRPr="190F7DBA">
        <w:rPr>
          <w:rFonts w:ascii="Calibri" w:hAnsi="Calibri" w:cs="Calibri"/>
          <w:color w:val="000000" w:themeColor="text1"/>
        </w:rPr>
        <w:t>,</w:t>
      </w:r>
      <w:r w:rsidR="005B5543" w:rsidRPr="190F7DBA">
        <w:rPr>
          <w:rFonts w:ascii="Calibri" w:hAnsi="Calibri" w:cs="Calibri"/>
          <w:color w:val="000000" w:themeColor="text1"/>
        </w:rPr>
        <w:t xml:space="preserve"> že príslušne inštitúcie už nebudú vyžadovať od občanov a podnikateľov údaje, ktorými už štát disponuje v referenčných registroch</w:t>
      </w:r>
      <w:r w:rsidRPr="190F7DBA">
        <w:rPr>
          <w:rFonts w:ascii="Calibri" w:hAnsi="Calibri" w:cs="Calibri"/>
          <w:color w:val="000000" w:themeColor="text1"/>
        </w:rPr>
        <w:t>.</w:t>
      </w:r>
    </w:p>
    <w:p w14:paraId="77CD2261" w14:textId="77777777" w:rsidR="005B5543" w:rsidRPr="004D73C4" w:rsidRDefault="001253C6"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R</w:t>
      </w:r>
      <w:r w:rsidR="005B5543" w:rsidRPr="190F7DBA">
        <w:rPr>
          <w:rFonts w:ascii="Calibri" w:hAnsi="Calibri" w:cs="Calibri"/>
          <w:color w:val="000000" w:themeColor="text1"/>
        </w:rPr>
        <w:t>eduk</w:t>
      </w:r>
      <w:r w:rsidRPr="190F7DBA">
        <w:rPr>
          <w:rFonts w:ascii="Calibri" w:hAnsi="Calibri" w:cs="Calibri"/>
          <w:color w:val="000000" w:themeColor="text1"/>
        </w:rPr>
        <w:t>ovať</w:t>
      </w:r>
      <w:r w:rsidR="005B5543" w:rsidRPr="190F7DBA">
        <w:rPr>
          <w:rFonts w:ascii="Calibri" w:hAnsi="Calibri" w:cs="Calibri"/>
          <w:color w:val="000000" w:themeColor="text1"/>
        </w:rPr>
        <w:t xml:space="preserve"> jednotliv</w:t>
      </w:r>
      <w:r w:rsidRPr="190F7DBA">
        <w:rPr>
          <w:rFonts w:ascii="Calibri" w:hAnsi="Calibri" w:cs="Calibri"/>
          <w:color w:val="000000" w:themeColor="text1"/>
        </w:rPr>
        <w:t>é</w:t>
      </w:r>
      <w:r w:rsidR="005B5543" w:rsidRPr="190F7DBA">
        <w:rPr>
          <w:rFonts w:ascii="Calibri" w:hAnsi="Calibri" w:cs="Calibri"/>
          <w:color w:val="000000" w:themeColor="text1"/>
        </w:rPr>
        <w:t xml:space="preserve"> procesn</w:t>
      </w:r>
      <w:r w:rsidRPr="190F7DBA">
        <w:rPr>
          <w:rFonts w:ascii="Calibri" w:hAnsi="Calibri" w:cs="Calibri"/>
          <w:color w:val="000000" w:themeColor="text1"/>
        </w:rPr>
        <w:t>é</w:t>
      </w:r>
      <w:r w:rsidR="005B5543" w:rsidRPr="190F7DBA">
        <w:rPr>
          <w:rFonts w:ascii="Calibri" w:hAnsi="Calibri" w:cs="Calibri"/>
          <w:color w:val="000000" w:themeColor="text1"/>
        </w:rPr>
        <w:t xml:space="preserve"> krok</w:t>
      </w:r>
      <w:r w:rsidRPr="190F7DBA">
        <w:rPr>
          <w:rFonts w:ascii="Calibri" w:hAnsi="Calibri" w:cs="Calibri"/>
          <w:color w:val="000000" w:themeColor="text1"/>
        </w:rPr>
        <w:t>y v</w:t>
      </w:r>
      <w:r w:rsidR="005B5543" w:rsidRPr="190F7DBA">
        <w:rPr>
          <w:rFonts w:ascii="Calibri" w:hAnsi="Calibri" w:cs="Calibri"/>
          <w:color w:val="000000" w:themeColor="text1"/>
        </w:rPr>
        <w:t xml:space="preserve"> rozsahu formulárov k žiadostiam vzťahujúcich sa k službám a ohláseniam na základe dostupných referenčných údajov</w:t>
      </w:r>
      <w:r w:rsidRPr="190F7DBA">
        <w:rPr>
          <w:rFonts w:ascii="Calibri" w:hAnsi="Calibri" w:cs="Calibri"/>
          <w:color w:val="000000" w:themeColor="text1"/>
        </w:rPr>
        <w:t>.</w:t>
      </w:r>
    </w:p>
    <w:p w14:paraId="13ACEAF0" w14:textId="77777777" w:rsidR="005B5543" w:rsidRPr="004D73C4" w:rsidRDefault="00433BD6" w:rsidP="00236EBE">
      <w:pPr>
        <w:pStyle w:val="Odsekzoznamu"/>
      </w:pPr>
      <w:r>
        <w:t>Do roku 2030</w:t>
      </w:r>
    </w:p>
    <w:p w14:paraId="6BBDAADD" w14:textId="77777777" w:rsidR="00F30A77" w:rsidRPr="004D73C4"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Zavedenie princípu „jedenkrát a dosť“ vo vzťahu ku všetkým „kľúčovým“ údajom verejnej správy s potenciálom na vyhlásenie za referenčné. </w:t>
      </w:r>
    </w:p>
    <w:p w14:paraId="6650CA88" w14:textId="77777777" w:rsidR="00F30A77" w:rsidRPr="004D73C4"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S</w:t>
      </w:r>
      <w:r w:rsidR="00F30A77" w:rsidRPr="190F7DBA">
        <w:rPr>
          <w:rFonts w:ascii="Calibri" w:hAnsi="Calibri" w:cs="Calibri"/>
          <w:color w:val="000000" w:themeColor="text1"/>
        </w:rPr>
        <w:t xml:space="preserve">prístupnenie všetkých kľúčových údajov a z nich vyhlasovaných referenčných údajov. </w:t>
      </w:r>
    </w:p>
    <w:p w14:paraId="4476B320" w14:textId="77777777" w:rsidR="00F30A77" w:rsidRPr="004D73C4"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w:t>
      </w:r>
      <w:r w:rsidR="00F30A77" w:rsidRPr="190F7DBA">
        <w:rPr>
          <w:rFonts w:ascii="Calibri" w:hAnsi="Calibri" w:cs="Calibri"/>
          <w:color w:val="000000" w:themeColor="text1"/>
        </w:rPr>
        <w:t xml:space="preserve">dieľanie, resp. využívanie </w:t>
      </w:r>
      <w:r w:rsidR="1CDDDD6B" w:rsidRPr="190F7DBA">
        <w:rPr>
          <w:rFonts w:ascii="Calibri" w:hAnsi="Calibri" w:cs="Calibri"/>
          <w:color w:val="000000" w:themeColor="text1"/>
        </w:rPr>
        <w:t xml:space="preserve">údajov </w:t>
      </w:r>
      <w:r w:rsidR="00F30A77" w:rsidRPr="190F7DBA">
        <w:rPr>
          <w:rFonts w:ascii="Calibri" w:hAnsi="Calibri" w:cs="Calibri"/>
          <w:color w:val="000000" w:themeColor="text1"/>
        </w:rPr>
        <w:t xml:space="preserve">medzi inštitúciami verejnej správy prostredníctvom tzv. procesu stotožňovania a referencovania údajov. </w:t>
      </w:r>
    </w:p>
    <w:p w14:paraId="18C2A5CC" w14:textId="77777777" w:rsidR="00F30A77" w:rsidRPr="004D73C4" w:rsidRDefault="00F30A77"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Prostredníctvom digitalizácie relevantných ŽS dosiahn</w:t>
      </w:r>
      <w:r w:rsidR="7F809637" w:rsidRPr="190F7DBA">
        <w:rPr>
          <w:rFonts w:ascii="Calibri" w:hAnsi="Calibri" w:cs="Calibri"/>
          <w:color w:val="000000" w:themeColor="text1"/>
        </w:rPr>
        <w:t>uť</w:t>
      </w:r>
      <w:r w:rsidRPr="190F7DBA">
        <w:rPr>
          <w:rFonts w:ascii="Calibri" w:hAnsi="Calibri" w:cs="Calibri"/>
          <w:color w:val="000000" w:themeColor="text1"/>
        </w:rPr>
        <w:t xml:space="preserve"> zmen</w:t>
      </w:r>
      <w:r w:rsidR="005B5543" w:rsidRPr="190F7DBA">
        <w:rPr>
          <w:rFonts w:ascii="Calibri" w:hAnsi="Calibri" w:cs="Calibri"/>
          <w:color w:val="000000" w:themeColor="text1"/>
        </w:rPr>
        <w:t>u</w:t>
      </w:r>
      <w:r w:rsidRPr="190F7DBA">
        <w:rPr>
          <w:rFonts w:ascii="Calibri" w:hAnsi="Calibri" w:cs="Calibri"/>
          <w:color w:val="000000" w:themeColor="text1"/>
        </w:rPr>
        <w:t xml:space="preserve"> súčasného, striktne hierarchického, byrokratického spôsobu rozhodovania o právach a povinnostiach občanov a podnikateľov. </w:t>
      </w:r>
    </w:p>
    <w:p w14:paraId="7E5F4E69" w14:textId="77777777" w:rsidR="00F30A77" w:rsidRPr="004D73C4" w:rsidRDefault="00586330" w:rsidP="00F30A77">
      <w:pPr>
        <w:rPr>
          <w:b/>
          <w:bCs/>
        </w:rPr>
      </w:pPr>
      <w:r w:rsidRPr="004D73C4">
        <w:rPr>
          <w:b/>
        </w:rPr>
        <w:t xml:space="preserve">Opatrenie </w:t>
      </w:r>
      <w:r w:rsidR="00F30A77" w:rsidRPr="004D73C4">
        <w:rPr>
          <w:b/>
        </w:rPr>
        <w:t xml:space="preserve">4 – </w:t>
      </w:r>
      <w:r w:rsidR="00F30A77" w:rsidRPr="004D73C4">
        <w:rPr>
          <w:b/>
          <w:bCs/>
        </w:rPr>
        <w:t xml:space="preserve">Moje údaje </w:t>
      </w:r>
    </w:p>
    <w:p w14:paraId="2950010A" w14:textId="77777777" w:rsidR="00F30A77" w:rsidRPr="004D73C4" w:rsidRDefault="00F30A77" w:rsidP="00F30A77">
      <w:r>
        <w:t xml:space="preserve">Koncept Mojich údajov vo verejnej správe je rozpracovaný len na teoretickej a v praxi neoverenej úrovni, ktorú nie je možné implementovať. Na to, aby koncept mojich údajov mohol byť úspešne implementovaný je potrebné mať </w:t>
      </w:r>
      <w:r w:rsidR="77BDE851">
        <w:t xml:space="preserve">aj </w:t>
      </w:r>
      <w:r>
        <w:t xml:space="preserve">legislatívnu oporu. </w:t>
      </w:r>
    </w:p>
    <w:p w14:paraId="7D44AFE0" w14:textId="77777777" w:rsidR="005B5543" w:rsidRPr="004D73C4" w:rsidRDefault="005B5543" w:rsidP="005B5543">
      <w:pPr>
        <w:rPr>
          <w:i/>
          <w:iCs/>
        </w:rPr>
      </w:pPr>
      <w:r w:rsidRPr="004D73C4">
        <w:rPr>
          <w:i/>
          <w:iCs/>
        </w:rPr>
        <w:t>Iniciatívy:</w:t>
      </w:r>
    </w:p>
    <w:p w14:paraId="4F1C1D02" w14:textId="77777777" w:rsidR="005B5543" w:rsidRPr="00236EBE" w:rsidRDefault="00433BD6" w:rsidP="005B5543">
      <w:pPr>
        <w:pStyle w:val="Odsekzoznamu"/>
      </w:pPr>
      <w:r>
        <w:t>Do roku 2023</w:t>
      </w:r>
    </w:p>
    <w:p w14:paraId="0491C0A7" w14:textId="77777777" w:rsidR="005B5543" w:rsidRPr="00236EBE" w:rsidRDefault="005B5543" w:rsidP="00F06821">
      <w:pPr>
        <w:pStyle w:val="Odsekzoznamu"/>
        <w:numPr>
          <w:ilvl w:val="0"/>
          <w:numId w:val="24"/>
        </w:numPr>
        <w:spacing w:before="120" w:after="0" w:line="240" w:lineRule="auto"/>
        <w:ind w:left="1134"/>
        <w:rPr>
          <w:rFonts w:eastAsiaTheme="minorEastAsia" w:cstheme="minorBidi"/>
          <w:szCs w:val="22"/>
        </w:rPr>
      </w:pPr>
      <w:r>
        <w:t>Sprístupnenie údajov, ktoré boli zaradené medzi moje údaje</w:t>
      </w:r>
      <w:r w:rsidR="3C9FA064">
        <w:t>, cez aplikačné rozhranie v strojovo-spracovateľnom formáte</w:t>
      </w:r>
      <w:r>
        <w:t xml:space="preserve">. </w:t>
      </w:r>
    </w:p>
    <w:p w14:paraId="669881DC" w14:textId="77777777" w:rsidR="005B5543" w:rsidRPr="00236EBE" w:rsidRDefault="05544C63" w:rsidP="00F06821">
      <w:pPr>
        <w:pStyle w:val="Odsekzoznamu"/>
        <w:numPr>
          <w:ilvl w:val="0"/>
          <w:numId w:val="24"/>
        </w:numPr>
        <w:spacing w:before="120" w:after="0" w:line="240" w:lineRule="auto"/>
        <w:ind w:left="1134"/>
        <w:rPr>
          <w:rFonts w:eastAsiaTheme="minorEastAsia" w:cstheme="minorBidi"/>
          <w:szCs w:val="22"/>
        </w:rPr>
      </w:pPr>
      <w:r>
        <w:t>S</w:t>
      </w:r>
      <w:r w:rsidR="005B5543">
        <w:t>pusten</w:t>
      </w:r>
      <w:r w:rsidR="5519AB54">
        <w:t>ie</w:t>
      </w:r>
      <w:r w:rsidR="005B5543">
        <w:t xml:space="preserve"> služb</w:t>
      </w:r>
      <w:r w:rsidR="0940B7BE">
        <w:t>y</w:t>
      </w:r>
      <w:r w:rsidR="005B5543">
        <w:t xml:space="preserve"> Moje dáta</w:t>
      </w:r>
      <w:r w:rsidR="506AE93B">
        <w:t xml:space="preserve"> vrátane</w:t>
      </w:r>
      <w:r w:rsidR="005B5543">
        <w:t xml:space="preserve"> otvorené</w:t>
      </w:r>
      <w:r w:rsidR="64A6BEFB">
        <w:t>ho</w:t>
      </w:r>
      <w:r w:rsidR="005B5543">
        <w:t xml:space="preserve"> API pre vývoj aplikácií</w:t>
      </w:r>
      <w:r w:rsidR="4A4A5E80">
        <w:t xml:space="preserve"> a pre sprístupňovanie mojich údajov od štátu ku občanovi</w:t>
      </w:r>
    </w:p>
    <w:p w14:paraId="03BAC1CC" w14:textId="77777777" w:rsidR="005B5543" w:rsidRPr="004D73C4" w:rsidRDefault="00433BD6" w:rsidP="005B5543">
      <w:pPr>
        <w:pStyle w:val="Odsekzoznamu"/>
      </w:pPr>
      <w:r>
        <w:t>Do roku 2026</w:t>
      </w:r>
      <w:r w:rsidR="53376A52">
        <w:t xml:space="preserve"> </w:t>
      </w:r>
    </w:p>
    <w:p w14:paraId="2EA95FAA" w14:textId="77777777" w:rsidR="005B5543" w:rsidRPr="004D73C4" w:rsidRDefault="005B5543" w:rsidP="00F06821">
      <w:pPr>
        <w:pStyle w:val="Odsekzoznamu"/>
        <w:numPr>
          <w:ilvl w:val="0"/>
          <w:numId w:val="24"/>
        </w:numPr>
        <w:spacing w:before="120" w:after="0" w:line="240" w:lineRule="auto"/>
        <w:ind w:left="1134"/>
      </w:pPr>
      <w:r>
        <w:t xml:space="preserve">Sprístupnenie mojich údajov pre dotknutú osobu za účelom optimalizácie najžiadanejších ŽS z pohľadu občana. </w:t>
      </w:r>
    </w:p>
    <w:p w14:paraId="32C7CB35" w14:textId="77777777" w:rsidR="005B5543" w:rsidRPr="004D73C4" w:rsidRDefault="001253C6" w:rsidP="00F06821">
      <w:pPr>
        <w:pStyle w:val="Odsekzoznamu"/>
        <w:numPr>
          <w:ilvl w:val="0"/>
          <w:numId w:val="24"/>
        </w:numPr>
        <w:spacing w:before="120" w:after="0" w:line="240" w:lineRule="auto"/>
        <w:ind w:left="1134"/>
      </w:pPr>
      <w:r>
        <w:t>Z</w:t>
      </w:r>
      <w:r w:rsidR="005B5543">
        <w:t>aveden</w:t>
      </w:r>
      <w:r>
        <w:t>ie</w:t>
      </w:r>
      <w:r w:rsidR="005B5543">
        <w:t xml:space="preserve"> inteligentn</w:t>
      </w:r>
      <w:r>
        <w:t>ého</w:t>
      </w:r>
      <w:r w:rsidR="005B5543">
        <w:t xml:space="preserve"> asistent</w:t>
      </w:r>
      <w:r>
        <w:t>a</w:t>
      </w:r>
      <w:r w:rsidR="005B5543">
        <w:t xml:space="preserve"> pre riešenia ŽS. </w:t>
      </w:r>
    </w:p>
    <w:p w14:paraId="35CB90EA" w14:textId="77777777" w:rsidR="00BF3BB2" w:rsidRPr="004D73C4" w:rsidRDefault="001253C6" w:rsidP="00F06821">
      <w:pPr>
        <w:pStyle w:val="Odsekzoznamu"/>
        <w:numPr>
          <w:ilvl w:val="0"/>
          <w:numId w:val="24"/>
        </w:numPr>
        <w:spacing w:before="120" w:after="0" w:line="240" w:lineRule="auto"/>
        <w:ind w:left="1134"/>
      </w:pPr>
      <w:r>
        <w:t>S</w:t>
      </w:r>
      <w:r w:rsidR="005B5543">
        <w:t>prístupneni</w:t>
      </w:r>
      <w:r>
        <w:t>e</w:t>
      </w:r>
      <w:r w:rsidR="005B5543">
        <w:t xml:space="preserve"> údajov o zdravotnej starostlivosti cez službu Moje dáta a ich využiti</w:t>
      </w:r>
      <w:r>
        <w:t>e</w:t>
      </w:r>
      <w:r w:rsidR="005B5543">
        <w:t xml:space="preserve"> pre poskytovanie lepších služieb pre občanov (pacientov)</w:t>
      </w:r>
      <w:r w:rsidR="00BF3BB2">
        <w:t>, vrát. zavedenia nástrojov a riešení z oblasti telemedicíny v zdravotníctve.</w:t>
      </w:r>
    </w:p>
    <w:p w14:paraId="5D83209F" w14:textId="4215FD36" w:rsidR="00F30A77" w:rsidRPr="004D73C4" w:rsidRDefault="00433BD6" w:rsidP="00236EBE">
      <w:pPr>
        <w:pStyle w:val="Odsekzoznamu"/>
      </w:pPr>
      <w:r>
        <w:t>Do roku 2030</w:t>
      </w:r>
    </w:p>
    <w:p w14:paraId="0A8755C6" w14:textId="77777777" w:rsidR="00F30A77" w:rsidRPr="004D73C4" w:rsidRDefault="00F30A77" w:rsidP="00F06821">
      <w:pPr>
        <w:pStyle w:val="Odsekzoznamu"/>
        <w:numPr>
          <w:ilvl w:val="0"/>
          <w:numId w:val="24"/>
        </w:numPr>
        <w:spacing w:line="240" w:lineRule="auto"/>
        <w:ind w:left="1134" w:hanging="357"/>
      </w:pPr>
      <w:r>
        <w:t xml:space="preserve">Moje údaje </w:t>
      </w:r>
      <w:r w:rsidR="001253C6">
        <w:t>(</w:t>
      </w:r>
      <w:r>
        <w:t>vo všetkých IS ústredných orgánov štátnej správy, ktoré štát eviduje o dotknutej osobe</w:t>
      </w:r>
      <w:r w:rsidR="001253C6">
        <w:t>)</w:t>
      </w:r>
      <w:r>
        <w:t xml:space="preserve"> budú sprístupnené pre konkrétnu dotknutú osobu. </w:t>
      </w:r>
    </w:p>
    <w:p w14:paraId="67DB98A2" w14:textId="77777777" w:rsidR="007B2A26" w:rsidRDefault="007B2A26" w:rsidP="00F30A77">
      <w:pPr>
        <w:rPr>
          <w:b/>
        </w:rPr>
      </w:pPr>
    </w:p>
    <w:p w14:paraId="04F23086" w14:textId="54DAC59A" w:rsidR="00F30A77" w:rsidRPr="004D73C4" w:rsidRDefault="00586330" w:rsidP="00F30A77">
      <w:pPr>
        <w:rPr>
          <w:b/>
          <w:bCs/>
        </w:rPr>
      </w:pPr>
      <w:r w:rsidRPr="004D73C4">
        <w:rPr>
          <w:b/>
        </w:rPr>
        <w:lastRenderedPageBreak/>
        <w:t xml:space="preserve">Opatrenie </w:t>
      </w:r>
      <w:r w:rsidR="00F30A77" w:rsidRPr="004D73C4">
        <w:rPr>
          <w:b/>
        </w:rPr>
        <w:t xml:space="preserve">5 – </w:t>
      </w:r>
      <w:r w:rsidR="00F30A77" w:rsidRPr="004D73C4">
        <w:rPr>
          <w:b/>
          <w:bCs/>
        </w:rPr>
        <w:t>Analytické údaje</w:t>
      </w:r>
    </w:p>
    <w:p w14:paraId="5A3C42DE" w14:textId="77777777" w:rsidR="00F30A77" w:rsidRPr="004D73C4" w:rsidRDefault="00F30A77" w:rsidP="00F30A77">
      <w:r>
        <w:t>Počas posledných rokov sa postupne rozšíril rozsah techník</w:t>
      </w:r>
      <w:r w:rsidR="52B34DBA">
        <w:t xml:space="preserve"> a</w:t>
      </w:r>
      <w:r>
        <w:t xml:space="preserve"> nov</w:t>
      </w:r>
      <w:r w:rsidR="5715E0BF">
        <w:t>ých</w:t>
      </w:r>
      <w:r>
        <w:t xml:space="preserve"> nástroj</w:t>
      </w:r>
      <w:r w:rsidR="02A0DF03">
        <w:t>ov</w:t>
      </w:r>
      <w:r>
        <w:t xml:space="preserve"> pre analyzovanie údajov ako i nove typy dát a dátových zdrojov.</w:t>
      </w:r>
      <w:r w:rsidR="002D7AD4">
        <w:t xml:space="preserve"> </w:t>
      </w:r>
      <w:r>
        <w:t xml:space="preserve">Pre analytické účely tak bude potrebné centralizovane a systematicky zabezpečiť prístupnosť k analytickým údajom z prostredia verejnej správy a externého prostredia a nastaviť koncept následného využívania vo verejnej správe. Práve tieto skutočnosti sa javia ako kritické pre využitie plného potenciálu analytických údajov a ľudských zdrojov analytických jednotiek. </w:t>
      </w:r>
    </w:p>
    <w:p w14:paraId="54DE35B5" w14:textId="77777777" w:rsidR="005B5543" w:rsidRPr="00236EBE" w:rsidRDefault="005B5543" w:rsidP="005B5543">
      <w:pPr>
        <w:rPr>
          <w:i/>
          <w:iCs/>
        </w:rPr>
      </w:pPr>
      <w:r w:rsidRPr="00236EBE">
        <w:rPr>
          <w:i/>
          <w:iCs/>
        </w:rPr>
        <w:t>Iniciatívy:</w:t>
      </w:r>
    </w:p>
    <w:p w14:paraId="6BBF52A4" w14:textId="77777777" w:rsidR="005B5543" w:rsidRPr="00236EBE" w:rsidRDefault="00433BD6" w:rsidP="005B5543">
      <w:pPr>
        <w:pStyle w:val="Odsekzoznamu"/>
      </w:pPr>
      <w:r>
        <w:t>Do roku 2023</w:t>
      </w:r>
    </w:p>
    <w:p w14:paraId="25D26161" w14:textId="77777777" w:rsidR="005B5543" w:rsidRPr="00236EBE" w:rsidRDefault="005B5543" w:rsidP="00F06821">
      <w:pPr>
        <w:pStyle w:val="Odsekzoznamu"/>
        <w:numPr>
          <w:ilvl w:val="0"/>
          <w:numId w:val="24"/>
        </w:numPr>
        <w:spacing w:before="120" w:after="0" w:line="240" w:lineRule="auto"/>
        <w:ind w:left="1134"/>
      </w:pPr>
      <w:r w:rsidRPr="190F7DBA">
        <w:rPr>
          <w:rFonts w:ascii="Calibri" w:hAnsi="Calibri" w:cs="Calibri"/>
          <w:color w:val="000000" w:themeColor="text1"/>
        </w:rPr>
        <w:t>Vybudov</w:t>
      </w:r>
      <w:r w:rsidR="00677456" w:rsidRPr="190F7DBA">
        <w:rPr>
          <w:rFonts w:ascii="Calibri" w:hAnsi="Calibri" w:cs="Calibri"/>
          <w:color w:val="000000" w:themeColor="text1"/>
        </w:rPr>
        <w:t>ať</w:t>
      </w:r>
      <w:r>
        <w:t xml:space="preserve"> funkčný modul (analytická vrstva) na sprístupňovanie údajov pre analytickú činnosť. V rámci analytickej vrstvy budú integrované významné zdroje dát z verejnej a súkromnej sféry.</w:t>
      </w:r>
      <w:r w:rsidR="00934846">
        <w:t xml:space="preserve"> </w:t>
      </w:r>
    </w:p>
    <w:p w14:paraId="12EE8D33" w14:textId="7D4E945D" w:rsidR="005B5543" w:rsidRPr="00236EBE" w:rsidRDefault="00433BD6" w:rsidP="00586330">
      <w:pPr>
        <w:pStyle w:val="Odsekzoznamu"/>
      </w:pPr>
      <w:r>
        <w:t>Do roku 2026</w:t>
      </w:r>
      <w:r w:rsidR="53376A52">
        <w:t xml:space="preserve"> </w:t>
      </w:r>
    </w:p>
    <w:p w14:paraId="64AB9187" w14:textId="77777777" w:rsidR="005B5543" w:rsidRPr="00236EBE"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Do analytickej vrstvy sa postupne integrujú všetky dostupné zdroje dát, pričom budú prístupné všetkým oprávneným používateľom. </w:t>
      </w:r>
    </w:p>
    <w:p w14:paraId="24FAC422" w14:textId="77777777" w:rsidR="005B5543" w:rsidRPr="00236EBE"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Zavedenie posudzovania vplyvov podporené veľkými dátami (RIA). </w:t>
      </w:r>
    </w:p>
    <w:p w14:paraId="434308E5" w14:textId="77777777" w:rsidR="005B5543" w:rsidRPr="00236EBE" w:rsidRDefault="005B5543"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Pilotné nasadenie konceptu Regulácie 2.0. </w:t>
      </w:r>
    </w:p>
    <w:p w14:paraId="7DB90A09" w14:textId="77777777" w:rsidR="00F30A77" w:rsidRPr="004D73C4" w:rsidRDefault="00433BD6" w:rsidP="00586330">
      <w:pPr>
        <w:pStyle w:val="Odsekzoznamu"/>
      </w:pPr>
      <w:r>
        <w:t>Do roku 2030</w:t>
      </w:r>
    </w:p>
    <w:p w14:paraId="3EC2FB19" w14:textId="77777777" w:rsidR="00F30A77" w:rsidRPr="004D73C4"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Realizácia kompletnej dátovej transformácie úsekov verejnej správy</w:t>
      </w:r>
      <w:r w:rsidR="00677456" w:rsidRPr="190F7DBA">
        <w:rPr>
          <w:rFonts w:ascii="Calibri" w:hAnsi="Calibri" w:cs="Calibri"/>
          <w:color w:val="000000" w:themeColor="text1"/>
        </w:rPr>
        <w:t>.</w:t>
      </w:r>
    </w:p>
    <w:p w14:paraId="5927C36D" w14:textId="77777777" w:rsidR="00677456" w:rsidRPr="004D73C4"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Lepší návrh politík a regulácií vďaka online posudzovaniu vplyvov a využitiu údajov na simulácie vplyvov a testovaniu účinnosti politík. </w:t>
      </w:r>
    </w:p>
    <w:p w14:paraId="6581022A" w14:textId="77777777" w:rsidR="00F30A77" w:rsidRPr="004D73C4"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Lepší dozor a dohľad nad regulovaným prostredím (Regulácie 2.0): využitie údajov pre online monitoring regulovaného prostredia napríklad v procesoch verejného zdravotníctva, pri povoleniach životného prostredia, v podmienkach kontrol inšpektorátov práce, pri sledovaní telekomunikačného trhu, pri sledovaní finančných trhov a</w:t>
      </w:r>
      <w:r w:rsidR="00677456" w:rsidRPr="190F7DBA">
        <w:rPr>
          <w:rFonts w:ascii="Calibri" w:hAnsi="Calibri" w:cs="Calibri"/>
          <w:color w:val="000000" w:themeColor="text1"/>
        </w:rPr>
        <w:t> </w:t>
      </w:r>
      <w:r w:rsidRPr="190F7DBA">
        <w:rPr>
          <w:rFonts w:ascii="Calibri" w:hAnsi="Calibri" w:cs="Calibri"/>
          <w:color w:val="000000" w:themeColor="text1"/>
        </w:rPr>
        <w:t>pod</w:t>
      </w:r>
      <w:r w:rsidR="00677456" w:rsidRPr="190F7DBA">
        <w:rPr>
          <w:rFonts w:ascii="Calibri" w:hAnsi="Calibri" w:cs="Calibri"/>
          <w:color w:val="000000" w:themeColor="text1"/>
        </w:rPr>
        <w:t>.</w:t>
      </w:r>
    </w:p>
    <w:p w14:paraId="213CEFBC" w14:textId="77777777" w:rsidR="00F30A77" w:rsidRPr="004D73C4"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Zavedenie prediktívnych kontrol, napríklad využitie umelej inteligencie v kontrolnej činnosti kontrolných orgánov, v kontrolnej činnosti verejného obstarávania, kontrola čerpania prostriedkov z eurofondov, digitálny audit verejných výdavkov</w:t>
      </w:r>
      <w:r w:rsidR="00677456" w:rsidRPr="190F7DBA">
        <w:rPr>
          <w:rFonts w:ascii="Calibri" w:hAnsi="Calibri" w:cs="Calibri"/>
          <w:color w:val="000000" w:themeColor="text1"/>
        </w:rPr>
        <w:t>.</w:t>
      </w:r>
    </w:p>
    <w:p w14:paraId="39C5B70B" w14:textId="77777777" w:rsidR="00F30A77" w:rsidRPr="004D73C4"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Automatizácia spracovania podaní, vďaka preskúmaniu podkladov a ich úvodného vyhodnotenia strojovo, napríklad pri podávaní žalôb, žiadostí o stavebné konanie a podobne. Zavádzanie automatizovanej obsluhy (cez nástroje umelej inteligencie alebo osobných asistentov pri využití hlasového rozhrania).</w:t>
      </w:r>
    </w:p>
    <w:p w14:paraId="710C003A" w14:textId="77777777" w:rsidR="00F30A77" w:rsidRPr="004D73C4" w:rsidRDefault="00F30A7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Plánovanie budúcich kapacít, na základe simulácie budúceho dopytu po verejných službách, napríklad počet miest v škôlkach, počet lôžok v nemocniciach, počet úradníkov.</w:t>
      </w:r>
    </w:p>
    <w:p w14:paraId="7471AC1A" w14:textId="77777777" w:rsidR="00F30A77" w:rsidRPr="004D73C4" w:rsidRDefault="00F30A77" w:rsidP="00F06821">
      <w:pPr>
        <w:pStyle w:val="Odsekzoznamu"/>
        <w:numPr>
          <w:ilvl w:val="0"/>
          <w:numId w:val="24"/>
        </w:numPr>
        <w:spacing w:line="240" w:lineRule="auto"/>
        <w:ind w:left="1134" w:hanging="357"/>
      </w:pPr>
      <w:r w:rsidRPr="190F7DBA">
        <w:rPr>
          <w:rFonts w:ascii="Calibri" w:hAnsi="Calibri" w:cs="Calibri"/>
          <w:color w:val="000000" w:themeColor="text1"/>
        </w:rPr>
        <w:t>Zvýšenie výkonnosti vnútorných procesov: Využitie umelej inteligencie pre manažment ľudských zdrojov a celkové riadenie organizácie a jej výkonnosti</w:t>
      </w:r>
      <w:r w:rsidR="00677456" w:rsidRPr="190F7DBA">
        <w:rPr>
          <w:rFonts w:ascii="Calibri" w:hAnsi="Calibri" w:cs="Calibri"/>
          <w:color w:val="000000" w:themeColor="text1"/>
        </w:rPr>
        <w:t>.</w:t>
      </w:r>
    </w:p>
    <w:p w14:paraId="47E4452D" w14:textId="77777777" w:rsidR="00F30A77" w:rsidRPr="004D73C4" w:rsidRDefault="00586330" w:rsidP="00F30A77">
      <w:pPr>
        <w:rPr>
          <w:b/>
          <w:bCs/>
        </w:rPr>
      </w:pPr>
      <w:r w:rsidRPr="004D73C4">
        <w:rPr>
          <w:b/>
        </w:rPr>
        <w:t xml:space="preserve">Opatrenie </w:t>
      </w:r>
      <w:r w:rsidR="00F30A77" w:rsidRPr="004D73C4">
        <w:rPr>
          <w:b/>
        </w:rPr>
        <w:t xml:space="preserve">6 – </w:t>
      </w:r>
      <w:r w:rsidR="00F30A77" w:rsidRPr="004D73C4">
        <w:rPr>
          <w:b/>
          <w:bCs/>
        </w:rPr>
        <w:t>Otvorené údaje</w:t>
      </w:r>
    </w:p>
    <w:p w14:paraId="1B3EA033" w14:textId="77777777" w:rsidR="00F30A77" w:rsidRPr="004D73C4" w:rsidRDefault="00F30A77" w:rsidP="00F30A77">
      <w:r>
        <w:t xml:space="preserve">Množstvo požadovaných otvorených údajov chýba. </w:t>
      </w:r>
      <w:r w:rsidR="0C22A2B5">
        <w:t>B</w:t>
      </w:r>
      <w:r>
        <w:t>ude potrebné zabezpečiť jednotný manažment kvality otvorených údajov a riadenie ich opakovaného použitia. OVM sa budú pri publikovaní otvorených údajov riadiť všeobecne záväznými právnymi predpismi upravujúcimi najmä dátové štandardy, a tiež spoločnou metodikou.</w:t>
      </w:r>
      <w:r w:rsidR="002D7AD4">
        <w:t xml:space="preserve"> </w:t>
      </w:r>
    </w:p>
    <w:p w14:paraId="4C9477A1" w14:textId="3DDC5ED4" w:rsidR="00586330" w:rsidRPr="004D73C4" w:rsidRDefault="00586330" w:rsidP="00586330">
      <w:pPr>
        <w:rPr>
          <w:i/>
          <w:iCs/>
        </w:rPr>
      </w:pPr>
      <w:r w:rsidRPr="004D73C4">
        <w:rPr>
          <w:i/>
          <w:iCs/>
        </w:rPr>
        <w:t>Iniciatívy:</w:t>
      </w:r>
    </w:p>
    <w:p w14:paraId="76BE30AE" w14:textId="77777777" w:rsidR="00586330" w:rsidRPr="00236EBE" w:rsidRDefault="00433BD6" w:rsidP="00586330">
      <w:pPr>
        <w:pStyle w:val="Odsekzoznamu"/>
      </w:pPr>
      <w:r>
        <w:t>Do roku 2023</w:t>
      </w:r>
    </w:p>
    <w:p w14:paraId="795E7134"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Všetky údaje verejnej správy, ktoré je povinné zverejni</w:t>
      </w:r>
      <w:r w:rsidR="2A19FA7F" w:rsidRPr="190F7DBA">
        <w:rPr>
          <w:rFonts w:ascii="Calibri" w:hAnsi="Calibri" w:cs="Calibri"/>
          <w:color w:val="000000" w:themeColor="text1"/>
        </w:rPr>
        <w:t>ť</w:t>
      </w:r>
      <w:r w:rsidR="00677456" w:rsidRPr="190F7DBA">
        <w:rPr>
          <w:rFonts w:ascii="Calibri" w:hAnsi="Calibri" w:cs="Calibri"/>
          <w:color w:val="000000" w:themeColor="text1"/>
        </w:rPr>
        <w:t>,</w:t>
      </w:r>
      <w:r w:rsidRPr="190F7DBA">
        <w:rPr>
          <w:rFonts w:ascii="Calibri" w:hAnsi="Calibri" w:cs="Calibri"/>
          <w:color w:val="000000" w:themeColor="text1"/>
        </w:rPr>
        <w:t xml:space="preserve"> sú zverejnené na centrálnom portáli otvorených údajov v akomkoľvek formáte (podľa výnosu o štandardoch). </w:t>
      </w:r>
    </w:p>
    <w:p w14:paraId="3729CA9B"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6CAFDB33">
        <w:rPr>
          <w:rFonts w:ascii="Calibri" w:hAnsi="Calibri" w:cs="Calibri"/>
          <w:color w:val="000000"/>
        </w:rPr>
        <w:lastRenderedPageBreak/>
        <w:t>Poskytovanie strojového spracovania, vyhľadávania, harvestovania (zberu) metadát</w:t>
      </w:r>
      <w:r w:rsidRPr="6CAFDB33">
        <w:rPr>
          <w:rFonts w:ascii="Calibri" w:hAnsi="Calibri" w:cs="Calibri"/>
          <w:color w:val="000000"/>
          <w:vertAlign w:val="superscript"/>
        </w:rPr>
        <w:footnoteReference w:id="8"/>
      </w:r>
      <w:r w:rsidRPr="6CAFDB33">
        <w:rPr>
          <w:rFonts w:ascii="Calibri" w:hAnsi="Calibri" w:cs="Calibri"/>
          <w:color w:val="000000"/>
        </w:rPr>
        <w:t xml:space="preserve">) publikovaných otvorených údajov na centrálnom portáli. </w:t>
      </w:r>
    </w:p>
    <w:p w14:paraId="594E79BE"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Sprístupnenie otvorených údajov z centrálneho portálu otvorených údajov (data.gov.sk) prostredníctvom dereferenciácie zdrojov. </w:t>
      </w:r>
    </w:p>
    <w:p w14:paraId="32A15B45"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Publik</w:t>
      </w:r>
      <w:r w:rsidR="00677456" w:rsidRPr="190F7DBA">
        <w:rPr>
          <w:rFonts w:ascii="Calibri" w:hAnsi="Calibri" w:cs="Calibri"/>
          <w:color w:val="000000" w:themeColor="text1"/>
        </w:rPr>
        <w:t>ovanie</w:t>
      </w:r>
      <w:r w:rsidRPr="190F7DBA">
        <w:rPr>
          <w:rFonts w:ascii="Calibri" w:hAnsi="Calibri" w:cs="Calibri"/>
          <w:color w:val="000000" w:themeColor="text1"/>
        </w:rPr>
        <w:t xml:space="preserve"> otvorených údajov v najvyššej úrovni interoperability (5</w:t>
      </w:r>
      <w:r w:rsidRPr="190F7DBA">
        <w:rPr>
          <w:rFonts w:ascii="Segoe UI Symbol" w:hAnsi="Segoe UI Symbol" w:cs="Segoe UI Symbol"/>
          <w:color w:val="000000" w:themeColor="text1"/>
        </w:rPr>
        <w:t>★</w:t>
      </w:r>
      <w:r w:rsidRPr="190F7DBA">
        <w:rPr>
          <w:rFonts w:ascii="Calibri" w:hAnsi="Calibri" w:cs="Calibri"/>
          <w:color w:val="000000" w:themeColor="text1"/>
        </w:rPr>
        <w:t xml:space="preserve">) v rozsahu publikačného minima orgánu verejnej správy spolu so všetkými súvisiacimi číselníkmi a hierarchiami. </w:t>
      </w:r>
    </w:p>
    <w:p w14:paraId="73373975"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Publik</w:t>
      </w:r>
      <w:r w:rsidR="00677456" w:rsidRPr="190F7DBA">
        <w:rPr>
          <w:rFonts w:ascii="Calibri" w:hAnsi="Calibri" w:cs="Calibri"/>
          <w:color w:val="000000" w:themeColor="text1"/>
        </w:rPr>
        <w:t>ovanie</w:t>
      </w:r>
      <w:r w:rsidRPr="190F7DBA">
        <w:rPr>
          <w:rFonts w:ascii="Calibri" w:hAnsi="Calibri" w:cs="Calibri"/>
          <w:color w:val="000000" w:themeColor="text1"/>
        </w:rPr>
        <w:t xml:space="preserve"> dátových štandardov v najvyššej úrovni interoperability (5</w:t>
      </w:r>
      <w:r w:rsidRPr="190F7DBA">
        <w:rPr>
          <w:rFonts w:ascii="Segoe UI Symbol" w:hAnsi="Segoe UI Symbol" w:cs="Segoe UI Symbol"/>
          <w:color w:val="000000" w:themeColor="text1"/>
        </w:rPr>
        <w:t>★</w:t>
      </w:r>
      <w:r w:rsidRPr="190F7DBA">
        <w:rPr>
          <w:rFonts w:ascii="Calibri" w:hAnsi="Calibri" w:cs="Calibri"/>
          <w:color w:val="000000" w:themeColor="text1"/>
        </w:rPr>
        <w:t>) na portáli otvorených údajov prostredníctvom automatizovanej podpory MetaIS.</w:t>
      </w:r>
    </w:p>
    <w:p w14:paraId="28A44414"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Implement</w:t>
      </w:r>
      <w:r w:rsidR="00677456" w:rsidRPr="190F7DBA">
        <w:rPr>
          <w:rFonts w:ascii="Calibri" w:hAnsi="Calibri" w:cs="Calibri"/>
          <w:color w:val="000000" w:themeColor="text1"/>
        </w:rPr>
        <w:t>ácia</w:t>
      </w:r>
      <w:r w:rsidRPr="190F7DBA">
        <w:rPr>
          <w:rFonts w:ascii="Calibri" w:hAnsi="Calibri" w:cs="Calibri"/>
          <w:color w:val="000000" w:themeColor="text1"/>
        </w:rPr>
        <w:t xml:space="preserve"> dátov</w:t>
      </w:r>
      <w:r w:rsidR="00677456" w:rsidRPr="190F7DBA">
        <w:rPr>
          <w:rFonts w:ascii="Calibri" w:hAnsi="Calibri" w:cs="Calibri"/>
          <w:color w:val="000000" w:themeColor="text1"/>
        </w:rPr>
        <w:t>ého</w:t>
      </w:r>
      <w:r w:rsidRPr="190F7DBA">
        <w:rPr>
          <w:rFonts w:ascii="Calibri" w:hAnsi="Calibri" w:cs="Calibri"/>
          <w:color w:val="000000" w:themeColor="text1"/>
        </w:rPr>
        <w:t xml:space="preserve"> model</w:t>
      </w:r>
      <w:r w:rsidR="00677456" w:rsidRPr="190F7DBA">
        <w:rPr>
          <w:rFonts w:ascii="Calibri" w:hAnsi="Calibri" w:cs="Calibri"/>
          <w:color w:val="000000" w:themeColor="text1"/>
        </w:rPr>
        <w:t>u</w:t>
      </w:r>
      <w:r w:rsidRPr="190F7DBA">
        <w:rPr>
          <w:rFonts w:ascii="Calibri" w:hAnsi="Calibri" w:cs="Calibri"/>
          <w:color w:val="000000" w:themeColor="text1"/>
        </w:rPr>
        <w:t xml:space="preserve"> verejnej správy, spĺňajúc</w:t>
      </w:r>
      <w:r w:rsidR="00677456" w:rsidRPr="190F7DBA">
        <w:rPr>
          <w:rFonts w:ascii="Calibri" w:hAnsi="Calibri" w:cs="Calibri"/>
          <w:color w:val="000000" w:themeColor="text1"/>
        </w:rPr>
        <w:t>eho</w:t>
      </w:r>
      <w:r w:rsidRPr="190F7DBA">
        <w:rPr>
          <w:rFonts w:ascii="Calibri" w:hAnsi="Calibri" w:cs="Calibri"/>
          <w:color w:val="000000" w:themeColor="text1"/>
        </w:rPr>
        <w:t xml:space="preserve"> aj štandardy otvorených prelinkovaných údajov a pravidlá sémantickej a syntaktickej interoperability.</w:t>
      </w:r>
    </w:p>
    <w:p w14:paraId="40D46F6F" w14:textId="4B738E51" w:rsidR="00586330" w:rsidRPr="004D73C4" w:rsidRDefault="00433BD6" w:rsidP="00586330">
      <w:pPr>
        <w:pStyle w:val="Odsekzoznamu"/>
      </w:pPr>
      <w:r>
        <w:t>Do roku 2026</w:t>
      </w:r>
      <w:r w:rsidR="2B1176FC">
        <w:t xml:space="preserve"> </w:t>
      </w:r>
    </w:p>
    <w:p w14:paraId="30C3C9B2" w14:textId="77777777" w:rsidR="00586330" w:rsidRPr="004D73C4"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Všetky údaje verejnej správy, ktoré je povinné zverejniť otvoreným spôsobom</w:t>
      </w:r>
      <w:r w:rsidR="634B4418" w:rsidRPr="190F7DBA">
        <w:rPr>
          <w:rFonts w:ascii="Calibri" w:hAnsi="Calibri" w:cs="Calibri"/>
          <w:color w:val="000000" w:themeColor="text1"/>
        </w:rPr>
        <w:t xml:space="preserve">, </w:t>
      </w:r>
      <w:r w:rsidRPr="190F7DBA">
        <w:rPr>
          <w:rFonts w:ascii="Calibri" w:hAnsi="Calibri" w:cs="Calibri"/>
          <w:color w:val="000000" w:themeColor="text1"/>
        </w:rPr>
        <w:t>sú zverejnené na centrálnom portáli otvorených údajov minimálne na úrovni 3</w:t>
      </w:r>
      <w:r w:rsidRPr="190F7DBA">
        <w:rPr>
          <w:rFonts w:ascii="Segoe UI Symbol" w:hAnsi="Segoe UI Symbol" w:cs="Segoe UI Symbol"/>
          <w:color w:val="000000" w:themeColor="text1"/>
        </w:rPr>
        <w:t>★</w:t>
      </w:r>
      <w:r w:rsidRPr="190F7DBA">
        <w:rPr>
          <w:rFonts w:ascii="Calibri" w:hAnsi="Calibri" w:cs="Calibri"/>
          <w:color w:val="000000" w:themeColor="text1"/>
        </w:rPr>
        <w:t xml:space="preserve">. </w:t>
      </w:r>
    </w:p>
    <w:p w14:paraId="621D795E" w14:textId="77777777" w:rsidR="00586330" w:rsidRPr="004D73C4"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Automatizovan</w:t>
      </w:r>
      <w:r w:rsidR="00677456" w:rsidRPr="190F7DBA">
        <w:rPr>
          <w:rFonts w:ascii="Calibri" w:hAnsi="Calibri" w:cs="Calibri"/>
          <w:color w:val="000000" w:themeColor="text1"/>
        </w:rPr>
        <w:t>é</w:t>
      </w:r>
      <w:r w:rsidRPr="190F7DBA">
        <w:rPr>
          <w:rFonts w:ascii="Calibri" w:hAnsi="Calibri" w:cs="Calibri"/>
          <w:color w:val="000000" w:themeColor="text1"/>
        </w:rPr>
        <w:t xml:space="preserve"> publik</w:t>
      </w:r>
      <w:r w:rsidR="00677456" w:rsidRPr="190F7DBA">
        <w:rPr>
          <w:rFonts w:ascii="Calibri" w:hAnsi="Calibri" w:cs="Calibri"/>
          <w:color w:val="000000" w:themeColor="text1"/>
        </w:rPr>
        <w:t>ovanie</w:t>
      </w:r>
      <w:r w:rsidRPr="190F7DBA">
        <w:rPr>
          <w:rFonts w:ascii="Calibri" w:hAnsi="Calibri" w:cs="Calibri"/>
          <w:color w:val="000000" w:themeColor="text1"/>
        </w:rPr>
        <w:t xml:space="preserve"> vybraných</w:t>
      </w:r>
      <w:r w:rsidR="6B947C8C" w:rsidRPr="190F7DBA">
        <w:rPr>
          <w:rFonts w:ascii="Calibri" w:hAnsi="Calibri" w:cs="Calibri"/>
          <w:color w:val="000000" w:themeColor="text1"/>
        </w:rPr>
        <w:t xml:space="preserve"> </w:t>
      </w:r>
      <w:r w:rsidRPr="190F7DBA">
        <w:rPr>
          <w:rFonts w:ascii="Calibri" w:hAnsi="Calibri" w:cs="Calibri"/>
          <w:color w:val="000000" w:themeColor="text1"/>
        </w:rPr>
        <w:t>otvorených údajov z referenčných registrov spolu so všetkými súvisiacimi číselníkmi a hierarchiami v kvalite 5</w:t>
      </w:r>
      <w:r w:rsidRPr="190F7DBA">
        <w:rPr>
          <w:rFonts w:ascii="Segoe UI Symbol" w:hAnsi="Segoe UI Symbol" w:cs="Segoe UI Symbol"/>
          <w:color w:val="000000" w:themeColor="text1"/>
        </w:rPr>
        <w:t>★</w:t>
      </w:r>
      <w:r w:rsidRPr="190F7DBA">
        <w:rPr>
          <w:rFonts w:ascii="Calibri" w:hAnsi="Calibri" w:cs="Calibri"/>
          <w:color w:val="000000" w:themeColor="text1"/>
        </w:rPr>
        <w:t xml:space="preserve">. </w:t>
      </w:r>
    </w:p>
    <w:p w14:paraId="1FC604D6" w14:textId="77777777" w:rsidR="00586330" w:rsidRPr="004D73C4" w:rsidRDefault="00433BD6" w:rsidP="00236EBE">
      <w:pPr>
        <w:pStyle w:val="Odsekzoznamu"/>
      </w:pPr>
      <w:r>
        <w:t>Do roku 2030</w:t>
      </w:r>
    </w:p>
    <w:p w14:paraId="3EECEC0D" w14:textId="3F12CE85" w:rsidR="00433BD6" w:rsidRPr="003A25C2" w:rsidRDefault="00586330" w:rsidP="00F06821">
      <w:pPr>
        <w:pStyle w:val="Odsekzoznamu"/>
        <w:numPr>
          <w:ilvl w:val="0"/>
          <w:numId w:val="24"/>
        </w:numPr>
        <w:spacing w:before="120" w:after="0" w:line="240" w:lineRule="auto"/>
        <w:ind w:left="1134"/>
      </w:pPr>
      <w:r w:rsidRPr="007B2A26">
        <w:rPr>
          <w:rFonts w:ascii="Calibri" w:hAnsi="Calibri" w:cs="Calibri"/>
          <w:color w:val="000000" w:themeColor="text1"/>
        </w:rPr>
        <w:t>Všetky</w:t>
      </w:r>
      <w:r>
        <w:t xml:space="preserve"> referenčné registre publikujú svoje verejne sprístupniteľné údaje otvoreným spôsobom vo formáte s najvyšším stupňom interoperability (5★) na centrálnom portáli otvorených údajov. </w:t>
      </w:r>
    </w:p>
    <w:p w14:paraId="222882B8" w14:textId="77777777" w:rsidR="00F30A77" w:rsidRPr="004D73C4" w:rsidRDefault="00586330" w:rsidP="00F30A77">
      <w:pPr>
        <w:rPr>
          <w:b/>
        </w:rPr>
      </w:pPr>
      <w:r w:rsidRPr="004D73C4">
        <w:rPr>
          <w:b/>
        </w:rPr>
        <w:t xml:space="preserve">Opatrenie </w:t>
      </w:r>
      <w:r w:rsidR="00F30A77" w:rsidRPr="004D73C4">
        <w:rPr>
          <w:b/>
        </w:rPr>
        <w:t xml:space="preserve">7 </w:t>
      </w:r>
      <w:r w:rsidRPr="004D73C4">
        <w:rPr>
          <w:b/>
        </w:rPr>
        <w:t xml:space="preserve">– </w:t>
      </w:r>
      <w:r w:rsidR="00F30A77" w:rsidRPr="004D73C4">
        <w:rPr>
          <w:b/>
        </w:rPr>
        <w:t>Dátová legislatíva</w:t>
      </w:r>
    </w:p>
    <w:p w14:paraId="072B9813" w14:textId="77777777" w:rsidR="00F30A77" w:rsidRPr="004D73C4" w:rsidRDefault="00F30A77" w:rsidP="00F06821">
      <w:pPr>
        <w:pStyle w:val="Odsekzoznamu"/>
        <w:numPr>
          <w:ilvl w:val="0"/>
          <w:numId w:val="1"/>
        </w:numPr>
        <w:rPr>
          <w:rFonts w:eastAsiaTheme="minorEastAsia" w:cstheme="minorBidi"/>
          <w:szCs w:val="22"/>
        </w:rPr>
      </w:pPr>
      <w:r>
        <w:t xml:space="preserve">Základná právna úprava oblasti údajov je prijatá, resp. </w:t>
      </w:r>
      <w:r w:rsidR="51A41752">
        <w:t xml:space="preserve">je v súčasnosti </w:t>
      </w:r>
      <w:r>
        <w:t>v legislatívnom procese</w:t>
      </w:r>
      <w:r w:rsidR="104FFE6D">
        <w:t xml:space="preserve"> (zákon</w:t>
      </w:r>
      <w:r w:rsidR="22F7771D">
        <w:t xml:space="preserve"> o e-Governmente</w:t>
      </w:r>
      <w:r w:rsidR="53B86C74">
        <w:t>, z</w:t>
      </w:r>
      <w:r w:rsidR="22F7771D">
        <w:t>ákon proti byrokracii</w:t>
      </w:r>
      <w:r w:rsidR="6E4B0EE7">
        <w:t>, z</w:t>
      </w:r>
      <w:r w:rsidR="22F7771D">
        <w:t xml:space="preserve">ákon o ITVS a </w:t>
      </w:r>
      <w:r w:rsidR="0A6D9A2B">
        <w:t>p</w:t>
      </w:r>
      <w:r w:rsidR="22F7771D">
        <w:t xml:space="preserve">ripravený </w:t>
      </w:r>
      <w:r w:rsidR="4F8BEB03">
        <w:t xml:space="preserve">je </w:t>
      </w:r>
      <w:r w:rsidR="22F7771D">
        <w:t>návrh zákona o údajoch</w:t>
      </w:r>
      <w:r w:rsidR="291EB1BA">
        <w:t>)</w:t>
      </w:r>
      <w:r w:rsidR="22F7771D">
        <w:t xml:space="preserve">. </w:t>
      </w:r>
    </w:p>
    <w:p w14:paraId="2E75D277" w14:textId="77777777" w:rsidR="00586330" w:rsidRPr="004D73C4" w:rsidRDefault="00586330" w:rsidP="00586330">
      <w:pPr>
        <w:rPr>
          <w:i/>
          <w:iCs/>
        </w:rPr>
      </w:pPr>
      <w:r w:rsidRPr="004D73C4">
        <w:rPr>
          <w:i/>
          <w:iCs/>
        </w:rPr>
        <w:t>Iniciatívy:</w:t>
      </w:r>
    </w:p>
    <w:p w14:paraId="7917F698" w14:textId="77777777" w:rsidR="00586330" w:rsidRPr="00236EBE" w:rsidRDefault="00433BD6" w:rsidP="00586330">
      <w:pPr>
        <w:pStyle w:val="Odsekzoznamu"/>
      </w:pPr>
      <w:r>
        <w:t>Do roku 2023</w:t>
      </w:r>
      <w:r w:rsidR="2B1176FC">
        <w:t xml:space="preserve"> </w:t>
      </w:r>
    </w:p>
    <w:p w14:paraId="275C1D7B"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Komplexná právna analýza predpisov na úseku informatizácie verejnej správy a tiež vytvorenia efektívneho mechanizmu „opatrení na nápravu“ (najmä systému kontroly, prípadne sankcií)</w:t>
      </w:r>
      <w:r w:rsidR="00677456" w:rsidRPr="190F7DBA">
        <w:rPr>
          <w:rFonts w:ascii="Calibri" w:hAnsi="Calibri" w:cs="Calibri"/>
          <w:color w:val="000000" w:themeColor="text1"/>
        </w:rPr>
        <w:t>.</w:t>
      </w:r>
    </w:p>
    <w:p w14:paraId="13E3BFB1" w14:textId="77777777" w:rsidR="00586330" w:rsidRPr="00236EBE" w:rsidRDefault="00433BD6" w:rsidP="00586330">
      <w:pPr>
        <w:pStyle w:val="Odsekzoznamu"/>
      </w:pPr>
      <w:r>
        <w:t>Do roku 2026</w:t>
      </w:r>
      <w:r w:rsidR="2B1176FC">
        <w:t xml:space="preserve"> </w:t>
      </w:r>
    </w:p>
    <w:p w14:paraId="233DB222" w14:textId="77777777" w:rsidR="00686F04" w:rsidRPr="00236EBE" w:rsidRDefault="00686F04"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Úprava osobitných právnych predpisov s cieľom odstrániť prekážky napĺňania konceptov obsiahnutých v zákone o údajoch, a tiež konceptu Stop byrokracii.</w:t>
      </w:r>
    </w:p>
    <w:p w14:paraId="10E78B1C"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Prijatie novelizácie zákona o údajoch reagujúcej na nové koncepty na úrovni EÚ</w:t>
      </w:r>
      <w:r w:rsidR="6C7670D5" w:rsidRPr="190F7DBA">
        <w:rPr>
          <w:rFonts w:ascii="Calibri" w:hAnsi="Calibri" w:cs="Calibri"/>
          <w:color w:val="000000" w:themeColor="text1"/>
        </w:rPr>
        <w:t xml:space="preserve"> a vývoj v rámci SR.</w:t>
      </w:r>
      <w:r w:rsidRPr="190F7DBA">
        <w:rPr>
          <w:rFonts w:ascii="Calibri" w:hAnsi="Calibri" w:cs="Calibri"/>
          <w:color w:val="000000" w:themeColor="text1"/>
        </w:rPr>
        <w:t xml:space="preserve"> </w:t>
      </w:r>
    </w:p>
    <w:p w14:paraId="1DD072F6" w14:textId="77777777" w:rsidR="00586330" w:rsidRPr="00236EBE" w:rsidRDefault="00586330"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Prehlbovanie konceptu „stop byrokracii“ rozširovaním zákona proti byrokracii na ďalšie </w:t>
      </w:r>
      <w:r w:rsidR="00686F04" w:rsidRPr="190F7DBA">
        <w:rPr>
          <w:rFonts w:ascii="Calibri" w:hAnsi="Calibri" w:cs="Calibri"/>
          <w:color w:val="000000" w:themeColor="text1"/>
        </w:rPr>
        <w:t xml:space="preserve">ISVS </w:t>
      </w:r>
      <w:r w:rsidRPr="190F7DBA">
        <w:rPr>
          <w:rFonts w:ascii="Calibri" w:hAnsi="Calibri" w:cs="Calibri"/>
          <w:color w:val="000000" w:themeColor="text1"/>
        </w:rPr>
        <w:t>a v nich obsiahnuté registre pre dôslednú elektronizáciu služieb pre občana</w:t>
      </w:r>
      <w:r>
        <w:t>.</w:t>
      </w:r>
    </w:p>
    <w:p w14:paraId="60D70D46" w14:textId="77777777" w:rsidR="00F30A77" w:rsidRPr="00236EBE" w:rsidRDefault="00433BD6" w:rsidP="00586330">
      <w:pPr>
        <w:pStyle w:val="Odsekzoznamu"/>
      </w:pPr>
      <w:r>
        <w:t>Do roku 2030</w:t>
      </w:r>
      <w:r w:rsidR="22F7771D">
        <w:t xml:space="preserve"> </w:t>
      </w:r>
    </w:p>
    <w:p w14:paraId="35252254" w14:textId="77777777" w:rsidR="00F30A77" w:rsidRPr="00236EBE" w:rsidRDefault="00686F04"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E</w:t>
      </w:r>
      <w:r w:rsidR="00F30A77" w:rsidRPr="190F7DBA">
        <w:rPr>
          <w:rFonts w:ascii="Calibri" w:hAnsi="Calibri" w:cs="Calibri"/>
          <w:color w:val="000000" w:themeColor="text1"/>
        </w:rPr>
        <w:t>lektroniz</w:t>
      </w:r>
      <w:r w:rsidRPr="190F7DBA">
        <w:rPr>
          <w:rFonts w:ascii="Calibri" w:hAnsi="Calibri" w:cs="Calibri"/>
          <w:color w:val="000000" w:themeColor="text1"/>
        </w:rPr>
        <w:t>ácia</w:t>
      </w:r>
      <w:r w:rsidR="00F30A77" w:rsidRPr="190F7DBA">
        <w:rPr>
          <w:rFonts w:ascii="Calibri" w:hAnsi="Calibri" w:cs="Calibri"/>
          <w:color w:val="000000" w:themeColor="text1"/>
        </w:rPr>
        <w:t xml:space="preserve"> </w:t>
      </w:r>
      <w:r w:rsidRPr="190F7DBA">
        <w:rPr>
          <w:rFonts w:ascii="Calibri" w:hAnsi="Calibri" w:cs="Calibri"/>
          <w:color w:val="000000" w:themeColor="text1"/>
        </w:rPr>
        <w:t xml:space="preserve">procesov a konaní orgánov verejnej moci </w:t>
      </w:r>
      <w:r w:rsidR="00F30A77" w:rsidRPr="190F7DBA">
        <w:rPr>
          <w:rFonts w:ascii="Calibri" w:hAnsi="Calibri" w:cs="Calibri"/>
          <w:color w:val="000000" w:themeColor="text1"/>
        </w:rPr>
        <w:t>v súlade s princípmi e-Gov Benchmarku s dôsledným využitím legislatívne zakotvených spoločných modulov, elektronických schránok i mobilných aplikácií.</w:t>
      </w:r>
    </w:p>
    <w:p w14:paraId="6CA2B991" w14:textId="77777777" w:rsidR="00250001" w:rsidRPr="00236EBE" w:rsidRDefault="00686F04" w:rsidP="00F06821">
      <w:pPr>
        <w:pStyle w:val="Odsekzoznamu"/>
        <w:numPr>
          <w:ilvl w:val="0"/>
          <w:numId w:val="24"/>
        </w:numPr>
        <w:spacing w:before="120" w:line="240" w:lineRule="auto"/>
        <w:ind w:left="1134" w:hanging="357"/>
        <w:rPr>
          <w:rFonts w:ascii="Calibri" w:hAnsi="Calibri" w:cs="Calibri"/>
          <w:color w:val="000000"/>
        </w:rPr>
      </w:pPr>
      <w:r w:rsidRPr="190F7DBA">
        <w:rPr>
          <w:rFonts w:ascii="Calibri" w:hAnsi="Calibri" w:cs="Calibri"/>
          <w:color w:val="000000" w:themeColor="text1"/>
        </w:rPr>
        <w:t>V</w:t>
      </w:r>
      <w:r w:rsidR="00F30A77" w:rsidRPr="190F7DBA">
        <w:rPr>
          <w:rFonts w:ascii="Calibri" w:hAnsi="Calibri" w:cs="Calibri"/>
          <w:color w:val="000000" w:themeColor="text1"/>
        </w:rPr>
        <w:t>yuž</w:t>
      </w:r>
      <w:r w:rsidRPr="190F7DBA">
        <w:rPr>
          <w:rFonts w:ascii="Calibri" w:hAnsi="Calibri" w:cs="Calibri"/>
          <w:color w:val="000000" w:themeColor="text1"/>
        </w:rPr>
        <w:t>ívanie</w:t>
      </w:r>
      <w:r w:rsidR="00F30A77" w:rsidRPr="190F7DBA">
        <w:rPr>
          <w:rFonts w:ascii="Calibri" w:hAnsi="Calibri" w:cs="Calibri"/>
          <w:color w:val="000000" w:themeColor="text1"/>
        </w:rPr>
        <w:t xml:space="preserve"> AI </w:t>
      </w:r>
      <w:r w:rsidRPr="190F7DBA">
        <w:rPr>
          <w:rFonts w:ascii="Calibri" w:hAnsi="Calibri" w:cs="Calibri"/>
          <w:color w:val="000000" w:themeColor="text1"/>
        </w:rPr>
        <w:t xml:space="preserve">za účelom </w:t>
      </w:r>
      <w:r w:rsidR="00F30A77" w:rsidRPr="190F7DBA">
        <w:rPr>
          <w:rFonts w:ascii="Calibri" w:hAnsi="Calibri" w:cs="Calibri"/>
          <w:color w:val="000000" w:themeColor="text1"/>
        </w:rPr>
        <w:t>zníženia administratívneho zaťaženia FO a PO, ale aj zamestnancov verejnej správy.</w:t>
      </w:r>
    </w:p>
    <w:p w14:paraId="39B5F3B3" w14:textId="77777777" w:rsidR="002B60D7" w:rsidRPr="002B60D7" w:rsidRDefault="002B60D7" w:rsidP="002B60D7">
      <w:pPr>
        <w:rPr>
          <w:b/>
        </w:rPr>
      </w:pPr>
      <w:r w:rsidRPr="002B60D7">
        <w:rPr>
          <w:b/>
        </w:rPr>
        <w:t>Opatrenie 8 – Dátová etika</w:t>
      </w:r>
    </w:p>
    <w:p w14:paraId="1452F5F8" w14:textId="77777777" w:rsidR="002B60D7" w:rsidRDefault="002B60D7" w:rsidP="002B60D7">
      <w:r>
        <w:t xml:space="preserve">Používanie dát vo verejnej správe by malo sledovať nielen zlepšenie kvality služieb, ktoré štát občanom poskytuje, ale prihliadať aj na možné spoločenské a etické riziká. Pri spracovaní veľkého množstva údajov (big data) sa aj vo verejnej správe budú čoraz viac presadzovať nástroje využívajúce algoritmy </w:t>
      </w:r>
      <w:r>
        <w:lastRenderedPageBreak/>
        <w:t xml:space="preserve">umelej inteligencie a strojového učenia. </w:t>
      </w:r>
      <w:r w:rsidR="10502CE2">
        <w:t>R</w:t>
      </w:r>
      <w:r>
        <w:t>iziká je potrebné včas identifikovať a vhodnými protiopatreniami minimalizovať možnú negatívnu ujmu na spoločné etické hodnoty a základné ľudské práva občanov</w:t>
      </w:r>
      <w:r w:rsidRPr="190F7DBA">
        <w:rPr>
          <w:color w:val="000000" w:themeColor="text1"/>
        </w:rPr>
        <w:t>.</w:t>
      </w:r>
    </w:p>
    <w:p w14:paraId="4DB2D9B3" w14:textId="77777777" w:rsidR="002B60D7" w:rsidRPr="00826F2F" w:rsidRDefault="002B60D7" w:rsidP="00826F2F">
      <w:pPr>
        <w:rPr>
          <w:i/>
          <w:iCs/>
        </w:rPr>
      </w:pPr>
      <w:r w:rsidRPr="00826F2F">
        <w:rPr>
          <w:i/>
          <w:iCs/>
        </w:rPr>
        <w:t>Iniciatívy:</w:t>
      </w:r>
    </w:p>
    <w:p w14:paraId="6156811E" w14:textId="77777777" w:rsidR="002B60D7" w:rsidRPr="00826F2F" w:rsidRDefault="00433BD6" w:rsidP="00826F2F">
      <w:pPr>
        <w:pStyle w:val="Odsekzoznamu"/>
      </w:pPr>
      <w:r>
        <w:t>Do roku 2023</w:t>
      </w:r>
    </w:p>
    <w:p w14:paraId="4EA4349D" w14:textId="77777777" w:rsidR="002B60D7" w:rsidRPr="00236EBE" w:rsidRDefault="002B60D7" w:rsidP="00F06821">
      <w:pPr>
        <w:pStyle w:val="Odsekzoznamu"/>
        <w:numPr>
          <w:ilvl w:val="0"/>
          <w:numId w:val="24"/>
        </w:numPr>
        <w:spacing w:before="120" w:after="0" w:line="240" w:lineRule="auto"/>
        <w:ind w:left="1134"/>
        <w:rPr>
          <w:rFonts w:ascii="Calibri" w:hAnsi="Calibri" w:cs="Calibri"/>
          <w:color w:val="000000"/>
        </w:rPr>
      </w:pPr>
      <w:bookmarkStart w:id="113" w:name="_Hlk69282068"/>
      <w:r w:rsidRPr="190F7DBA">
        <w:rPr>
          <w:rFonts w:ascii="Calibri" w:hAnsi="Calibri" w:cs="Calibri"/>
          <w:color w:val="000000" w:themeColor="text1"/>
        </w:rPr>
        <w:t>Identifikovať požiadavky na datasety vhodné pre strojové spracovanie</w:t>
      </w:r>
      <w:bookmarkEnd w:id="113"/>
      <w:r w:rsidRPr="190F7DBA">
        <w:rPr>
          <w:rFonts w:ascii="Calibri" w:hAnsi="Calibri" w:cs="Calibri"/>
          <w:color w:val="000000" w:themeColor="text1"/>
        </w:rPr>
        <w:t>.</w:t>
      </w:r>
    </w:p>
    <w:p w14:paraId="0C834746" w14:textId="77777777" w:rsidR="002B60D7" w:rsidRPr="00236EBE" w:rsidRDefault="002B60D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Analýza vhodných metodík pre vyhodnotenie etických rizík spracovania údajov pomocou umelej inteligencie vo verejnej správe, ako sú etické posúdenia z pohľadu dátovej etiky a z pohľadu etiky umelej inteligencie (data ethics assessments, AI ethics assessments).</w:t>
      </w:r>
    </w:p>
    <w:p w14:paraId="235212E9" w14:textId="77777777" w:rsidR="002B60D7" w:rsidRPr="00236EBE" w:rsidRDefault="002B60D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Právna analýza regulačného rámca pre nasadzovanie AI vo verejnej správe.</w:t>
      </w:r>
    </w:p>
    <w:p w14:paraId="1EAC3D41" w14:textId="77777777" w:rsidR="002B60D7" w:rsidRPr="00236EBE" w:rsidRDefault="002B60D7" w:rsidP="00F06821">
      <w:pPr>
        <w:pStyle w:val="Odsekzoznamu"/>
        <w:numPr>
          <w:ilvl w:val="0"/>
          <w:numId w:val="24"/>
        </w:numPr>
        <w:spacing w:before="120" w:after="0" w:line="240" w:lineRule="auto"/>
        <w:ind w:left="1134"/>
        <w:rPr>
          <w:rFonts w:ascii="Calibri" w:hAnsi="Calibri" w:cs="Calibri"/>
          <w:color w:val="000000"/>
        </w:rPr>
      </w:pPr>
      <w:bookmarkStart w:id="114" w:name="_Hlk69282142"/>
      <w:r w:rsidRPr="190F7DBA">
        <w:rPr>
          <w:rFonts w:ascii="Calibri" w:hAnsi="Calibri" w:cs="Calibri"/>
          <w:color w:val="000000" w:themeColor="text1"/>
        </w:rPr>
        <w:t>Realizovaný aspoň jeden pilotný projekt na vybranom ÚOŠS, ktorý overí vhodnosť vybraných metodík pre posúdenie etických rizík spracovania údajov pri využití umelej inteligencie</w:t>
      </w:r>
    </w:p>
    <w:bookmarkEnd w:id="114"/>
    <w:p w14:paraId="50B69A77" w14:textId="4F899384" w:rsidR="002B60D7" w:rsidRPr="00236EBE" w:rsidRDefault="00433BD6" w:rsidP="00826F2F">
      <w:pPr>
        <w:pStyle w:val="Odsekzoznamu"/>
      </w:pPr>
      <w:r>
        <w:t>Do roku 2026</w:t>
      </w:r>
    </w:p>
    <w:p w14:paraId="08509562" w14:textId="77777777" w:rsidR="002B60D7" w:rsidRPr="00236EBE" w:rsidRDefault="002B60D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Zaviesť vyhodnotenie etických rizík pre nasadzovanie nástrojov umelej inteligencie ako povinnú súčas</w:t>
      </w:r>
      <w:r w:rsidR="00712EA2" w:rsidRPr="190F7DBA">
        <w:rPr>
          <w:rFonts w:ascii="Calibri" w:hAnsi="Calibri" w:cs="Calibri"/>
          <w:color w:val="000000" w:themeColor="text1"/>
        </w:rPr>
        <w:t>ť schválených projektov z OPII.</w:t>
      </w:r>
    </w:p>
    <w:p w14:paraId="167F9563" w14:textId="77777777" w:rsidR="002B60D7" w:rsidRPr="00826F2F" w:rsidRDefault="002B60D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Všetky ÚOŠS disponujú zaškolenými osobami schopnými posudzovať etické riziká spracovania údajov pri využití umelej inteligencie</w:t>
      </w:r>
    </w:p>
    <w:p w14:paraId="3792C710" w14:textId="77777777" w:rsidR="002B60D7" w:rsidRPr="00826F2F" w:rsidRDefault="00433BD6" w:rsidP="00236EBE">
      <w:pPr>
        <w:pStyle w:val="Odsekzoznamu"/>
      </w:pPr>
      <w:r>
        <w:t>Do roku 2030</w:t>
      </w:r>
    </w:p>
    <w:p w14:paraId="14EB9153" w14:textId="77777777" w:rsidR="002B60D7" w:rsidRPr="00826F2F" w:rsidRDefault="002B60D7"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Všetky ÚOŠS majú nastavené procesy pre povinné posúdenie etických rizík spracovania údajov pri využití umelej inteligencie, vrátane personálneho zabezpečenia </w:t>
      </w:r>
    </w:p>
    <w:p w14:paraId="2C32CED5" w14:textId="77777777" w:rsidR="00250001" w:rsidRPr="004D73C4" w:rsidRDefault="00250001" w:rsidP="00E362F7">
      <w:pPr>
        <w:pStyle w:val="Nadpis3"/>
      </w:pPr>
      <w:bookmarkStart w:id="115" w:name="_Toc69297710"/>
      <w:bookmarkStart w:id="116" w:name="_Toc70369675"/>
      <w:bookmarkStart w:id="117" w:name="_Toc70711615"/>
      <w:r w:rsidRPr="004D73C4">
        <w:t>Informatizácia územnej samosprávy</w:t>
      </w:r>
      <w:bookmarkEnd w:id="115"/>
      <w:bookmarkEnd w:id="116"/>
      <w:bookmarkEnd w:id="117"/>
    </w:p>
    <w:p w14:paraId="34358544" w14:textId="77777777" w:rsidR="000B3887" w:rsidRPr="004D73C4" w:rsidRDefault="004D73C4" w:rsidP="000B3887">
      <w:r w:rsidRPr="004D73C4">
        <w:t>Informatizácia územnej samosprávy je neoddeliteľnou a zároveň špecifickou súčasťou informatizácie verejnej správy, vzťahujú sa na ňu spoločné ciele, opatrenia a iniciatívy definované v tomto dokumente (aj tie časti, v ktorých je používaný pojem „štát“ ako zjednodušený pohľad občana a podnikateľa na celú verejnú správu), pričom je potrebné zohľadniť možnosti a špecifiká územnej samosprávy, ktoré má na ich realizáciu</w:t>
      </w:r>
      <w:r w:rsidR="000B3887" w:rsidRPr="004D73C4">
        <w:t>.</w:t>
      </w:r>
    </w:p>
    <w:p w14:paraId="04464AE9" w14:textId="77777777" w:rsidR="000B3887" w:rsidRPr="004D73C4" w:rsidRDefault="000B3887" w:rsidP="000B3887">
      <w:r w:rsidRPr="004D73C4">
        <w:t xml:space="preserve">Osobitosť informatizácie územnej samosprávy vyplýva predovšetkým z týchto skutočností: </w:t>
      </w:r>
    </w:p>
    <w:p w14:paraId="17B491E2" w14:textId="77777777" w:rsidR="000B3887" w:rsidRPr="004D73C4" w:rsidRDefault="1E09B041" w:rsidP="00F06821">
      <w:pPr>
        <w:pStyle w:val="Odsekzoznamu"/>
        <w:numPr>
          <w:ilvl w:val="0"/>
          <w:numId w:val="17"/>
        </w:numPr>
        <w:rPr>
          <w:rFonts w:eastAsiaTheme="minorEastAsia"/>
        </w:rPr>
      </w:pPr>
      <w:r w:rsidRPr="3912845A">
        <w:rPr>
          <w:rFonts w:eastAsia="Calibri"/>
        </w:rPr>
        <w:t>Územná</w:t>
      </w:r>
      <w:r w:rsidR="253C463F" w:rsidRPr="3912845A">
        <w:rPr>
          <w:rFonts w:eastAsia="Calibri"/>
        </w:rPr>
        <w:t xml:space="preserve"> samospráv</w:t>
      </w:r>
      <w:r w:rsidR="005121A2" w:rsidRPr="3912845A">
        <w:rPr>
          <w:rFonts w:eastAsia="Calibri"/>
        </w:rPr>
        <w:t>a</w:t>
      </w:r>
      <w:r w:rsidR="253C463F" w:rsidRPr="3912845A">
        <w:rPr>
          <w:rFonts w:eastAsia="Calibri"/>
        </w:rPr>
        <w:t xml:space="preserve"> vykonáva zákonmi vymedzené originálne kompetencie a zároveň vykonáva aj prenesený výkon štátnej správy a to bez ohľadu na </w:t>
      </w:r>
      <w:r w:rsidR="096BB036" w:rsidRPr="3912845A">
        <w:rPr>
          <w:rFonts w:eastAsia="Calibri"/>
        </w:rPr>
        <w:t>jej</w:t>
      </w:r>
      <w:r w:rsidR="253C463F" w:rsidRPr="3912845A">
        <w:rPr>
          <w:rFonts w:eastAsia="Calibri"/>
        </w:rPr>
        <w:t xml:space="preserve"> veľkosť, personálne, materiálne a finančné zdroje.</w:t>
      </w:r>
    </w:p>
    <w:p w14:paraId="054D384A" w14:textId="77777777" w:rsidR="000B3887" w:rsidRPr="004D73C4" w:rsidRDefault="000B3887" w:rsidP="00F06821">
      <w:pPr>
        <w:pStyle w:val="Odsekzoznamu"/>
        <w:numPr>
          <w:ilvl w:val="0"/>
          <w:numId w:val="17"/>
        </w:numPr>
        <w:rPr>
          <w:rFonts w:eastAsiaTheme="minorEastAsia"/>
        </w:rPr>
      </w:pPr>
      <w:r w:rsidRPr="004D73C4">
        <w:rPr>
          <w:rFonts w:eastAsia="Calibri"/>
        </w:rPr>
        <w:t>Obce a mestá a obdobne samosprávne kraje majú zákonom vymedzené v zásade rovnaké kompetencie vo vzťahu k občanom a podnikateľom na svojom území, z čoho sa odvíja princíp</w:t>
      </w:r>
      <w:r w:rsidR="00934846">
        <w:rPr>
          <w:rFonts w:eastAsia="Calibri"/>
        </w:rPr>
        <w:t xml:space="preserve"> </w:t>
      </w:r>
      <w:r w:rsidRPr="004D73C4">
        <w:rPr>
          <w:rFonts w:eastAsia="Calibri"/>
        </w:rPr>
        <w:t>informatickej podpory spoločného výkonu týchto kompetencií. Zároveň však pre orgány územnej samosprávy platí princíp dobrovoľnosti pri výbere informatickej podpory medzi centralizovaným (IS DCOM) riešením a individuálnym výberom z riešení ponúkaných na trhu.</w:t>
      </w:r>
    </w:p>
    <w:p w14:paraId="7E75104C" w14:textId="77777777" w:rsidR="000B3887" w:rsidRPr="004D73C4" w:rsidRDefault="253C463F" w:rsidP="00F06821">
      <w:pPr>
        <w:pStyle w:val="Odsekzoznamu"/>
        <w:numPr>
          <w:ilvl w:val="0"/>
          <w:numId w:val="17"/>
        </w:numPr>
        <w:rPr>
          <w:rFonts w:eastAsiaTheme="minorEastAsia"/>
        </w:rPr>
      </w:pPr>
      <w:r w:rsidRPr="3912845A">
        <w:rPr>
          <w:rFonts w:eastAsia="Calibri"/>
        </w:rPr>
        <w:t>Vyššie uvedený princíp dobrovoľnosti je na druhej strane vyvažovaný zodpovednosťou</w:t>
      </w:r>
      <w:r w:rsidR="002D7AD4">
        <w:rPr>
          <w:rFonts w:eastAsia="Calibri"/>
        </w:rPr>
        <w:t xml:space="preserve"> </w:t>
      </w:r>
      <w:r w:rsidRPr="3912845A">
        <w:rPr>
          <w:rFonts w:eastAsia="Calibri"/>
        </w:rPr>
        <w:t xml:space="preserve">územnej samosprávy </w:t>
      </w:r>
      <w:r w:rsidR="16D6E757" w:rsidRPr="3912845A">
        <w:rPr>
          <w:rFonts w:eastAsia="Calibri"/>
        </w:rPr>
        <w:t xml:space="preserve">a subjektov v </w:t>
      </w:r>
      <w:r w:rsidR="1F34FCE5" w:rsidRPr="3912845A">
        <w:rPr>
          <w:rFonts w:eastAsia="Calibri"/>
        </w:rPr>
        <w:t>jej</w:t>
      </w:r>
      <w:r w:rsidR="16D6E757" w:rsidRPr="3912845A">
        <w:rPr>
          <w:rFonts w:eastAsia="Calibri"/>
        </w:rPr>
        <w:t xml:space="preserve"> zriaďovateľskej pôsobnosti </w:t>
      </w:r>
      <w:r w:rsidRPr="3912845A">
        <w:rPr>
          <w:rFonts w:eastAsia="Calibri"/>
        </w:rPr>
        <w:t>za dodržiavanie zákonom stanovených povinností aj v oblasti elektronického výkonu verejnej správy (e-Government) a efektívnosť tohto výkonu.</w:t>
      </w:r>
    </w:p>
    <w:p w14:paraId="6BFF3442" w14:textId="77777777" w:rsidR="000B3887" w:rsidRPr="004D73C4" w:rsidRDefault="253C463F" w:rsidP="55E2BB36">
      <w:pPr>
        <w:rPr>
          <w:rFonts w:eastAsiaTheme="minorEastAsia"/>
        </w:rPr>
      </w:pPr>
      <w:r w:rsidRPr="3912845A">
        <w:rPr>
          <w:rFonts w:eastAsiaTheme="minorEastAsia"/>
        </w:rPr>
        <w:t xml:space="preserve">Zohľadňujúc uvedené východiská a súčasný stav informatickej podpory územnej samosprávy sú v tejto časti Koncepcie definované špecifické </w:t>
      </w:r>
      <w:r w:rsidR="7CC33C5E" w:rsidRPr="3912845A">
        <w:rPr>
          <w:rFonts w:eastAsiaTheme="minorEastAsia"/>
        </w:rPr>
        <w:t xml:space="preserve">opatrenia </w:t>
      </w:r>
      <w:r w:rsidRPr="3912845A">
        <w:rPr>
          <w:rFonts w:eastAsiaTheme="minorEastAsia"/>
        </w:rPr>
        <w:t>a iniciatívy informatizácie územnej samosprávy.</w:t>
      </w:r>
    </w:p>
    <w:p w14:paraId="3884C389" w14:textId="4F262C5E" w:rsidR="000B3887" w:rsidRPr="004D73C4" w:rsidRDefault="000B3887" w:rsidP="000B3887">
      <w:pPr>
        <w:rPr>
          <w:b/>
        </w:rPr>
      </w:pPr>
      <w:r w:rsidRPr="004D73C4">
        <w:rPr>
          <w:b/>
        </w:rPr>
        <w:t>Sumarizácia hlavných o</w:t>
      </w:r>
      <w:r w:rsidRPr="004D73C4">
        <w:rPr>
          <w:b/>
          <w:bCs/>
        </w:rPr>
        <w:t>patrení</w:t>
      </w:r>
      <w:r w:rsidRPr="004D73C4">
        <w:rPr>
          <w:b/>
        </w:rPr>
        <w:t>:</w:t>
      </w:r>
    </w:p>
    <w:p w14:paraId="584E267A" w14:textId="77777777" w:rsidR="000B3887" w:rsidRPr="004D73C4" w:rsidRDefault="000B3887" w:rsidP="00F06821">
      <w:pPr>
        <w:pStyle w:val="Odsekzoznamu"/>
        <w:numPr>
          <w:ilvl w:val="0"/>
          <w:numId w:val="28"/>
        </w:numPr>
        <w:rPr>
          <w:rFonts w:eastAsiaTheme="minorEastAsia"/>
        </w:rPr>
      </w:pPr>
      <w:r w:rsidRPr="3912845A">
        <w:rPr>
          <w:rFonts w:eastAsiaTheme="minorEastAsia"/>
        </w:rPr>
        <w:t>Výkonná, efektívna a proaktívna (digitálna) územná samospráva</w:t>
      </w:r>
      <w:r w:rsidR="71C3A7FE" w:rsidRPr="3912845A">
        <w:rPr>
          <w:rFonts w:eastAsiaTheme="minorEastAsia"/>
        </w:rPr>
        <w:t>.</w:t>
      </w:r>
    </w:p>
    <w:p w14:paraId="4926E9A4" w14:textId="77777777" w:rsidR="00A25591" w:rsidRPr="004D73C4" w:rsidRDefault="00A25591" w:rsidP="00F06821">
      <w:pPr>
        <w:pStyle w:val="Odsekzoznamu"/>
        <w:numPr>
          <w:ilvl w:val="0"/>
          <w:numId w:val="28"/>
        </w:numPr>
        <w:rPr>
          <w:rFonts w:eastAsiaTheme="minorEastAsia"/>
        </w:rPr>
      </w:pPr>
      <w:r w:rsidRPr="3912845A">
        <w:rPr>
          <w:rFonts w:eastAsiaTheme="minorEastAsia"/>
        </w:rPr>
        <w:t>Rozvoj efektívneho centralizovaného aj decentralizovaného riešenia samosprávy</w:t>
      </w:r>
      <w:r w:rsidR="3D285FE8" w:rsidRPr="3912845A">
        <w:rPr>
          <w:rFonts w:eastAsiaTheme="minorEastAsia"/>
        </w:rPr>
        <w:t>.</w:t>
      </w:r>
    </w:p>
    <w:p w14:paraId="74DE11D1" w14:textId="77777777" w:rsidR="000B3887" w:rsidRPr="004D73C4" w:rsidRDefault="000B3887" w:rsidP="00F06821">
      <w:pPr>
        <w:pStyle w:val="Odsekzoznamu"/>
        <w:numPr>
          <w:ilvl w:val="0"/>
          <w:numId w:val="28"/>
        </w:numPr>
        <w:rPr>
          <w:rFonts w:eastAsiaTheme="minorEastAsia"/>
        </w:rPr>
      </w:pPr>
      <w:r w:rsidRPr="3912845A">
        <w:rPr>
          <w:rFonts w:eastAsiaTheme="minorEastAsia"/>
        </w:rPr>
        <w:t>„Smart country“ – moderné a inteligentné regióny, mestá a komunity</w:t>
      </w:r>
      <w:r w:rsidR="42575977" w:rsidRPr="3912845A">
        <w:rPr>
          <w:rFonts w:eastAsiaTheme="minorEastAsia"/>
        </w:rPr>
        <w:t>.</w:t>
      </w:r>
    </w:p>
    <w:p w14:paraId="065E6595" w14:textId="77777777" w:rsidR="000B3887" w:rsidRPr="00E7487B" w:rsidRDefault="253C463F" w:rsidP="00F06821">
      <w:pPr>
        <w:pStyle w:val="Odsekzoznamu"/>
        <w:numPr>
          <w:ilvl w:val="0"/>
          <w:numId w:val="28"/>
        </w:numPr>
        <w:rPr>
          <w:rFonts w:eastAsiaTheme="minorEastAsia"/>
        </w:rPr>
      </w:pPr>
      <w:r w:rsidRPr="3912845A">
        <w:rPr>
          <w:rFonts w:eastAsiaTheme="minorEastAsia"/>
        </w:rPr>
        <w:t xml:space="preserve">MIRRI SR je </w:t>
      </w:r>
      <w:r w:rsidR="05441618" w:rsidRPr="3912845A">
        <w:rPr>
          <w:rFonts w:eastAsiaTheme="minorEastAsia"/>
        </w:rPr>
        <w:t xml:space="preserve">orgánom vedenia a </w:t>
      </w:r>
      <w:r w:rsidRPr="3912845A">
        <w:rPr>
          <w:rFonts w:eastAsiaTheme="minorEastAsia"/>
        </w:rPr>
        <w:t>koordinátorom informatizácie územnej samosprávy</w:t>
      </w:r>
      <w:r w:rsidR="648095F8" w:rsidRPr="3912845A">
        <w:rPr>
          <w:rFonts w:eastAsiaTheme="minorEastAsia"/>
        </w:rPr>
        <w:t>.</w:t>
      </w:r>
    </w:p>
    <w:p w14:paraId="4B40AB51" w14:textId="77777777" w:rsidR="007B2A26" w:rsidRDefault="007B2A26" w:rsidP="000B3887">
      <w:pPr>
        <w:rPr>
          <w:b/>
          <w:bCs/>
        </w:rPr>
      </w:pPr>
    </w:p>
    <w:p w14:paraId="6E6BB2E8" w14:textId="2D5905CF" w:rsidR="000B3887" w:rsidRPr="004D73C4" w:rsidRDefault="000B3887" w:rsidP="000B3887">
      <w:pPr>
        <w:rPr>
          <w:b/>
        </w:rPr>
      </w:pPr>
      <w:r w:rsidRPr="004D73C4">
        <w:rPr>
          <w:b/>
          <w:bCs/>
        </w:rPr>
        <w:lastRenderedPageBreak/>
        <w:t xml:space="preserve">Opatrenie 1 </w:t>
      </w:r>
      <w:r w:rsidRPr="004D73C4">
        <w:rPr>
          <w:b/>
        </w:rPr>
        <w:t>– Efektívna, výkonná a proaktívna (digitálna) územná samospráva</w:t>
      </w:r>
    </w:p>
    <w:p w14:paraId="34BB6DCF" w14:textId="77777777" w:rsidR="000B3887" w:rsidRPr="004D73C4" w:rsidRDefault="7CC33C5E" w:rsidP="000B3887">
      <w:r>
        <w:t xml:space="preserve">Služby, ktoré poskytuje územná samospráva občanom a podnikateľom, sú prirodzenou súčasťou navigácie cez riešenie životných situácií s využitím možného prístupu všetkými komunikačnými kanálmi a prostriedkami so zabezpečením prístupu jednotným identifikačným a autentifikačným nástrojom. Služby používajú zjednotený dizajn </w:t>
      </w:r>
      <w:r w:rsidR="7B8C7A18">
        <w:t xml:space="preserve">v súlade s ID-SK, sú prepojené </w:t>
      </w:r>
      <w:r>
        <w:t>s centrálnymi registrami a centrálnymi komponentami ISVS, vďaka dátovej integrácii využívajú centrálne databázy za účelom zberu a aktualizácie údajov v rámci princípu jedenkrát a dosť. Agendové systémy územnej samosprávy sú automatizovane prepojené s front-end systémami za účelom kompletnej realizácie prenesených aj originálnych kompetencií územnej samosprávy elektronicky</w:t>
      </w:r>
      <w:r w:rsidR="253C463F">
        <w:t>.</w:t>
      </w:r>
    </w:p>
    <w:p w14:paraId="15707E09" w14:textId="77777777" w:rsidR="36AB1D32" w:rsidRDefault="2B5AD8FA" w:rsidP="55E2BB36">
      <w:r>
        <w:t xml:space="preserve">V cieľovom stave je zabezpečená digitalizácia a automatizácia komunikačných kanálov </w:t>
      </w:r>
      <w:r w:rsidR="02D8F10D">
        <w:t>medzi obcami, mestami, subregiónmi a krajmi.</w:t>
      </w:r>
    </w:p>
    <w:p w14:paraId="179FDEF6" w14:textId="77777777" w:rsidR="00A25591" w:rsidRPr="004D73C4" w:rsidRDefault="41F272C7" w:rsidP="00A25591">
      <w:r>
        <w:t>Ú</w:t>
      </w:r>
      <w:r w:rsidR="7CC33C5E">
        <w:t>zemn</w:t>
      </w:r>
      <w:r w:rsidR="1316D69C">
        <w:t>á</w:t>
      </w:r>
      <w:r w:rsidR="7CC33C5E">
        <w:t xml:space="preserve"> samospráv</w:t>
      </w:r>
      <w:r w:rsidR="1156ACB8">
        <w:t>a</w:t>
      </w:r>
      <w:r w:rsidR="7CC33C5E">
        <w:t xml:space="preserve"> m</w:t>
      </w:r>
      <w:r w:rsidR="6AE3138F">
        <w:t>á</w:t>
      </w:r>
      <w:r w:rsidR="7CC33C5E">
        <w:t xml:space="preserve"> (v ideálnom cieľovom stave) k dispozícii kvalifikované ľudské zdroje a dostatočnú podporu prevádzky informačných systémov, vďaka čomu </w:t>
      </w:r>
      <w:r w:rsidR="3CFF854A">
        <w:t>je</w:t>
      </w:r>
      <w:r w:rsidR="7CC33C5E">
        <w:t xml:space="preserve"> schopn</w:t>
      </w:r>
      <w:r w:rsidR="36BE2362">
        <w:t>á</w:t>
      </w:r>
      <w:r w:rsidR="7CC33C5E">
        <w:t xml:space="preserve"> poskytovať služby občanom a podnikateľom v zákonných lehotách, pristupovať k riešeniu vybraných životných situácií proaktívne a neustále zvyšovať efektivitu svojej činnosti.</w:t>
      </w:r>
    </w:p>
    <w:p w14:paraId="6B3945FA" w14:textId="77777777" w:rsidR="00A25591" w:rsidRPr="004D73C4" w:rsidRDefault="7CC33C5E" w:rsidP="00A25591">
      <w:r>
        <w:t xml:space="preserve">Vďaka prepracovanému a nastavenému systému osobitnej podpory informatizácie pre malé obce a úrady, rozvoju centralizovaného riešenia IS DCOM ako aj využívaniu spoločných obecných úradovní sú aj najmenšie obce a úrady schopné poskytovať plnohodnotné služby v elektronickej podobe. </w:t>
      </w:r>
    </w:p>
    <w:p w14:paraId="0F3E7405" w14:textId="77777777" w:rsidR="000B3887" w:rsidRPr="004D73C4" w:rsidRDefault="004D73C4" w:rsidP="00A25591">
      <w:r w:rsidRPr="004D73C4">
        <w:t>Kvalita a rýchlosť poskytovaných služieb v elektronickej podobe a rastúca spokojnosť občanov a podnikateľov s nimi prispieva k zvyšovaniu podielu elektronických podaní a počtu občanov s aktivovanou elektronickou schránkou na doručovanie</w:t>
      </w:r>
      <w:r w:rsidR="000B3887" w:rsidRPr="004D73C4">
        <w:t>.</w:t>
      </w:r>
    </w:p>
    <w:p w14:paraId="0F6356C8" w14:textId="77777777" w:rsidR="000B3887" w:rsidRPr="004D73C4" w:rsidRDefault="000B3887" w:rsidP="000B3887">
      <w:pPr>
        <w:rPr>
          <w:i/>
          <w:iCs/>
        </w:rPr>
      </w:pPr>
      <w:r w:rsidRPr="004D73C4">
        <w:rPr>
          <w:i/>
          <w:iCs/>
        </w:rPr>
        <w:t>Iniciatívy:</w:t>
      </w:r>
    </w:p>
    <w:p w14:paraId="7104ED93" w14:textId="77777777" w:rsidR="00A25591" w:rsidRPr="004D73C4" w:rsidRDefault="00433BD6" w:rsidP="00A25591">
      <w:pPr>
        <w:pStyle w:val="Odsekzoznamu"/>
      </w:pPr>
      <w:r>
        <w:t>D</w:t>
      </w:r>
      <w:r w:rsidR="59E2B8C1">
        <w:t>o roku 2023</w:t>
      </w:r>
    </w:p>
    <w:p w14:paraId="651B2613" w14:textId="77777777" w:rsidR="00A25591" w:rsidRPr="00236EBE" w:rsidRDefault="7CC33C5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Sú vykonané procesné analýzy aktuálneho stavu informatizácie územnej samosprávy, vychádzajúce z rovnakých princípov ako procesné analýzy uskutočňované v štátnej správe analytickou jednotkou MV SR s participáciou MIRRI SR. Na základe analýz sú identifikované postupy a procesy, ktoré sa budú vykonávať primárne digitálne nezávisle na papierovom svete, čím dôjde k ich optimalizácii a celkovému zefektívneniu, pričom budú efektívne pracovať s dostupnými dátami</w:t>
      </w:r>
      <w:r w:rsidR="28F049E3" w:rsidRPr="190F7DBA">
        <w:rPr>
          <w:rFonts w:ascii="Calibri" w:hAnsi="Calibri" w:cs="Calibri"/>
          <w:color w:val="000000" w:themeColor="text1"/>
        </w:rPr>
        <w:t xml:space="preserve"> </w:t>
      </w:r>
      <w:r w:rsidR="0AE2E8CE" w:rsidRPr="190F7DBA">
        <w:rPr>
          <w:rFonts w:ascii="Calibri" w:hAnsi="Calibri" w:cs="Calibri"/>
          <w:color w:val="000000" w:themeColor="text1"/>
        </w:rPr>
        <w:t>a</w:t>
      </w:r>
      <w:r w:rsidR="28F049E3" w:rsidRPr="190F7DBA">
        <w:rPr>
          <w:rFonts w:ascii="Calibri" w:hAnsi="Calibri" w:cs="Calibri"/>
          <w:color w:val="000000" w:themeColor="text1"/>
        </w:rPr>
        <w:t xml:space="preserve"> integráci</w:t>
      </w:r>
      <w:r w:rsidR="2AC4E1EC" w:rsidRPr="190F7DBA">
        <w:rPr>
          <w:rFonts w:ascii="Calibri" w:hAnsi="Calibri" w:cs="Calibri"/>
          <w:color w:val="000000" w:themeColor="text1"/>
        </w:rPr>
        <w:t>ou</w:t>
      </w:r>
      <w:r w:rsidR="28F049E3" w:rsidRPr="190F7DBA">
        <w:rPr>
          <w:rFonts w:ascii="Calibri" w:hAnsi="Calibri" w:cs="Calibri"/>
          <w:color w:val="000000" w:themeColor="text1"/>
        </w:rPr>
        <w:t xml:space="preserve"> na centrálne registre</w:t>
      </w:r>
      <w:r w:rsidRPr="190F7DBA">
        <w:rPr>
          <w:rFonts w:ascii="Calibri" w:hAnsi="Calibri" w:cs="Calibri"/>
          <w:color w:val="000000" w:themeColor="text1"/>
        </w:rPr>
        <w:t xml:space="preserve">. </w:t>
      </w:r>
    </w:p>
    <w:p w14:paraId="5D90828A" w14:textId="77777777" w:rsidR="00A25591" w:rsidRPr="00236EBE" w:rsidRDefault="00A25591"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Jedným z výstupov analýzy sú odporúčania na rýchle odstránenie neefektívnych postupov pri elektronickom výkone verejnej správy na úrovni územnej samosprávy napr. z dôvodov nedostatočného zaškolenia pracovníkov alebo nedostatočnej úrovne digitálnych zručností na ich strane.</w:t>
      </w:r>
    </w:p>
    <w:p w14:paraId="0BECC798" w14:textId="77777777" w:rsidR="62DD5183" w:rsidRDefault="45CE8F6A" w:rsidP="00F06821">
      <w:pPr>
        <w:pStyle w:val="Odsekzoznamu"/>
        <w:numPr>
          <w:ilvl w:val="0"/>
          <w:numId w:val="24"/>
        </w:numPr>
        <w:spacing w:before="120" w:after="0" w:line="240" w:lineRule="auto"/>
        <w:ind w:left="1134"/>
        <w:rPr>
          <w:rFonts w:eastAsiaTheme="minorEastAsia" w:cstheme="minorBidi"/>
          <w:color w:val="000000" w:themeColor="text1"/>
        </w:rPr>
      </w:pPr>
      <w:r w:rsidRPr="190F7DBA">
        <w:rPr>
          <w:rFonts w:ascii="Calibri" w:hAnsi="Calibri" w:cs="Calibri"/>
          <w:color w:val="000000" w:themeColor="text1"/>
        </w:rPr>
        <w:t>Vytváranie informatických nástrojov pre podporu integrovaného rozvoja krajov, ako aj subregiónov (vrátane území mestského rozvoja), ktoré napomôžu efektívnej realizácii OP Slovensko v rámci programového obdobia 2021-2027.</w:t>
      </w:r>
    </w:p>
    <w:p w14:paraId="15B1D56F" w14:textId="77777777" w:rsidR="00A25591" w:rsidRPr="00236EBE" w:rsidRDefault="7CC33C5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 základe dohôd obcí dochádza k ďalšiemu zriaďovaniu spoločných obecných úradovní, prípadne k rozširovaniu kompetencií už zriadených spoločných obecných úradovní o ďalšie spoločne poskytované agendy.</w:t>
      </w:r>
    </w:p>
    <w:p w14:paraId="6255B42D" w14:textId="77777777" w:rsidR="00A25591" w:rsidRPr="00236EBE" w:rsidRDefault="5A13D2E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Ú</w:t>
      </w:r>
      <w:r w:rsidR="7CC33C5E" w:rsidRPr="190F7DBA">
        <w:rPr>
          <w:rFonts w:ascii="Calibri" w:hAnsi="Calibri" w:cs="Calibri"/>
          <w:color w:val="000000" w:themeColor="text1"/>
        </w:rPr>
        <w:t>zemn</w:t>
      </w:r>
      <w:r w:rsidR="7B445C14" w:rsidRPr="190F7DBA">
        <w:rPr>
          <w:rFonts w:ascii="Calibri" w:hAnsi="Calibri" w:cs="Calibri"/>
          <w:color w:val="000000" w:themeColor="text1"/>
        </w:rPr>
        <w:t>á</w:t>
      </w:r>
      <w:r w:rsidR="7CC33C5E" w:rsidRPr="190F7DBA">
        <w:rPr>
          <w:rFonts w:ascii="Calibri" w:hAnsi="Calibri" w:cs="Calibri"/>
          <w:color w:val="000000" w:themeColor="text1"/>
        </w:rPr>
        <w:t xml:space="preserve"> samospráv</w:t>
      </w:r>
      <w:r w:rsidR="159B1B58" w:rsidRPr="190F7DBA">
        <w:rPr>
          <w:rFonts w:ascii="Calibri" w:hAnsi="Calibri" w:cs="Calibri"/>
          <w:color w:val="000000" w:themeColor="text1"/>
        </w:rPr>
        <w:t>a</w:t>
      </w:r>
      <w:r w:rsidR="7CC33C5E" w:rsidRPr="190F7DBA">
        <w:rPr>
          <w:rFonts w:ascii="Calibri" w:hAnsi="Calibri" w:cs="Calibri"/>
          <w:color w:val="000000" w:themeColor="text1"/>
        </w:rPr>
        <w:t xml:space="preserve"> sa individuálne alebo v rámci združení uchádza o projekty, zamerané na vzdelávanie a rozvoj digitálnych zručností svojich pracovníkov, prebieha kontinuálne vzdelávanie pracovníkov v oblasti efektívneho výkonu elektronickej samosprávy.</w:t>
      </w:r>
    </w:p>
    <w:p w14:paraId="0CEE0CAD" w14:textId="77777777" w:rsidR="00A25591" w:rsidRPr="00236EBE" w:rsidRDefault="00433BD6" w:rsidP="005545B4">
      <w:pPr>
        <w:pStyle w:val="Odsekzoznamu"/>
      </w:pPr>
      <w:r>
        <w:t>Do roku 2026</w:t>
      </w:r>
    </w:p>
    <w:p w14:paraId="2368F2A9" w14:textId="77777777" w:rsidR="00A25591" w:rsidRPr="00236EBE" w:rsidRDefault="00A25591" w:rsidP="00F06821">
      <w:pPr>
        <w:pStyle w:val="Odsekzoznamu"/>
        <w:numPr>
          <w:ilvl w:val="0"/>
          <w:numId w:val="24"/>
        </w:numPr>
        <w:spacing w:after="0" w:line="240" w:lineRule="auto"/>
        <w:ind w:left="1134"/>
        <w:rPr>
          <w:rFonts w:eastAsiaTheme="minorEastAsia" w:cstheme="minorBidi"/>
          <w:color w:val="000000" w:themeColor="text1"/>
        </w:rPr>
      </w:pPr>
      <w:r w:rsidRPr="190F7DBA">
        <w:rPr>
          <w:rFonts w:ascii="Calibri" w:hAnsi="Calibri" w:cs="Calibri"/>
          <w:color w:val="000000" w:themeColor="text1"/>
        </w:rPr>
        <w:t xml:space="preserve">Výsledkom definovania postupov a procesov v rámci digitálnej transformácie územnej samosprávy je poskytovanie lepších verejných služieb používateľom na základe navigácie cez úplnú ponuku ŽS, dostupných cez viackanálový prístup </w:t>
      </w:r>
      <w:r w:rsidR="00A10598" w:rsidRPr="190F7DBA">
        <w:rPr>
          <w:rFonts w:ascii="Calibri" w:hAnsi="Calibri" w:cs="Calibri"/>
          <w:color w:val="000000" w:themeColor="text1"/>
        </w:rPr>
        <w:t xml:space="preserve">v súlade s princípmi a postupmi špecifikovanými v kapitole </w:t>
      </w:r>
      <w:r w:rsidR="00B62B5C" w:rsidRPr="190F7DBA">
        <w:rPr>
          <w:rFonts w:ascii="Calibri" w:hAnsi="Calibri" w:cs="Calibri"/>
          <w:color w:val="000000" w:themeColor="text1"/>
        </w:rPr>
        <w:t>4.1</w:t>
      </w:r>
      <w:r w:rsidR="00A10598" w:rsidRPr="190F7DBA">
        <w:rPr>
          <w:rFonts w:ascii="Calibri" w:hAnsi="Calibri" w:cs="Calibri"/>
          <w:color w:val="000000" w:themeColor="text1"/>
        </w:rPr>
        <w:t xml:space="preserve"> Digitálne služby</w:t>
      </w:r>
      <w:r w:rsidRPr="190F7DBA">
        <w:rPr>
          <w:rFonts w:ascii="Calibri" w:hAnsi="Calibri" w:cs="Calibri"/>
          <w:color w:val="000000" w:themeColor="text1"/>
        </w:rPr>
        <w:t>.</w:t>
      </w:r>
    </w:p>
    <w:p w14:paraId="0C31FE83" w14:textId="77777777" w:rsidR="00A25591" w:rsidRPr="00236EBE" w:rsidRDefault="00A25591"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Pilotná implementácia nástrojov na analýzu dát územnej samosprávy, na ich širšie publikovanie vo forme otvorených údajov, rovnako ako na automatické vypĺňanie rôznych </w:t>
      </w:r>
      <w:r w:rsidRPr="190F7DBA">
        <w:rPr>
          <w:rFonts w:ascii="Calibri" w:hAnsi="Calibri" w:cs="Calibri"/>
          <w:color w:val="000000" w:themeColor="text1"/>
        </w:rPr>
        <w:lastRenderedPageBreak/>
        <w:t>štatistických výkazov a hlásení, s cieľom znižovania byrokratickej záťaže pre orgány samosprávy a nimi zriadené organizácie.</w:t>
      </w:r>
    </w:p>
    <w:p w14:paraId="74FD9525" w14:textId="77777777" w:rsidR="00A25591" w:rsidRPr="004D73C4" w:rsidRDefault="00A25591"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Kontinuálne vzdelávanie pracovníkov v oblasti efektívneho výkonu elektronickej samosprávy, najmä v oblasti procesov ovplyvnených výstupmi digitálnej transformácie.</w:t>
      </w:r>
    </w:p>
    <w:p w14:paraId="3F4F9711" w14:textId="77777777" w:rsidR="00A25591" w:rsidRPr="004D73C4" w:rsidRDefault="00433BD6" w:rsidP="005545B4">
      <w:pPr>
        <w:pStyle w:val="Odsekzoznamu"/>
      </w:pPr>
      <w:r>
        <w:t>Do roku 2030</w:t>
      </w:r>
    </w:p>
    <w:p w14:paraId="6B632CEF" w14:textId="77777777" w:rsidR="000B3887" w:rsidRPr="004D73C4" w:rsidRDefault="00A25591"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Implementácia nástrojov digitálnej transformácie v prostredí územnej samosprávy.</w:t>
      </w:r>
    </w:p>
    <w:p w14:paraId="56BFAAC9" w14:textId="77777777" w:rsidR="000B3887" w:rsidRPr="004D73C4" w:rsidRDefault="000B3887" w:rsidP="000B3887">
      <w:pPr>
        <w:rPr>
          <w:rFonts w:ascii="Calibri" w:eastAsia="Calibri" w:hAnsi="Calibri" w:cs="Calibri"/>
          <w:b/>
          <w:bCs/>
        </w:rPr>
      </w:pPr>
      <w:r w:rsidRPr="004D73C4">
        <w:rPr>
          <w:b/>
        </w:rPr>
        <w:t xml:space="preserve">Opatrenie 2 – </w:t>
      </w:r>
      <w:r w:rsidR="005545B4" w:rsidRPr="004D73C4">
        <w:rPr>
          <w:b/>
        </w:rPr>
        <w:t>Rozvoj efektívneho centralizovaného a decentralizovaného riešenia samosprávy</w:t>
      </w:r>
    </w:p>
    <w:p w14:paraId="1207B278" w14:textId="77777777" w:rsidR="00A25591" w:rsidRPr="004D73C4" w:rsidRDefault="00A25591" w:rsidP="00A25591">
      <w:r w:rsidRPr="004D73C4">
        <w:t xml:space="preserve">Napĺňanie priorít Koncepcie v oblasti informatizácie územnej samosprávy je zabezpečené budovaním a rozvíjaním IS v rámci tak centralizovaného ako aj decentralizovaného riešenia. </w:t>
      </w:r>
    </w:p>
    <w:p w14:paraId="4C566A14" w14:textId="77777777" w:rsidR="00A25591" w:rsidRPr="004D73C4" w:rsidRDefault="7CC33C5E" w:rsidP="001B5326">
      <w:r>
        <w:t>Ako centralizované riešenie štát (</w:t>
      </w:r>
      <w:r w:rsidR="7998295C">
        <w:t xml:space="preserve">MF </w:t>
      </w:r>
      <w:r>
        <w:t xml:space="preserve">SR) v spolupráci so ZMOS vybudoval DEUS a IS DCOM ako centrálne garantované riešenie najmä pre malé a stredné obce a mestá. </w:t>
      </w:r>
      <w:r w:rsidR="435E3403">
        <w:t>Naďalej je potrebné r</w:t>
      </w:r>
      <w:r>
        <w:t>ozv</w:t>
      </w:r>
      <w:r w:rsidR="6CC73E94">
        <w:t>íjať</w:t>
      </w:r>
      <w:r>
        <w:t xml:space="preserve"> IS DCOM ako platform</w:t>
      </w:r>
      <w:r w:rsidR="1B88DC42">
        <w:t>u</w:t>
      </w:r>
      <w:r>
        <w:t xml:space="preserve">, ktorá bude poskytovať diferencované služby pre miestnu územnú samosprávu (pre obce a menšie mestá ITaaS, pre väčšie mestá IaaS, SaaS), prípadne aj pre regionálnu samosprávu na úrovni krajov. </w:t>
      </w:r>
    </w:p>
    <w:p w14:paraId="2A305BDB" w14:textId="77777777" w:rsidR="00A25591" w:rsidRPr="004D73C4" w:rsidRDefault="00A25591" w:rsidP="00A25591">
      <w:r w:rsidRPr="004D73C4">
        <w:t>Druhou líniou podpory informatizácie územnej samosprávy sú decentralizované riešenia, ktoré si samosprávne kraje, mestá a niektoré obce zabezpečujú samy prostredníctvom aplikácií dostupných na trhu, čím sa vytvára priestor pre porovnanie a výber spomedzi navzájom si konkurujúcich riešení, ktoré však musia spĺňať všetky legislatívou definované podmienky pre výkon elektronickej správy.</w:t>
      </w:r>
    </w:p>
    <w:p w14:paraId="1C40AB31" w14:textId="77777777" w:rsidR="000572D7" w:rsidRPr="00A10598" w:rsidRDefault="7CC33C5E" w:rsidP="3912845A">
      <w:r>
        <w:t>Centrálna architektúra je záväzná pre všetky subjekty verejnej správy. Spoločné moduly, nadrezortné bloky a automatizovaný prístup k spoločným dátam štátu sú financované z verejných prostriedkov, pričom tieto centrálne komponenty slúžia aj pre územn</w:t>
      </w:r>
      <w:r w:rsidR="6C2F551C">
        <w:t>ú</w:t>
      </w:r>
      <w:r>
        <w:t xml:space="preserve"> samospráv</w:t>
      </w:r>
      <w:r w:rsidR="20A8E6CE">
        <w:t>u</w:t>
      </w:r>
      <w:r>
        <w:t xml:space="preserve"> a tiež organizácie v </w:t>
      </w:r>
      <w:r w:rsidR="389DC8E6">
        <w:t>jej</w:t>
      </w:r>
      <w:r>
        <w:t xml:space="preserve"> zriaďovateľskej pôsobnosti (napr. školy a iné)</w:t>
      </w:r>
      <w:r w:rsidR="253C463F">
        <w:t>.</w:t>
      </w:r>
    </w:p>
    <w:p w14:paraId="77F426FA" w14:textId="77777777" w:rsidR="000B3887" w:rsidRPr="004D73C4" w:rsidRDefault="000B3887" w:rsidP="000B3887">
      <w:pPr>
        <w:rPr>
          <w:i/>
          <w:iCs/>
        </w:rPr>
      </w:pPr>
      <w:r w:rsidRPr="004D73C4">
        <w:rPr>
          <w:i/>
          <w:iCs/>
        </w:rPr>
        <w:t>Iniciatívy:</w:t>
      </w:r>
    </w:p>
    <w:p w14:paraId="6C883D27" w14:textId="77777777" w:rsidR="00A25591" w:rsidRPr="00236EBE" w:rsidRDefault="00433BD6" w:rsidP="005545B4">
      <w:pPr>
        <w:pStyle w:val="Odsekzoznamu"/>
      </w:pPr>
      <w:r>
        <w:t>Do roku 2023</w:t>
      </w:r>
    </w:p>
    <w:p w14:paraId="419EF695" w14:textId="77777777" w:rsidR="00A25591" w:rsidRPr="00236EBE" w:rsidRDefault="00A25591"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MIRRI SR definuje nástroje a parametre pre porovnávanie efektívnosti podpory rozvoja centralizovaného integrovaného riešenia a podpory riešení obstaraných na trhu za účelom dodržiavania deklarovaného rovnoprávneho prístupu ku každému občanovi pri finančnej podpore štátu.</w:t>
      </w:r>
    </w:p>
    <w:p w14:paraId="0A667DE3" w14:textId="77777777" w:rsidR="00A25591" w:rsidRPr="00236EBE" w:rsidRDefault="00A25591"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Rozvoj oboch riešení je zameraný na rozvoj po agendách tak, aby bolo možné v prípade potreby jednoduché rozširovanie pôsobnosti spoločných obecných úradovní.</w:t>
      </w:r>
    </w:p>
    <w:p w14:paraId="18F81315" w14:textId="77777777" w:rsidR="00A25591" w:rsidRPr="00236EBE" w:rsidRDefault="00A25591"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Štát – prostredníctvom MF SR, MIRRI SR a DEUS – garantuje súlad IS DCOM s aktuálnou legislatívou o e-Governmente a ďalšími zákonnými povinnosťami týkajúcimi sa IS verejnej správy.</w:t>
      </w:r>
    </w:p>
    <w:p w14:paraId="0000C727" w14:textId="77777777" w:rsidR="00A25591" w:rsidRPr="00236EBE" w:rsidRDefault="00433BD6" w:rsidP="00F06821">
      <w:pPr>
        <w:pStyle w:val="Odsekzoznamu"/>
        <w:numPr>
          <w:ilvl w:val="0"/>
          <w:numId w:val="24"/>
        </w:numPr>
        <w:spacing w:after="0"/>
        <w:ind w:left="720"/>
        <w:rPr>
          <w:rFonts w:eastAsiaTheme="minorEastAsia" w:cstheme="minorBidi"/>
          <w:color w:val="000000" w:themeColor="text1"/>
        </w:rPr>
      </w:pPr>
      <w:r>
        <w:t>Do roku 2026</w:t>
      </w:r>
    </w:p>
    <w:p w14:paraId="38E4D153" w14:textId="77777777" w:rsidR="00A25591" w:rsidRPr="00236EBE" w:rsidRDefault="7CC33C5E" w:rsidP="00F06821">
      <w:pPr>
        <w:pStyle w:val="Odsekzoznamu"/>
        <w:numPr>
          <w:ilvl w:val="0"/>
          <w:numId w:val="24"/>
        </w:numPr>
        <w:spacing w:before="120" w:after="0" w:line="240" w:lineRule="auto"/>
        <w:ind w:left="1134"/>
        <w:rPr>
          <w:rFonts w:eastAsiaTheme="minorEastAsia" w:cstheme="minorBidi"/>
          <w:color w:val="000000"/>
        </w:rPr>
      </w:pPr>
      <w:r w:rsidRPr="190F7DBA">
        <w:rPr>
          <w:rFonts w:ascii="Calibri" w:hAnsi="Calibri" w:cs="Calibri"/>
          <w:color w:val="000000" w:themeColor="text1"/>
        </w:rPr>
        <w:t xml:space="preserve">Štát – v gescii MF SR a MIRRI SR – pravidelne vyhodnocuje rozsah a parametre efektívnosti využívania nástrojov centralizovaného a decentralizovaného riešenia informatickej podpory územnej samosprávy s cieľom zamedziť diskriminácii územnej samosprávy ako aj podnikateľských subjektov. </w:t>
      </w:r>
    </w:p>
    <w:p w14:paraId="3D3F32CC" w14:textId="7F1E56FD" w:rsidR="00A25591" w:rsidRPr="004D73C4" w:rsidRDefault="00433BD6" w:rsidP="005545B4">
      <w:pPr>
        <w:pStyle w:val="Odsekzoznamu"/>
      </w:pPr>
      <w:r>
        <w:t>Do roku 2030</w:t>
      </w:r>
    </w:p>
    <w:p w14:paraId="3C8C94FA" w14:textId="77777777" w:rsidR="000B3887" w:rsidRPr="004D73C4" w:rsidRDefault="6A15ED5C" w:rsidP="00F06821">
      <w:pPr>
        <w:pStyle w:val="Odsekzoznamu"/>
        <w:numPr>
          <w:ilvl w:val="0"/>
          <w:numId w:val="24"/>
        </w:numPr>
        <w:spacing w:line="240" w:lineRule="auto"/>
        <w:ind w:left="1134" w:hanging="357"/>
        <w:rPr>
          <w:rFonts w:ascii="Calibri" w:hAnsi="Calibri" w:cs="Calibri"/>
          <w:color w:val="000000"/>
        </w:rPr>
      </w:pPr>
      <w:r>
        <w:t>Ú</w:t>
      </w:r>
      <w:r w:rsidR="0D46F090">
        <w:t>zemn</w:t>
      </w:r>
      <w:r w:rsidR="3366708A">
        <w:t>á</w:t>
      </w:r>
      <w:r w:rsidR="0D46F090">
        <w:t xml:space="preserve"> samospráv</w:t>
      </w:r>
      <w:r w:rsidR="5E0B6E77">
        <w:t>a</w:t>
      </w:r>
      <w:r w:rsidR="0D46F090">
        <w:t xml:space="preserve"> využíva plne funkčné centralizované alebo decentralizované riešenie, t.j. nákladovo efektívny IS DCOM alebo kvalitné a automatizovane prepojené front-end a back-end riešenia, ktoré sú v súlade s platnou legislatívou</w:t>
      </w:r>
      <w:r w:rsidR="253C463F" w:rsidRPr="190F7DBA">
        <w:rPr>
          <w:rFonts w:ascii="Calibri" w:hAnsi="Calibri" w:cs="Calibri"/>
          <w:color w:val="000000" w:themeColor="text1"/>
        </w:rPr>
        <w:t>.</w:t>
      </w:r>
    </w:p>
    <w:p w14:paraId="783BFEA1" w14:textId="77777777" w:rsidR="000B3887" w:rsidRPr="004D73C4" w:rsidRDefault="000B3887" w:rsidP="000B3887">
      <w:pPr>
        <w:rPr>
          <w:b/>
        </w:rPr>
      </w:pPr>
      <w:r w:rsidRPr="004D73C4">
        <w:rPr>
          <w:b/>
        </w:rPr>
        <w:t xml:space="preserve">Opatrenie 3 – </w:t>
      </w:r>
      <w:r w:rsidRPr="004D73C4">
        <w:rPr>
          <w:rFonts w:eastAsiaTheme="minorEastAsia"/>
          <w:b/>
        </w:rPr>
        <w:t>„Smart country“ – moderné a inteligentné regióny, mestá a komunity</w:t>
      </w:r>
    </w:p>
    <w:p w14:paraId="30A44F17" w14:textId="77777777" w:rsidR="000B3887" w:rsidRPr="004D73C4" w:rsidRDefault="000B3887" w:rsidP="000B3887">
      <w:pPr>
        <w:rPr>
          <w:rFonts w:eastAsia="Calibri"/>
        </w:rPr>
      </w:pPr>
      <w:r w:rsidRPr="004D73C4">
        <w:rPr>
          <w:rFonts w:eastAsia="Calibri"/>
        </w:rPr>
        <w:t>Moderné technológie a senzory sú využívané na skvalitnenie života obyvateľov regiónov, miest a obcí, ktoré vďaka nim zvyšujú efektívnosť svojej prevádzky v oblastiach ako je inteligentná energia, doprava, životné prostredie, odpady a ďalšie, pričom sú využívané možnosti replikovania úspešných riešení vo viacerých samosprávach.</w:t>
      </w:r>
    </w:p>
    <w:p w14:paraId="2A7AEEB6" w14:textId="77777777" w:rsidR="004D73C4" w:rsidRPr="004D73C4" w:rsidRDefault="004D73C4" w:rsidP="004D73C4">
      <w:pPr>
        <w:rPr>
          <w:rFonts w:eastAsia="Calibri"/>
        </w:rPr>
      </w:pPr>
      <w:r w:rsidRPr="004D73C4">
        <w:rPr>
          <w:rFonts w:eastAsia="Calibri"/>
        </w:rPr>
        <w:lastRenderedPageBreak/>
        <w:t>Vďaka automatizovanému zberu dát obcí, miest, subregiónov a krajov je možné budovať informatickú podporu manažérskeho rozhodovania, tzv. smart governance, vrátane podpory spolupráce viacerých oddelení prípadne spolupráce obcí na základe vzájomných dohôd.</w:t>
      </w:r>
    </w:p>
    <w:p w14:paraId="49248F4A" w14:textId="77777777" w:rsidR="000B3887" w:rsidRPr="004D73C4" w:rsidRDefault="000B3887" w:rsidP="000B3887">
      <w:pPr>
        <w:rPr>
          <w:i/>
          <w:iCs/>
        </w:rPr>
      </w:pPr>
      <w:r w:rsidRPr="004D73C4">
        <w:rPr>
          <w:i/>
          <w:iCs/>
        </w:rPr>
        <w:t>Iniciatívy:</w:t>
      </w:r>
    </w:p>
    <w:p w14:paraId="1A99D530" w14:textId="77777777" w:rsidR="00A25591" w:rsidRPr="00236EBE" w:rsidRDefault="00433BD6" w:rsidP="005545B4">
      <w:pPr>
        <w:pStyle w:val="Odsekzoznamu"/>
      </w:pPr>
      <w:r>
        <w:t>Do roku 2023</w:t>
      </w:r>
    </w:p>
    <w:p w14:paraId="1A945AF8" w14:textId="77777777" w:rsidR="00A25591" w:rsidRPr="00236EBE" w:rsidRDefault="7CC33C5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Štát spracuje Národnú koncepciu inteligentných regiónov a miest a následne aj Akčný plán k</w:t>
      </w:r>
      <w:r w:rsidR="34368879" w:rsidRPr="190F7DBA">
        <w:rPr>
          <w:rFonts w:ascii="Calibri" w:hAnsi="Calibri" w:cs="Calibri"/>
          <w:color w:val="000000" w:themeColor="text1"/>
        </w:rPr>
        <w:t> tejto koncepcii na roky 2021-</w:t>
      </w:r>
      <w:r w:rsidRPr="190F7DBA">
        <w:rPr>
          <w:rFonts w:ascii="Calibri" w:hAnsi="Calibri" w:cs="Calibri"/>
          <w:color w:val="000000" w:themeColor="text1"/>
        </w:rPr>
        <w:t>2025, ktoré umožnia využitie informačných a komunikačných technológií na skvalitnenie života ich obyvateľov a umožnia rozvíjať riešenia v oblasti inteligentnej dopravy, energie, životného prostredia a ďalších.</w:t>
      </w:r>
    </w:p>
    <w:p w14:paraId="4872AF57" w14:textId="77777777" w:rsidR="00A25591" w:rsidRPr="00236EBE" w:rsidRDefault="00433BD6" w:rsidP="005545B4">
      <w:pPr>
        <w:pStyle w:val="Odsekzoznamu"/>
      </w:pPr>
      <w:r>
        <w:t>Do roku 2026</w:t>
      </w:r>
    </w:p>
    <w:p w14:paraId="72BD6EE0" w14:textId="77777777" w:rsidR="00A25591" w:rsidRPr="00236EBE" w:rsidRDefault="001C582F" w:rsidP="00F06821">
      <w:pPr>
        <w:pStyle w:val="Odsekzoznamu"/>
        <w:numPr>
          <w:ilvl w:val="0"/>
          <w:numId w:val="24"/>
        </w:numPr>
        <w:spacing w:before="120" w:after="0" w:line="240" w:lineRule="auto"/>
        <w:ind w:left="1134"/>
        <w:rPr>
          <w:rFonts w:ascii="Calibri" w:hAnsi="Calibri" w:cs="Calibri"/>
          <w:color w:val="000000"/>
        </w:rPr>
      </w:pPr>
      <w:r w:rsidRPr="001C582F">
        <w:rPr>
          <w:rFonts w:ascii="Calibri" w:hAnsi="Calibri" w:cs="Calibri"/>
          <w:color w:val="000000" w:themeColor="text1"/>
        </w:rPr>
        <w:t>Pilotné nasadenie technológií a riešení typu „Smart country“ aspoň v 10 mestách alebo obciach</w:t>
      </w:r>
      <w:r w:rsidR="00A25591" w:rsidRPr="190F7DBA">
        <w:rPr>
          <w:rFonts w:ascii="Calibri" w:hAnsi="Calibri" w:cs="Calibri"/>
          <w:color w:val="000000" w:themeColor="text1"/>
        </w:rPr>
        <w:t>.</w:t>
      </w:r>
    </w:p>
    <w:p w14:paraId="68537225" w14:textId="77777777" w:rsidR="00A25591" w:rsidRPr="00236EBE" w:rsidRDefault="00A25591"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Pilotné odskúšanie budovania informatickej podpory manažérskeho rozhodovania, tzv. smart governance, aspoň v 3 vybraných obciach.</w:t>
      </w:r>
    </w:p>
    <w:p w14:paraId="644EEF7F" w14:textId="77777777" w:rsidR="00A25591" w:rsidRPr="00236EBE" w:rsidRDefault="00433BD6" w:rsidP="005545B4">
      <w:pPr>
        <w:pStyle w:val="Odsekzoznamu"/>
      </w:pPr>
      <w:r>
        <w:t>Do roku 2030</w:t>
      </w:r>
    </w:p>
    <w:p w14:paraId="4346D738" w14:textId="77777777" w:rsidR="000B3887" w:rsidRPr="00236EBE" w:rsidRDefault="004D73C4"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Nasadenie technológií a riešení typu „Smart country“ vo viac ako 200 mestách alebo obciach</w:t>
      </w:r>
      <w:r w:rsidR="000B3887" w:rsidRPr="190F7DBA">
        <w:rPr>
          <w:rFonts w:ascii="Calibri" w:hAnsi="Calibri" w:cs="Calibri"/>
          <w:color w:val="000000" w:themeColor="text1"/>
        </w:rPr>
        <w:t>.</w:t>
      </w:r>
    </w:p>
    <w:p w14:paraId="0FBB5165" w14:textId="77777777" w:rsidR="000B3887" w:rsidRPr="00236EBE" w:rsidRDefault="000B3887" w:rsidP="000B3887">
      <w:pPr>
        <w:rPr>
          <w:rFonts w:ascii="Calibri" w:eastAsia="Calibri" w:hAnsi="Calibri" w:cs="Calibri"/>
          <w:b/>
          <w:bCs/>
        </w:rPr>
      </w:pPr>
      <w:r w:rsidRPr="0D533E45">
        <w:rPr>
          <w:b/>
          <w:bCs/>
        </w:rPr>
        <w:t xml:space="preserve">Opatrenie 4 – </w:t>
      </w:r>
      <w:r w:rsidRPr="0D533E45">
        <w:rPr>
          <w:rFonts w:ascii="Calibri" w:eastAsia="Calibri" w:hAnsi="Calibri" w:cs="Calibri"/>
          <w:b/>
          <w:bCs/>
        </w:rPr>
        <w:t xml:space="preserve">MIRRI SR je </w:t>
      </w:r>
      <w:r w:rsidR="00A10598" w:rsidRPr="0D533E45">
        <w:rPr>
          <w:rFonts w:ascii="Calibri" w:eastAsia="Calibri" w:hAnsi="Calibri" w:cs="Calibri"/>
          <w:b/>
          <w:bCs/>
        </w:rPr>
        <w:t xml:space="preserve">orgánom vedenia a </w:t>
      </w:r>
      <w:r w:rsidRPr="0D533E45">
        <w:rPr>
          <w:rFonts w:ascii="Calibri" w:eastAsia="Calibri" w:hAnsi="Calibri" w:cs="Calibri"/>
          <w:b/>
          <w:bCs/>
        </w:rPr>
        <w:t>koordinátorom informatizácie územnej samosprávy</w:t>
      </w:r>
    </w:p>
    <w:p w14:paraId="202E3F33" w14:textId="77777777" w:rsidR="00A25591" w:rsidRPr="00236EBE" w:rsidRDefault="00A25591" w:rsidP="00A25591">
      <w:r w:rsidRPr="00236EBE">
        <w:t>MIRRI SR ako koordinátor informatizácie verejnej správy, vrátane samosprávy, používa na riadenie a koordináciu legislatívne nástroje a metodické usmernenia, vytvárané v spolupráci a participácii so združeniami územnej samosprávy a to najmä ZMOS, ÚMS a SK8.</w:t>
      </w:r>
    </w:p>
    <w:p w14:paraId="293B4126" w14:textId="77777777" w:rsidR="00F92D31" w:rsidRPr="00236EBE" w:rsidRDefault="66E9A0A5" w:rsidP="00F92D31">
      <w:r>
        <w:t xml:space="preserve">MIRRI SR spolupracuje s ostatnými ústrednými OVM, najmä MV SR, MŠVVŠ SR, MDPT SR a ďalšími, v ktorých gescii je obsahová stránka preneseného výkonu štátnej moci na orgány územnej samosprávy, a v prípade potreby je akcelerátorom tlaku na inovácie a prípadný rozvoj IS, ktoré územná samospráva používa pri prenesenom výkone. </w:t>
      </w:r>
    </w:p>
    <w:p w14:paraId="613F1C6E" w14:textId="77777777" w:rsidR="00A25591" w:rsidRPr="00236EBE" w:rsidRDefault="7CC33C5E" w:rsidP="00A25591">
      <w:r>
        <w:t>MIRRI SR spolupracuje s DEUS pri zabezpečovaní efektívnej prevádzky a rozvoji centralizovaného riešenia IS DCOM, metodicky usmerňuje orgány samosprávy pri obstarávaní efektívneho decentralizovaného riešenia a podieľa sa na vyhodnocovaní kvality a úrovne rozvoja týchto riešení.</w:t>
      </w:r>
    </w:p>
    <w:p w14:paraId="4D3288B1" w14:textId="77777777" w:rsidR="000B3887" w:rsidRPr="00236EBE" w:rsidRDefault="00A25591" w:rsidP="00A25591">
      <w:r>
        <w:t xml:space="preserve">Koordinačná činnosť je zameraná aj na kontrolu dodržiavania zákonom predpísaných povinností, postupov a náležitostí, vyžadovaných v rámci výkonu e-Government orgánmi územnej samosprávy. V prípade nesprávneho alebo nejednoznačného výkladu legislatívy alebo usmernení inými orgánmi riadenia upozorňuje na vznik zmätočného stavu a vyžaduje dosiahnutie súladu s platnou legislatívou. </w:t>
      </w:r>
    </w:p>
    <w:p w14:paraId="26B2DB40" w14:textId="77777777" w:rsidR="000B3887" w:rsidRPr="00236EBE" w:rsidRDefault="000B3887" w:rsidP="000B3887">
      <w:pPr>
        <w:rPr>
          <w:i/>
          <w:iCs/>
        </w:rPr>
      </w:pPr>
      <w:r w:rsidRPr="00236EBE">
        <w:rPr>
          <w:i/>
          <w:iCs/>
        </w:rPr>
        <w:t>Iniciatívy:</w:t>
      </w:r>
    </w:p>
    <w:p w14:paraId="3691DDC6" w14:textId="77777777" w:rsidR="005545B4" w:rsidRPr="00236EBE" w:rsidRDefault="00433BD6" w:rsidP="005545B4">
      <w:pPr>
        <w:pStyle w:val="Odsekzoznamu"/>
      </w:pPr>
      <w:r>
        <w:t>Do roku 2023</w:t>
      </w:r>
    </w:p>
    <w:p w14:paraId="14F5BF43" w14:textId="77777777" w:rsidR="005545B4" w:rsidRPr="00236EBE" w:rsidRDefault="005545B4"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 gescii MIRRI SR je v spolupráci so ZMOS, ÚMS, SK8 a inými (napr. IT) združeniami spracovaný samostatný dokument, ktorý je zameraný na špecifiká informatizácie územnej samosprávy a zohľadňuje ciele a zámery obsiahnuté v tejto Koncepcii. Je v ňom tiež rozpracované riešenie informatizácie služieb organizácií, ktoré zriaďuje samospráva a ktoré poskytujú služby priamo občanom.</w:t>
      </w:r>
    </w:p>
    <w:p w14:paraId="32B72803" w14:textId="77777777" w:rsidR="005545B4" w:rsidRPr="00236EBE" w:rsidRDefault="005545B4"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MIRRI SR podáva orgánom územnej samosprávy vysvetlenia k implementácii tejto Koncepcie do reálneho života.</w:t>
      </w:r>
    </w:p>
    <w:p w14:paraId="3786B72F" w14:textId="77777777" w:rsidR="005545B4" w:rsidRPr="00236EBE" w:rsidRDefault="005545B4"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MIRRI SR odporúča a podporuje vznik projektov, zameraných na pravidelné vzdelávacie aktivity v jednotlivých oblastiach elektronického výkonu služieb a informatizácie samosprávy.</w:t>
      </w:r>
    </w:p>
    <w:p w14:paraId="462E537A" w14:textId="77777777" w:rsidR="005545B4" w:rsidRPr="00236EBE" w:rsidRDefault="00433BD6" w:rsidP="005545B4">
      <w:pPr>
        <w:pStyle w:val="Odsekzoznamu"/>
      </w:pPr>
      <w:r>
        <w:t>Do roku 2026</w:t>
      </w:r>
    </w:p>
    <w:p w14:paraId="7A453B25" w14:textId="77777777" w:rsidR="005545B4" w:rsidRPr="00236EBE" w:rsidRDefault="004D73C4"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MIRRI SR je iniciátorom pokrytia kľúčových kompetencií preneseného výkonu štátnej správy (napr. stavebné konanie) orgánmi územnej samosprávy modernými a funkčnými informačnými systémami</w:t>
      </w:r>
      <w:r w:rsidR="005545B4" w:rsidRPr="190F7DBA">
        <w:rPr>
          <w:rFonts w:ascii="Calibri" w:hAnsi="Calibri" w:cs="Calibri"/>
          <w:color w:val="000000" w:themeColor="text1"/>
        </w:rPr>
        <w:t>.</w:t>
      </w:r>
    </w:p>
    <w:p w14:paraId="4CFAF3C0" w14:textId="77777777" w:rsidR="005545B4" w:rsidRPr="004D73C4" w:rsidRDefault="00433BD6" w:rsidP="005545B4">
      <w:pPr>
        <w:pStyle w:val="Odsekzoznamu"/>
      </w:pPr>
      <w:r>
        <w:lastRenderedPageBreak/>
        <w:t>Do roku 2030</w:t>
      </w:r>
    </w:p>
    <w:p w14:paraId="5265E996" w14:textId="77777777" w:rsidR="000B3887" w:rsidRPr="004D73C4" w:rsidRDefault="1440EB76"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Územná samospráva má k dispozícii a </w:t>
      </w:r>
      <w:r w:rsidR="6F41DBF2" w:rsidRPr="190F7DBA">
        <w:rPr>
          <w:rFonts w:ascii="Calibri" w:hAnsi="Calibri" w:cs="Calibri"/>
          <w:color w:val="000000" w:themeColor="text1"/>
        </w:rPr>
        <w:t>efektívne</w:t>
      </w:r>
      <w:r w:rsidRPr="190F7DBA">
        <w:rPr>
          <w:rFonts w:ascii="Calibri" w:hAnsi="Calibri" w:cs="Calibri"/>
          <w:color w:val="000000" w:themeColor="text1"/>
        </w:rPr>
        <w:t xml:space="preserve"> využíva</w:t>
      </w:r>
      <w:r w:rsidR="002D7AD4">
        <w:rPr>
          <w:rFonts w:ascii="Calibri" w:hAnsi="Calibri" w:cs="Calibri"/>
          <w:color w:val="000000" w:themeColor="text1"/>
        </w:rPr>
        <w:t xml:space="preserve"> </w:t>
      </w:r>
      <w:r w:rsidRPr="190F7DBA">
        <w:rPr>
          <w:rFonts w:ascii="Calibri" w:hAnsi="Calibri" w:cs="Calibri"/>
          <w:color w:val="000000" w:themeColor="text1"/>
        </w:rPr>
        <w:t>moderné a plne integrované i</w:t>
      </w:r>
      <w:r w:rsidR="52A90F54" w:rsidRPr="190F7DBA">
        <w:rPr>
          <w:rFonts w:ascii="Calibri" w:hAnsi="Calibri" w:cs="Calibri"/>
          <w:color w:val="000000" w:themeColor="text1"/>
        </w:rPr>
        <w:t>nformačné systémy, prostredníctvom ktorých vykonáva prenesené kompetencie štátnej správy</w:t>
      </w:r>
      <w:r w:rsidR="002D7AD4">
        <w:rPr>
          <w:rFonts w:ascii="Calibri" w:hAnsi="Calibri" w:cs="Calibri"/>
          <w:color w:val="000000" w:themeColor="text1"/>
        </w:rPr>
        <w:t xml:space="preserve"> </w:t>
      </w:r>
      <w:r w:rsidR="52A90F54" w:rsidRPr="190F7DBA">
        <w:rPr>
          <w:rFonts w:ascii="Calibri" w:hAnsi="Calibri" w:cs="Calibri"/>
          <w:color w:val="000000" w:themeColor="text1"/>
        </w:rPr>
        <w:t xml:space="preserve">a </w:t>
      </w:r>
      <w:r w:rsidR="57E51409" w:rsidRPr="190F7DBA">
        <w:rPr>
          <w:rFonts w:ascii="Calibri" w:hAnsi="Calibri" w:cs="Calibri"/>
          <w:color w:val="000000" w:themeColor="text1"/>
        </w:rPr>
        <w:t xml:space="preserve">ktoré </w:t>
      </w:r>
      <w:r w:rsidR="52A90F54" w:rsidRPr="190F7DBA">
        <w:rPr>
          <w:rFonts w:ascii="Calibri" w:hAnsi="Calibri" w:cs="Calibri"/>
          <w:color w:val="000000" w:themeColor="text1"/>
        </w:rPr>
        <w:t>sú v súlade s platnou legislatívou a touto Koncepciou.</w:t>
      </w:r>
    </w:p>
    <w:p w14:paraId="2ABEFB5B" w14:textId="77777777" w:rsidR="00250001" w:rsidRPr="004D73C4" w:rsidRDefault="00250001" w:rsidP="0066192A"/>
    <w:p w14:paraId="7BBDA00E" w14:textId="77777777" w:rsidR="00250001" w:rsidRPr="004D73C4" w:rsidRDefault="00250001" w:rsidP="002B60D7">
      <w:pPr>
        <w:pStyle w:val="Nadpis2"/>
      </w:pPr>
      <w:bookmarkStart w:id="118" w:name="_Toc69297711"/>
      <w:bookmarkStart w:id="119" w:name="_Toc70369676"/>
      <w:bookmarkStart w:id="120" w:name="_Toc70711616"/>
      <w:r w:rsidRPr="004D73C4">
        <w:t xml:space="preserve">Efektívne riadenie </w:t>
      </w:r>
      <w:r w:rsidR="00EE3A7B" w:rsidRPr="004D73C4">
        <w:t>digitálneho štátu</w:t>
      </w:r>
      <w:bookmarkEnd w:id="118"/>
      <w:bookmarkEnd w:id="119"/>
      <w:bookmarkEnd w:id="120"/>
    </w:p>
    <w:p w14:paraId="34B23CA9" w14:textId="77777777" w:rsidR="00250001" w:rsidRPr="004D73C4" w:rsidRDefault="00250001" w:rsidP="00551EA4">
      <w:r w:rsidRPr="004D73C4">
        <w:t xml:space="preserve">Pod informatizáciou verejnej správy je potrebné rozumieť systematicky riadený proces, ktorý sa realizuje v rámci celej štruktúry verejnej správy. Vplyvom globálnych trendov sa zvyšujú súčasne s nárokmi na informačné technológie aj metódy ich riadenia. Používatelia elektronických služieb očakávajú adekvátnu reakciu na tento trend a preto je potrebné v dostatočnom predstihu vedieť flexibilne reagovať. Na zabezpečenie flexibility je nutná </w:t>
      </w:r>
      <w:r w:rsidR="00ED0B6E">
        <w:t xml:space="preserve">spolupráca </w:t>
      </w:r>
      <w:r w:rsidRPr="004D73C4">
        <w:t xml:space="preserve">všetkých správcov ITVS a koordinácia zo strany MIRRI SR. </w:t>
      </w:r>
    </w:p>
    <w:p w14:paraId="34CDF7BC" w14:textId="77777777" w:rsidR="00250001" w:rsidRDefault="00250001" w:rsidP="00551EA4">
      <w:r>
        <w:t>Tiež je potrebné si uvedomiť, že ide o nepretržitý proces nastavovania spoločenských, legislatívnych, metodických, technologických a organizačno-personálnych podmienok pri výkone správy, ITVS s cieľom dosiahnuť na jednej strane efektívne a účelné využívanie IT spolu so zodpovedajúcou úpravou procesov verejnej správy a na strane druhej elektronizácia výkonu správy (e-Government) vo forme poskytovanie elektronických služieb.</w:t>
      </w:r>
    </w:p>
    <w:p w14:paraId="5CA5C70E" w14:textId="77777777" w:rsidR="00250001" w:rsidRPr="004D73C4" w:rsidRDefault="00EE3A7B" w:rsidP="00E362F7">
      <w:pPr>
        <w:pStyle w:val="Nadpis3"/>
      </w:pPr>
      <w:bookmarkStart w:id="121" w:name="_Toc63216664"/>
      <w:bookmarkStart w:id="122" w:name="_Toc69297714"/>
      <w:bookmarkStart w:id="123" w:name="_Toc70369677"/>
      <w:bookmarkStart w:id="124" w:name="_Toc70711617"/>
      <w:bookmarkEnd w:id="121"/>
      <w:r>
        <w:t>Centralizácia</w:t>
      </w:r>
      <w:r w:rsidR="006D3F59">
        <w:t>,</w:t>
      </w:r>
      <w:r>
        <w:t xml:space="preserve"> kde to má zmysel</w:t>
      </w:r>
      <w:bookmarkEnd w:id="122"/>
      <w:bookmarkEnd w:id="123"/>
      <w:bookmarkEnd w:id="124"/>
    </w:p>
    <w:p w14:paraId="5ED2432B" w14:textId="77777777" w:rsidR="004C6B6E" w:rsidRPr="004D73C4" w:rsidRDefault="004C6B6E" w:rsidP="004C6B6E">
      <w:pPr>
        <w:rPr>
          <w:b/>
        </w:rPr>
      </w:pPr>
      <w:r w:rsidRPr="004D73C4">
        <w:rPr>
          <w:b/>
        </w:rPr>
        <w:t xml:space="preserve">Prečo je </w:t>
      </w:r>
      <w:r w:rsidR="00E7359B" w:rsidRPr="004D73C4">
        <w:rPr>
          <w:b/>
        </w:rPr>
        <w:t>centralizácia potrebná</w:t>
      </w:r>
    </w:p>
    <w:p w14:paraId="4367B5B8" w14:textId="77777777" w:rsidR="004C6B6E" w:rsidRPr="004D73C4" w:rsidRDefault="004C6B6E" w:rsidP="004C6B6E">
      <w:pPr>
        <w:rPr>
          <w:shd w:val="clear" w:color="auto" w:fill="FFFFFF"/>
        </w:rPr>
      </w:pPr>
      <w:r w:rsidRPr="004D73C4">
        <w:rPr>
          <w:shd w:val="clear" w:color="auto" w:fill="FFFFFF"/>
        </w:rPr>
        <w:t>Princíp centralizácie sa zavádza do riadenia informatizácie verejnej správy s cieľom zaistiť úspory pri prevádzke a rozvoji informačných systémov. Centralizácia má viacero aspektov, ktoré sa vzájomne dopĺňajú a posilňujú výsledný efekt:</w:t>
      </w:r>
    </w:p>
    <w:p w14:paraId="7CB3194D" w14:textId="77777777" w:rsidR="02EAD2B1" w:rsidRDefault="02EAD2B1" w:rsidP="006D77C9">
      <w:pPr>
        <w:pStyle w:val="Odsekzoznamu"/>
        <w:rPr>
          <w:rFonts w:eastAsiaTheme="minorEastAsia" w:cstheme="minorBidi"/>
        </w:rPr>
      </w:pPr>
      <w:r>
        <w:t xml:space="preserve">Opakované </w:t>
      </w:r>
      <w:r w:rsidR="1147C0D4">
        <w:t>p</w:t>
      </w:r>
      <w:r w:rsidR="2CEF11D8">
        <w:t xml:space="preserve">oužívanie </w:t>
      </w:r>
      <w:r w:rsidR="2CEF11D8" w:rsidRPr="006D77C9">
        <w:t>spoločných</w:t>
      </w:r>
      <w:r w:rsidR="2CEF11D8">
        <w:t xml:space="preserve"> modulov</w:t>
      </w:r>
      <w:r w:rsidR="3ADA9E7F">
        <w:t xml:space="preserve"> a</w:t>
      </w:r>
      <w:r w:rsidR="2CEF11D8">
        <w:t xml:space="preserve"> spoločných služieb</w:t>
      </w:r>
      <w:r w:rsidR="00945FC1">
        <w:t xml:space="preserve"> </w:t>
      </w:r>
      <w:r w:rsidR="2CEF11D8">
        <w:t xml:space="preserve">eliminuje potrebu duplicitných riešení, zlepšuje zabezpečenie kvality dát, podporuje jednotnú realizáciu služieb a vnímanie </w:t>
      </w:r>
      <w:r w:rsidR="51381535">
        <w:t xml:space="preserve">elektronických služieb </w:t>
      </w:r>
      <w:r w:rsidR="2CEF11D8">
        <w:t>verejnej správy ako jedn</w:t>
      </w:r>
      <w:r w:rsidR="76DC3C70">
        <w:t xml:space="preserve">otného </w:t>
      </w:r>
      <w:r w:rsidR="2CEF11D8">
        <w:t>cel</w:t>
      </w:r>
      <w:r w:rsidR="1BB1E994">
        <w:t>ku</w:t>
      </w:r>
      <w:r w:rsidR="2CEF11D8">
        <w:t>.</w:t>
      </w:r>
    </w:p>
    <w:p w14:paraId="7DDE876B" w14:textId="77777777" w:rsidR="004C6B6E" w:rsidRPr="004D73C4" w:rsidRDefault="13C08AF5" w:rsidP="004C6B6E">
      <w:pPr>
        <w:pStyle w:val="Odsekzoznamu"/>
      </w:pPr>
      <w:r>
        <w:t>Koncentrácia v podobe centrálnych technologických a personálnych kapacít pre správu hardvéru a softvéru. Koncentráciou sa predchádza duplicitám a dosahujú sa úspory z rozsahu.</w:t>
      </w:r>
    </w:p>
    <w:p w14:paraId="5CFE1C2A" w14:textId="77777777" w:rsidR="004C6B6E" w:rsidRPr="004D73C4" w:rsidRDefault="13C08AF5" w:rsidP="004C6B6E">
      <w:pPr>
        <w:pStyle w:val="Odsekzoznamu"/>
      </w:pPr>
      <w:r>
        <w:t>Štandardizácia umožňuje dosiahnuť homogénny model prevádzkovania, ktorý je lacnejší na prevádzku v porovnaní s heterogénnym prístupom.</w:t>
      </w:r>
    </w:p>
    <w:p w14:paraId="1B8B60AF" w14:textId="77777777" w:rsidR="004C6B6E" w:rsidRPr="004D73C4" w:rsidRDefault="13C08AF5" w:rsidP="004C6B6E">
      <w:pPr>
        <w:pStyle w:val="Odsekzoznamu"/>
      </w:pPr>
      <w:r>
        <w:t>Technologická automatizácia zvyšuje efektivitu pracovníkov a znižuje mieru chybovosti, zvyšuje sa kvality prevádzky.</w:t>
      </w:r>
    </w:p>
    <w:p w14:paraId="4D08E2DB" w14:textId="77777777" w:rsidR="004C6B6E" w:rsidRPr="004D73C4" w:rsidRDefault="13C08AF5" w:rsidP="004C6B6E">
      <w:pPr>
        <w:pStyle w:val="Odsekzoznamu"/>
      </w:pPr>
      <w:r>
        <w:t xml:space="preserve">Špecializácia, keď sa IT pracovníci </w:t>
      </w:r>
      <w:r w:rsidR="6C3EDA31">
        <w:t xml:space="preserve">sústredia </w:t>
      </w:r>
      <w:r>
        <w:t>na menší rozsah štandardných technológií.</w:t>
      </w:r>
    </w:p>
    <w:p w14:paraId="68F3B7C2" w14:textId="77777777" w:rsidR="004C6B6E" w:rsidRPr="004D73C4" w:rsidRDefault="004C6B6E" w:rsidP="004C6B6E">
      <w:pPr>
        <w:rPr>
          <w:shd w:val="clear" w:color="auto" w:fill="FFFFFF"/>
        </w:rPr>
      </w:pPr>
      <w:r w:rsidRPr="004D73C4">
        <w:rPr>
          <w:shd w:val="clear" w:color="auto" w:fill="FFFFFF"/>
        </w:rPr>
        <w:t xml:space="preserve">Dobrá centralizácia </w:t>
      </w:r>
      <w:r w:rsidRPr="004D73C4">
        <w:t xml:space="preserve">je postupný a spoločný proces, ktorý </w:t>
      </w:r>
      <w:r w:rsidRPr="004D73C4">
        <w:rPr>
          <w:shd w:val="clear" w:color="auto" w:fill="FFFFFF"/>
        </w:rPr>
        <w:t xml:space="preserve">súčasne </w:t>
      </w:r>
      <w:r w:rsidRPr="004D73C4">
        <w:t xml:space="preserve">prebieha vo viacerých rovinách: </w:t>
      </w:r>
      <w:r w:rsidRPr="004D73C4">
        <w:rPr>
          <w:shd w:val="clear" w:color="auto" w:fill="FFFFFF"/>
        </w:rPr>
        <w:t>na úrovni hardvérovej, softvérovej, personálnej a procesno-organizačnej. Jednotlivé kroky sú dôkladne a participatívne posudzované. Na podporenie úspešného postupu je zriadená implementačná jednotka zodpovedná posúdenie, naplánovanie, za koordináciu a realizáciu dohodnutých centralizačných aktivít.</w:t>
      </w:r>
    </w:p>
    <w:p w14:paraId="68DD8343" w14:textId="77777777" w:rsidR="004C6B6E" w:rsidRPr="004D73C4" w:rsidRDefault="004C6B6E" w:rsidP="004C6B6E">
      <w:pPr>
        <w:rPr>
          <w:rFonts w:ascii="Calibri" w:hAnsi="Calibri" w:cs="Calibri"/>
          <w:shd w:val="clear" w:color="auto" w:fill="FFFFFF"/>
        </w:rPr>
      </w:pPr>
      <w:r w:rsidRPr="004D73C4">
        <w:t xml:space="preserve">Výsledkom centralizačných aktivít budú úspory verejných financií, spokojnosť občanov s vysokou dostupnosťou digitálnych služieb, skrátenie doby </w:t>
      </w:r>
      <w:r w:rsidRPr="004D73C4">
        <w:rPr>
          <w:rFonts w:ascii="Calibri" w:hAnsi="Calibri" w:cs="Calibri"/>
          <w:shd w:val="clear" w:color="auto" w:fill="FFFFFF"/>
        </w:rPr>
        <w:t>potrebnej na spustenie nových IT služieb</w:t>
      </w:r>
      <w:r w:rsidRPr="004D73C4">
        <w:t xml:space="preserve"> a </w:t>
      </w:r>
      <w:r w:rsidRPr="004D73C4">
        <w:rPr>
          <w:rFonts w:ascii="Calibri" w:hAnsi="Calibri" w:cs="Calibri"/>
          <w:shd w:val="clear" w:color="auto" w:fill="FFFFFF"/>
        </w:rPr>
        <w:t>štandardizované pracovné prostredia informačných systémov pre intuitívnu prácu úradníkov.</w:t>
      </w:r>
    </w:p>
    <w:p w14:paraId="15018FDD" w14:textId="77777777" w:rsidR="004C6B6E" w:rsidRPr="004D73C4" w:rsidRDefault="004C6B6E" w:rsidP="004C6B6E">
      <w:pPr>
        <w:rPr>
          <w:b/>
        </w:rPr>
      </w:pPr>
      <w:r w:rsidRPr="004D73C4">
        <w:rPr>
          <w:b/>
        </w:rPr>
        <w:t>Súčasný stav</w:t>
      </w:r>
    </w:p>
    <w:p w14:paraId="77F8C1B0" w14:textId="77777777" w:rsidR="004C6B6E" w:rsidRPr="004D73C4" w:rsidRDefault="004C6B6E" w:rsidP="3912845A">
      <w:pPr>
        <w:rPr>
          <w:shd w:val="clear" w:color="auto" w:fill="FFFFFF"/>
        </w:rPr>
      </w:pPr>
      <w:r w:rsidRPr="004D73C4">
        <w:rPr>
          <w:shd w:val="clear" w:color="auto" w:fill="FFFFFF"/>
        </w:rPr>
        <w:t>Súčasný stav centralizácie IT sa dá charakterizovať ako začiatok tranzície z rezortných riešení k</w:t>
      </w:r>
      <w:r w:rsidR="00FA5EF2">
        <w:rPr>
          <w:shd w:val="clear" w:color="auto" w:fill="FFFFFF"/>
        </w:rPr>
        <w:t> </w:t>
      </w:r>
      <w:r w:rsidRPr="004D73C4">
        <w:rPr>
          <w:shd w:val="clear" w:color="auto" w:fill="FFFFFF"/>
        </w:rPr>
        <w:t>nadrezortným</w:t>
      </w:r>
      <w:r w:rsidR="00FA5EF2">
        <w:rPr>
          <w:shd w:val="clear" w:color="auto" w:fill="FFFFFF"/>
        </w:rPr>
        <w:t xml:space="preserve"> </w:t>
      </w:r>
      <w:r w:rsidRPr="004D73C4">
        <w:rPr>
          <w:shd w:val="clear" w:color="auto" w:fill="FFFFFF"/>
        </w:rPr>
        <w:t>s</w:t>
      </w:r>
      <w:r w:rsidR="00FA5EF2">
        <w:rPr>
          <w:shd w:val="clear" w:color="auto" w:fill="FFFFFF"/>
        </w:rPr>
        <w:t> </w:t>
      </w:r>
      <w:r w:rsidRPr="004D73C4">
        <w:rPr>
          <w:shd w:val="clear" w:color="auto" w:fill="FFFFFF"/>
        </w:rPr>
        <w:t>veľkým</w:t>
      </w:r>
      <w:r w:rsidR="00FA5EF2">
        <w:rPr>
          <w:shd w:val="clear" w:color="auto" w:fill="FFFFFF"/>
        </w:rPr>
        <w:t xml:space="preserve"> </w:t>
      </w:r>
      <w:r w:rsidRPr="004D73C4">
        <w:rPr>
          <w:shd w:val="clear" w:color="auto" w:fill="FFFFFF"/>
        </w:rPr>
        <w:t>potenciálom ďalšej konsolidácie ako vo vnútri rezortov, tak aj celoštátne. Centrálnym konceptom týchto aktivít je Vládny cloud</w:t>
      </w:r>
      <w:r w:rsidR="39A6D528" w:rsidRPr="3912845A">
        <w:rPr>
          <w:rFonts w:ascii="Calibri" w:eastAsia="Calibri" w:hAnsi="Calibri" w:cs="Calibri"/>
        </w:rPr>
        <w:t>, spoločné moduly a bloky</w:t>
      </w:r>
      <w:r w:rsidRPr="004D73C4">
        <w:rPr>
          <w:shd w:val="clear" w:color="auto" w:fill="FFFFFF"/>
        </w:rPr>
        <w:t xml:space="preserve"> definovan</w:t>
      </w:r>
      <w:r w:rsidR="5D95A85A" w:rsidRPr="004D73C4">
        <w:rPr>
          <w:shd w:val="clear" w:color="auto" w:fill="FFFFFF"/>
        </w:rPr>
        <w:t>é</w:t>
      </w:r>
      <w:r w:rsidRPr="004D73C4">
        <w:rPr>
          <w:shd w:val="clear" w:color="auto" w:fill="FFFFFF"/>
        </w:rPr>
        <w:t xml:space="preserve"> zákonom o e-Governmente, ktorý poskytuje orgánom verejnej správy služby na troch úrovniach:</w:t>
      </w:r>
    </w:p>
    <w:p w14:paraId="1D2B63D1" w14:textId="77777777" w:rsidR="004C6B6E" w:rsidRPr="004D73C4" w:rsidRDefault="13C08AF5" w:rsidP="004C6B6E">
      <w:pPr>
        <w:pStyle w:val="Odsekzoznamu"/>
      </w:pPr>
      <w:r>
        <w:t>Hardvérová infraštruktúra ako služba IaaS</w:t>
      </w:r>
      <w:r w:rsidR="1A1D6218">
        <w:t>,</w:t>
      </w:r>
    </w:p>
    <w:p w14:paraId="24A10B8A" w14:textId="77777777" w:rsidR="004C6B6E" w:rsidRPr="004D73C4" w:rsidRDefault="13C08AF5" w:rsidP="004C6B6E">
      <w:pPr>
        <w:pStyle w:val="Odsekzoznamu"/>
      </w:pPr>
      <w:r>
        <w:t>Platforma ako služba PaaS</w:t>
      </w:r>
      <w:r w:rsidR="1A1D6218">
        <w:t>,</w:t>
      </w:r>
    </w:p>
    <w:p w14:paraId="514472F7" w14:textId="77777777" w:rsidR="004C6B6E" w:rsidRPr="004D73C4" w:rsidRDefault="13C08AF5" w:rsidP="004C6B6E">
      <w:pPr>
        <w:pStyle w:val="Odsekzoznamu"/>
      </w:pPr>
      <w:r>
        <w:t>Softvér ako služba SaaS.</w:t>
      </w:r>
    </w:p>
    <w:p w14:paraId="49FB52A9" w14:textId="77777777" w:rsidR="004C6B6E" w:rsidRPr="004D73C4" w:rsidRDefault="004C6B6E" w:rsidP="3912845A">
      <w:pPr>
        <w:rPr>
          <w:shd w:val="clear" w:color="auto" w:fill="FFFFFF"/>
        </w:rPr>
      </w:pPr>
      <w:r w:rsidRPr="004D73C4">
        <w:rPr>
          <w:shd w:val="clear" w:color="auto" w:fill="FFFFFF"/>
        </w:rPr>
        <w:lastRenderedPageBreak/>
        <w:t xml:space="preserve">Vládny cloud sa skladá z privátnej časti, komunitnej časti a z verejnej časti, kde sa poskytujú certifikované služby poskytovateľov cloudových služieb. Všetky poskytované služby sú publikované v Katalógu služieb vládneho cloudu. MIRRI </w:t>
      </w:r>
      <w:r w:rsidR="00E7359B" w:rsidRPr="004D73C4">
        <w:rPr>
          <w:shd w:val="clear" w:color="auto" w:fill="FFFFFF"/>
        </w:rPr>
        <w:t xml:space="preserve">SR </w:t>
      </w:r>
      <w:r w:rsidRPr="004D73C4">
        <w:rPr>
          <w:shd w:val="clear" w:color="auto" w:fill="FFFFFF"/>
        </w:rPr>
        <w:t xml:space="preserve">koordinuje poskytovanie a používanie </w:t>
      </w:r>
      <w:r w:rsidR="6362F576" w:rsidRPr="3912845A">
        <w:rPr>
          <w:rFonts w:ascii="Calibri" w:eastAsia="Calibri" w:hAnsi="Calibri" w:cs="Calibri"/>
        </w:rPr>
        <w:t xml:space="preserve">spoločných modulov, spoločných blokov a </w:t>
      </w:r>
      <w:r w:rsidRPr="004D73C4">
        <w:rPr>
          <w:shd w:val="clear" w:color="auto" w:fill="FFFFFF"/>
        </w:rPr>
        <w:t>vládnych cloudových služieb.</w:t>
      </w:r>
    </w:p>
    <w:p w14:paraId="499EEA92" w14:textId="77777777" w:rsidR="004C6B6E" w:rsidRPr="004D73C4" w:rsidRDefault="004C6B6E" w:rsidP="004C6B6E">
      <w:pPr>
        <w:rPr>
          <w:b/>
        </w:rPr>
      </w:pPr>
      <w:r w:rsidRPr="004D73C4">
        <w:rPr>
          <w:b/>
        </w:rPr>
        <w:t xml:space="preserve">Sumarizácia hlavných </w:t>
      </w:r>
      <w:r w:rsidR="00FC5596" w:rsidRPr="004D73C4">
        <w:rPr>
          <w:b/>
        </w:rPr>
        <w:t>o</w:t>
      </w:r>
      <w:r w:rsidR="00FC5596" w:rsidRPr="004D73C4">
        <w:rPr>
          <w:b/>
          <w:bCs/>
        </w:rPr>
        <w:t>patrení</w:t>
      </w:r>
      <w:r w:rsidRPr="004D73C4">
        <w:rPr>
          <w:b/>
        </w:rPr>
        <w:t>:</w:t>
      </w:r>
    </w:p>
    <w:p w14:paraId="7099C052" w14:textId="77777777" w:rsidR="00F14F39" w:rsidRPr="009D4856" w:rsidRDefault="0FBFF87A" w:rsidP="00F06821">
      <w:pPr>
        <w:pStyle w:val="Odsekzoznamu"/>
        <w:numPr>
          <w:ilvl w:val="0"/>
          <w:numId w:val="34"/>
        </w:numPr>
        <w:rPr>
          <w:rStyle w:val="eop"/>
          <w:b/>
          <w:bCs/>
        </w:rPr>
      </w:pPr>
      <w:r w:rsidRPr="009D4856">
        <w:rPr>
          <w:rStyle w:val="eop"/>
          <w:b/>
          <w:bCs/>
        </w:rPr>
        <w:t xml:space="preserve">Vytvorenie centrálnych SaaS služieb pre zabezpečenie podporných procesov </w:t>
      </w:r>
    </w:p>
    <w:p w14:paraId="55740F76" w14:textId="77777777" w:rsidR="00F14F39" w:rsidRPr="004D73C4" w:rsidRDefault="00F14F39" w:rsidP="00F06821">
      <w:pPr>
        <w:pStyle w:val="Odsekzoznamu"/>
        <w:numPr>
          <w:ilvl w:val="1"/>
          <w:numId w:val="27"/>
        </w:numPr>
        <w:rPr>
          <w:rStyle w:val="eop"/>
          <w:rFonts w:eastAsiaTheme="minorEastAsia" w:cstheme="minorBidi"/>
          <w:szCs w:val="22"/>
        </w:rPr>
      </w:pPr>
      <w:r w:rsidRPr="3912845A">
        <w:rPr>
          <w:rStyle w:val="eop"/>
        </w:rPr>
        <w:t>Spravovanie identít zamestnancov</w:t>
      </w:r>
    </w:p>
    <w:p w14:paraId="6081FD81" w14:textId="77777777" w:rsidR="00F14F39" w:rsidRPr="004D73C4" w:rsidRDefault="00F14F39" w:rsidP="00F06821">
      <w:pPr>
        <w:pStyle w:val="Odsekzoznamu"/>
        <w:numPr>
          <w:ilvl w:val="1"/>
          <w:numId w:val="27"/>
        </w:numPr>
        <w:rPr>
          <w:rStyle w:val="eop"/>
        </w:rPr>
      </w:pPr>
      <w:r w:rsidRPr="004D73C4">
        <w:rPr>
          <w:rStyle w:val="eop"/>
        </w:rPr>
        <w:t>Spravovanie koncových zariadení a</w:t>
      </w:r>
      <w:r w:rsidR="002E4C68">
        <w:rPr>
          <w:rStyle w:val="eop"/>
        </w:rPr>
        <w:t> </w:t>
      </w:r>
      <w:r w:rsidRPr="004D73C4">
        <w:rPr>
          <w:rStyle w:val="eop"/>
        </w:rPr>
        <w:t>nástrojov</w:t>
      </w:r>
      <w:r w:rsidR="002E4C68">
        <w:rPr>
          <w:rStyle w:val="eop"/>
        </w:rPr>
        <w:t xml:space="preserve"> pre spoluprácu</w:t>
      </w:r>
    </w:p>
    <w:p w14:paraId="75E71D52" w14:textId="77777777" w:rsidR="00F14F39" w:rsidRPr="004D73C4" w:rsidRDefault="00F14F39" w:rsidP="00F06821">
      <w:pPr>
        <w:pStyle w:val="Odsekzoznamu"/>
        <w:numPr>
          <w:ilvl w:val="1"/>
          <w:numId w:val="27"/>
        </w:numPr>
        <w:rPr>
          <w:rStyle w:val="eop"/>
        </w:rPr>
      </w:pPr>
      <w:r w:rsidRPr="004D73C4">
        <w:rPr>
          <w:rStyle w:val="eop"/>
        </w:rPr>
        <w:t xml:space="preserve">Implementácia centralizovaného Helpdesku </w:t>
      </w:r>
    </w:p>
    <w:p w14:paraId="3E5CBC5D" w14:textId="77777777" w:rsidR="00F14F39" w:rsidRPr="004D73C4" w:rsidRDefault="00F14F39" w:rsidP="00F06821">
      <w:pPr>
        <w:pStyle w:val="Odsekzoznamu"/>
        <w:numPr>
          <w:ilvl w:val="1"/>
          <w:numId w:val="27"/>
        </w:numPr>
        <w:rPr>
          <w:rStyle w:val="eop"/>
        </w:rPr>
      </w:pPr>
      <w:r w:rsidRPr="004D73C4">
        <w:rPr>
          <w:rStyle w:val="eop"/>
        </w:rPr>
        <w:t>Zjednocovanie systému pre správu webov</w:t>
      </w:r>
    </w:p>
    <w:p w14:paraId="06B31315" w14:textId="77777777" w:rsidR="00F14F39" w:rsidRPr="004D73C4" w:rsidRDefault="00F14F39" w:rsidP="00F06821">
      <w:pPr>
        <w:pStyle w:val="Odsekzoznamu"/>
        <w:numPr>
          <w:ilvl w:val="1"/>
          <w:numId w:val="27"/>
        </w:numPr>
        <w:rPr>
          <w:rStyle w:val="eop"/>
        </w:rPr>
      </w:pPr>
      <w:r w:rsidRPr="004D73C4">
        <w:rPr>
          <w:rStyle w:val="eop"/>
        </w:rPr>
        <w:t>Nasadenie systému pre online vzdelávanie zamestnancov</w:t>
      </w:r>
    </w:p>
    <w:p w14:paraId="1EEFB132" w14:textId="77777777" w:rsidR="00F14F39" w:rsidRPr="004D73C4" w:rsidRDefault="00F14F39" w:rsidP="00F06821">
      <w:pPr>
        <w:pStyle w:val="Odsekzoznamu"/>
        <w:numPr>
          <w:ilvl w:val="1"/>
          <w:numId w:val="27"/>
        </w:numPr>
        <w:rPr>
          <w:rStyle w:val="eop"/>
        </w:rPr>
      </w:pPr>
      <w:r w:rsidRPr="004D73C4">
        <w:rPr>
          <w:rStyle w:val="eop"/>
        </w:rPr>
        <w:t>Nasadenie podporných spoločných blokov (SaaS)</w:t>
      </w:r>
    </w:p>
    <w:p w14:paraId="6C6D9737" w14:textId="77777777" w:rsidR="00F14F39" w:rsidRPr="004D73C4" w:rsidRDefault="00F14F39" w:rsidP="00F06821">
      <w:pPr>
        <w:pStyle w:val="Odsekzoznamu"/>
        <w:numPr>
          <w:ilvl w:val="1"/>
          <w:numId w:val="27"/>
        </w:numPr>
        <w:rPr>
          <w:rStyle w:val="eop"/>
        </w:rPr>
      </w:pPr>
      <w:r w:rsidRPr="004D73C4">
        <w:rPr>
          <w:rStyle w:val="eop"/>
        </w:rPr>
        <w:t>Nasadenie spoločného bloku pre jednoduché agendy</w:t>
      </w:r>
    </w:p>
    <w:p w14:paraId="434F00D5" w14:textId="77777777" w:rsidR="00F14F39" w:rsidRPr="009D4856" w:rsidRDefault="00F14F39" w:rsidP="00F06821">
      <w:pPr>
        <w:pStyle w:val="Odsekzoznamu"/>
        <w:numPr>
          <w:ilvl w:val="0"/>
          <w:numId w:val="34"/>
        </w:numPr>
        <w:rPr>
          <w:rStyle w:val="eop"/>
          <w:b/>
          <w:bCs/>
        </w:rPr>
      </w:pPr>
      <w:r w:rsidRPr="009D4856">
        <w:rPr>
          <w:rStyle w:val="eop"/>
          <w:b/>
          <w:bCs/>
        </w:rPr>
        <w:t>Dobudovanie Cloudovej kancelárie MIRRI</w:t>
      </w:r>
      <w:r w:rsidR="00F10B43" w:rsidRPr="009D4856">
        <w:rPr>
          <w:rStyle w:val="eop"/>
          <w:b/>
          <w:bCs/>
        </w:rPr>
        <w:t xml:space="preserve"> SR</w:t>
      </w:r>
    </w:p>
    <w:p w14:paraId="48DFBBED" w14:textId="77777777" w:rsidR="00F14F39" w:rsidRDefault="00F14F39" w:rsidP="00F06821">
      <w:pPr>
        <w:pStyle w:val="Odsekzoznamu"/>
        <w:numPr>
          <w:ilvl w:val="1"/>
          <w:numId w:val="33"/>
        </w:numPr>
        <w:rPr>
          <w:rStyle w:val="eop"/>
        </w:rPr>
      </w:pPr>
      <w:r>
        <w:rPr>
          <w:rStyle w:val="eop"/>
        </w:rPr>
        <w:t>Vytvorenie kancelárie a jej štatútu</w:t>
      </w:r>
    </w:p>
    <w:p w14:paraId="4A39570D" w14:textId="77777777" w:rsidR="00F14F39" w:rsidRPr="004D73C4" w:rsidRDefault="00F14F39" w:rsidP="00F06821">
      <w:pPr>
        <w:pStyle w:val="Odsekzoznamu"/>
        <w:numPr>
          <w:ilvl w:val="1"/>
          <w:numId w:val="33"/>
        </w:numPr>
        <w:rPr>
          <w:rStyle w:val="eop"/>
        </w:rPr>
      </w:pPr>
      <w:r w:rsidRPr="004D73C4">
        <w:rPr>
          <w:rStyle w:val="eop"/>
        </w:rPr>
        <w:t>Za</w:t>
      </w:r>
      <w:r>
        <w:rPr>
          <w:rStyle w:val="eop"/>
        </w:rPr>
        <w:t>vedenie</w:t>
      </w:r>
      <w:r w:rsidRPr="004D73C4">
        <w:rPr>
          <w:rStyle w:val="eop"/>
        </w:rPr>
        <w:t xml:space="preserve"> procesov pre efektívnu prevádzku služieb vládneho cloudu</w:t>
      </w:r>
      <w:r>
        <w:rPr>
          <w:rStyle w:val="eop"/>
        </w:rPr>
        <w:t xml:space="preserve"> (vrátane </w:t>
      </w:r>
      <w:r w:rsidR="002E4C68">
        <w:rPr>
          <w:rStyle w:val="eop"/>
        </w:rPr>
        <w:t>monitoringu</w:t>
      </w:r>
      <w:r>
        <w:rPr>
          <w:rStyle w:val="eop"/>
        </w:rPr>
        <w:t xml:space="preserve"> kvality,</w:t>
      </w:r>
      <w:r w:rsidR="00934846">
        <w:rPr>
          <w:rStyle w:val="eop"/>
        </w:rPr>
        <w:t xml:space="preserve"> </w:t>
      </w:r>
      <w:r>
        <w:rPr>
          <w:rStyle w:val="eop"/>
        </w:rPr>
        <w:t xml:space="preserve">využívania samotných služieb) </w:t>
      </w:r>
    </w:p>
    <w:p w14:paraId="14CD7367" w14:textId="77777777" w:rsidR="00F14F39" w:rsidRDefault="00F14F39" w:rsidP="00F06821">
      <w:pPr>
        <w:pStyle w:val="Odsekzoznamu"/>
        <w:numPr>
          <w:ilvl w:val="1"/>
          <w:numId w:val="33"/>
        </w:numPr>
        <w:rPr>
          <w:rStyle w:val="eop"/>
        </w:rPr>
      </w:pPr>
      <w:r>
        <w:rPr>
          <w:rStyle w:val="eop"/>
        </w:rPr>
        <w:t>Vytvorenie a údržba stratégie budovania vládneho cloudu a podmienok využívania cloudových služieb</w:t>
      </w:r>
    </w:p>
    <w:p w14:paraId="28D0FC8D" w14:textId="77777777" w:rsidR="002C2D5B" w:rsidRPr="004D73C4" w:rsidRDefault="00F14F39" w:rsidP="00F06821">
      <w:pPr>
        <w:pStyle w:val="Odsekzoznamu"/>
        <w:numPr>
          <w:ilvl w:val="1"/>
          <w:numId w:val="33"/>
        </w:numPr>
        <w:rPr>
          <w:rStyle w:val="eop"/>
        </w:rPr>
      </w:pPr>
      <w:r w:rsidRPr="3912845A">
        <w:rPr>
          <w:rStyle w:val="eop"/>
        </w:rPr>
        <w:t>Podpora medzinárodnej integrácie vládneho cloudu</w:t>
      </w:r>
    </w:p>
    <w:p w14:paraId="747587A9" w14:textId="77777777" w:rsidR="1258F340" w:rsidRDefault="1258F340" w:rsidP="00F06821">
      <w:pPr>
        <w:pStyle w:val="Odsekzoznamu"/>
        <w:numPr>
          <w:ilvl w:val="1"/>
          <w:numId w:val="33"/>
        </w:numPr>
        <w:rPr>
          <w:rFonts w:eastAsiaTheme="minorEastAsia" w:cstheme="minorBidi"/>
          <w:szCs w:val="22"/>
        </w:rPr>
      </w:pPr>
      <w:r w:rsidRPr="3912845A">
        <w:rPr>
          <w:rFonts w:ascii="Calibri" w:eastAsia="Calibri" w:hAnsi="Calibri" w:cs="Calibri"/>
          <w:szCs w:val="22"/>
        </w:rPr>
        <w:t>Budovanie centrálnych kapacít – Konsolidácia privátnej časti dátových centier</w:t>
      </w:r>
    </w:p>
    <w:p w14:paraId="1A95A047" w14:textId="77777777" w:rsidR="00F14F39" w:rsidRDefault="2D99EDCB" w:rsidP="002C2D5B">
      <w:pPr>
        <w:rPr>
          <w:b/>
          <w:bCs/>
        </w:rPr>
      </w:pPr>
      <w:r w:rsidRPr="3912845A">
        <w:rPr>
          <w:b/>
          <w:bCs/>
        </w:rPr>
        <w:t xml:space="preserve">Opatrenie </w:t>
      </w:r>
      <w:r w:rsidR="6A3D81D3" w:rsidRPr="3912845A">
        <w:rPr>
          <w:b/>
          <w:bCs/>
        </w:rPr>
        <w:t xml:space="preserve">1 – </w:t>
      </w:r>
      <w:r w:rsidR="243CB366" w:rsidRPr="3912845A">
        <w:rPr>
          <w:rStyle w:val="eop"/>
          <w:b/>
          <w:bCs/>
        </w:rPr>
        <w:t>Vytvorenie centrálnych SaaS služieb pre zabezpečenie podporných procesov</w:t>
      </w:r>
      <w:r w:rsidR="372B3B9F" w:rsidRPr="3912845A">
        <w:rPr>
          <w:rStyle w:val="eop"/>
          <w:b/>
          <w:bCs/>
        </w:rPr>
        <w:t xml:space="preserve"> </w:t>
      </w:r>
    </w:p>
    <w:p w14:paraId="7932917E" w14:textId="77777777" w:rsidR="004C6B6E" w:rsidRPr="004D73C4" w:rsidRDefault="004C6B6E" w:rsidP="002C2D5B">
      <w:pPr>
        <w:rPr>
          <w:rStyle w:val="normaltextrun"/>
          <w:rFonts w:ascii="Calibri" w:hAnsi="Calibri" w:cs="Calibri"/>
          <w:b/>
          <w:bCs/>
        </w:rPr>
      </w:pPr>
      <w:r w:rsidRPr="004D73C4">
        <w:rPr>
          <w:b/>
          <w:bCs/>
        </w:rPr>
        <w:t xml:space="preserve">SaaS služba </w:t>
      </w:r>
      <w:r w:rsidR="00CC3BC0" w:rsidRPr="004D73C4">
        <w:rPr>
          <w:b/>
          <w:bCs/>
        </w:rPr>
        <w:t>–</w:t>
      </w:r>
      <w:r w:rsidRPr="004D73C4">
        <w:rPr>
          <w:b/>
          <w:bCs/>
        </w:rPr>
        <w:t xml:space="preserve"> </w:t>
      </w:r>
      <w:r w:rsidR="002C2D5B" w:rsidRPr="004D73C4">
        <w:rPr>
          <w:b/>
          <w:bCs/>
        </w:rPr>
        <w:t>Spravovanie identít zamestnancov</w:t>
      </w:r>
    </w:p>
    <w:p w14:paraId="2404767A" w14:textId="77777777" w:rsidR="004C6B6E" w:rsidRPr="004D73C4" w:rsidRDefault="004C6B6E" w:rsidP="004C6B6E">
      <w:r w:rsidRPr="004D73C4">
        <w:t>Vybuduje</w:t>
      </w:r>
      <w:r w:rsidR="001B5326">
        <w:t>me</w:t>
      </w:r>
      <w:r w:rsidRPr="004D73C4">
        <w:t xml:space="preserve"> bude</w:t>
      </w:r>
      <w:r w:rsidR="001B5326">
        <w:t>me</w:t>
      </w:r>
      <w:r w:rsidRPr="004D73C4">
        <w:t xml:space="preserve"> poskytovať manažment</w:t>
      </w:r>
      <w:r w:rsidR="0001073D" w:rsidRPr="004D73C4">
        <w:t xml:space="preserve"> identít ako spoločný blok</w:t>
      </w:r>
      <w:r w:rsidRPr="004D73C4">
        <w:t xml:space="preserve"> typu služba SaaS (ďalej </w:t>
      </w:r>
      <w:r w:rsidR="008C17BD" w:rsidRPr="004D73C4">
        <w:t xml:space="preserve">len </w:t>
      </w:r>
      <w:r w:rsidR="0001073D" w:rsidRPr="004D73C4">
        <w:t>„</w:t>
      </w:r>
      <w:r w:rsidRPr="004D73C4">
        <w:t>IdM</w:t>
      </w:r>
      <w:r w:rsidR="0001073D" w:rsidRPr="004D73C4">
        <w:t>“</w:t>
      </w:r>
      <w:r w:rsidRPr="004D73C4">
        <w:t>).</w:t>
      </w:r>
      <w:r w:rsidR="00752FB6" w:rsidRPr="004D73C4">
        <w:t xml:space="preserve"> </w:t>
      </w:r>
      <w:r w:rsidRPr="004D73C4">
        <w:t xml:space="preserve">OVM budú pri prideľovaní prístupov do informačných systémov štátnej správy postupovať jednotným spôsobom. IdM bude disponovať integračným rozhraním na personálne informačné systémy a tiež štandardizovaným rozhraním na informačné systémy, ku ktorým bude overovať prístupy. IdM bude podporovať udeľovanie prístupov pre osoby z iných OVM vďaka federácii identít v rámci skupiny IdM a bude podporovať vytváranie časovo obmedzených identít pre tzv. hostí, t.j. pre osoby, ktorých organizácia nie je súčasťou federácie identít. K dispozícii je metodický návod pre správne nasadenie a používanie IdM v súlade so zákonnými normami, najmä z oblasti </w:t>
      </w:r>
      <w:r w:rsidR="00A60749">
        <w:t>KIB</w:t>
      </w:r>
      <w:r w:rsidRPr="004D73C4">
        <w:t>.</w:t>
      </w:r>
    </w:p>
    <w:p w14:paraId="5A41E8C8" w14:textId="77777777" w:rsidR="003F4A82" w:rsidRPr="004D73C4" w:rsidRDefault="003F4A82" w:rsidP="003F4A82">
      <w:pPr>
        <w:rPr>
          <w:i/>
          <w:iCs/>
        </w:rPr>
      </w:pPr>
      <w:r w:rsidRPr="004D73C4">
        <w:rPr>
          <w:i/>
          <w:iCs/>
        </w:rPr>
        <w:t>Iniciatívy:</w:t>
      </w:r>
    </w:p>
    <w:p w14:paraId="2D8C1EEB" w14:textId="77777777" w:rsidR="004C6B6E" w:rsidRPr="00236EBE" w:rsidRDefault="00433BD6" w:rsidP="004C6B6E">
      <w:pPr>
        <w:pStyle w:val="Odsekzoznamu"/>
      </w:pPr>
      <w:r>
        <w:t>Do roku 2023</w:t>
      </w:r>
      <w:r w:rsidR="13C08AF5">
        <w:t xml:space="preserve"> </w:t>
      </w:r>
    </w:p>
    <w:p w14:paraId="738AE42D" w14:textId="15A2013A"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vytvoriť IdM ako SaaS a nasadiť v rámci MIRRI</w:t>
      </w:r>
      <w:r w:rsidR="00E86474" w:rsidRPr="190F7DBA">
        <w:rPr>
          <w:rFonts w:ascii="Calibri" w:hAnsi="Calibri" w:cs="Calibri"/>
          <w:color w:val="000000" w:themeColor="text1"/>
        </w:rPr>
        <w:t xml:space="preserve"> SR</w:t>
      </w:r>
      <w:r w:rsidRPr="190F7DBA">
        <w:rPr>
          <w:rFonts w:ascii="Calibri" w:hAnsi="Calibri" w:cs="Calibri"/>
          <w:color w:val="000000" w:themeColor="text1"/>
        </w:rPr>
        <w:t>, Úradu vlády</w:t>
      </w:r>
      <w:r w:rsidR="00752FB6" w:rsidRPr="190F7DBA">
        <w:rPr>
          <w:rFonts w:ascii="Calibri" w:hAnsi="Calibri" w:cs="Calibri"/>
          <w:color w:val="000000" w:themeColor="text1"/>
        </w:rPr>
        <w:t xml:space="preserve"> </w:t>
      </w:r>
      <w:r w:rsidRPr="190F7DBA">
        <w:rPr>
          <w:rFonts w:ascii="Calibri" w:hAnsi="Calibri" w:cs="Calibri"/>
          <w:color w:val="000000" w:themeColor="text1"/>
        </w:rPr>
        <w:t>a jedného ďalšieho ministerstva vrátane ich podriadených organizácií</w:t>
      </w:r>
      <w:r w:rsidR="009D4856">
        <w:rPr>
          <w:rFonts w:ascii="Calibri" w:hAnsi="Calibri" w:cs="Calibri"/>
          <w:color w:val="000000" w:themeColor="text1"/>
        </w:rPr>
        <w:t>,</w:t>
      </w:r>
    </w:p>
    <w:p w14:paraId="32608524" w14:textId="77777777" w:rsidR="004C6B6E" w:rsidRPr="004D73C4" w:rsidRDefault="00433BD6" w:rsidP="004C6B6E">
      <w:pPr>
        <w:pStyle w:val="Odsekzoznamu"/>
      </w:pPr>
      <w:r>
        <w:t>Do roku 2026</w:t>
      </w:r>
      <w:r w:rsidR="13C08AF5">
        <w:t xml:space="preserve"> </w:t>
      </w:r>
    </w:p>
    <w:p w14:paraId="3BE0740B" w14:textId="0315CCB7" w:rsidR="004C6B6E" w:rsidRPr="004D73C4"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nasadiť</w:t>
      </w:r>
      <w:r w:rsidR="00752FB6" w:rsidRPr="190F7DBA">
        <w:rPr>
          <w:rFonts w:ascii="Calibri" w:hAnsi="Calibri" w:cs="Calibri"/>
          <w:color w:val="000000" w:themeColor="text1"/>
        </w:rPr>
        <w:t xml:space="preserve"> </w:t>
      </w:r>
      <w:r w:rsidRPr="190F7DBA">
        <w:rPr>
          <w:rFonts w:ascii="Calibri" w:hAnsi="Calibri" w:cs="Calibri"/>
          <w:color w:val="000000" w:themeColor="text1"/>
        </w:rPr>
        <w:t xml:space="preserve">IdM na ministerstvách a ostatných </w:t>
      </w:r>
      <w:r w:rsidR="002E72F0" w:rsidRPr="190F7DBA">
        <w:rPr>
          <w:rFonts w:ascii="Calibri" w:hAnsi="Calibri" w:cs="Calibri"/>
        </w:rPr>
        <w:t xml:space="preserve">ÚOŠS </w:t>
      </w:r>
      <w:r w:rsidRPr="190F7DBA">
        <w:rPr>
          <w:rFonts w:ascii="Calibri" w:hAnsi="Calibri" w:cs="Calibri"/>
          <w:color w:val="000000" w:themeColor="text1"/>
        </w:rPr>
        <w:t>vrátane ich podriadených organizácií</w:t>
      </w:r>
      <w:r w:rsidR="009D4856">
        <w:rPr>
          <w:rFonts w:ascii="Calibri" w:hAnsi="Calibri" w:cs="Calibri"/>
          <w:color w:val="000000" w:themeColor="text1"/>
        </w:rPr>
        <w:t>,</w:t>
      </w:r>
    </w:p>
    <w:p w14:paraId="2CD0AC27" w14:textId="77777777" w:rsidR="004C6B6E" w:rsidRPr="004D73C4" w:rsidRDefault="00433BD6" w:rsidP="004C6B6E">
      <w:pPr>
        <w:pStyle w:val="Odsekzoznamu"/>
      </w:pPr>
      <w:r>
        <w:t>Do roku 2030</w:t>
      </w:r>
      <w:r w:rsidR="13C08AF5">
        <w:t xml:space="preserve"> </w:t>
      </w:r>
    </w:p>
    <w:p w14:paraId="5C692C0F" w14:textId="765B3642" w:rsidR="004C6B6E" w:rsidRPr="004D73C4"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nasadiť IdM v ostatných org</w:t>
      </w:r>
      <w:r w:rsidR="00D5491E" w:rsidRPr="190F7DBA">
        <w:rPr>
          <w:rFonts w:ascii="Calibri" w:hAnsi="Calibri" w:cs="Calibri"/>
          <w:color w:val="000000" w:themeColor="text1"/>
        </w:rPr>
        <w:t>ánoch verejnej správy</w:t>
      </w:r>
      <w:r w:rsidR="009D4856">
        <w:rPr>
          <w:rFonts w:ascii="Calibri" w:hAnsi="Calibri" w:cs="Calibri"/>
          <w:color w:val="000000" w:themeColor="text1"/>
        </w:rPr>
        <w:t>.</w:t>
      </w:r>
    </w:p>
    <w:p w14:paraId="49CC17C3" w14:textId="77777777" w:rsidR="004C6B6E" w:rsidRPr="004D73C4" w:rsidRDefault="004C6B6E" w:rsidP="002C2D5B">
      <w:pPr>
        <w:rPr>
          <w:b/>
          <w:bCs/>
        </w:rPr>
      </w:pPr>
      <w:r w:rsidRPr="004D73C4">
        <w:rPr>
          <w:b/>
          <w:bCs/>
        </w:rPr>
        <w:t xml:space="preserve">BPaaS služba </w:t>
      </w:r>
      <w:r w:rsidR="0001073D" w:rsidRPr="004D73C4">
        <w:rPr>
          <w:b/>
          <w:bCs/>
        </w:rPr>
        <w:t>–</w:t>
      </w:r>
      <w:r w:rsidRPr="004D73C4">
        <w:rPr>
          <w:b/>
          <w:bCs/>
        </w:rPr>
        <w:t xml:space="preserve"> </w:t>
      </w:r>
      <w:r w:rsidR="002C2D5B" w:rsidRPr="004D73C4">
        <w:rPr>
          <w:b/>
          <w:bCs/>
        </w:rPr>
        <w:t>Spravovanie koncových zariadení a</w:t>
      </w:r>
      <w:r w:rsidR="00F14F39">
        <w:rPr>
          <w:b/>
          <w:bCs/>
        </w:rPr>
        <w:t> </w:t>
      </w:r>
      <w:r w:rsidR="002C2D5B" w:rsidRPr="004D73C4">
        <w:rPr>
          <w:b/>
          <w:bCs/>
        </w:rPr>
        <w:t>nástrojov</w:t>
      </w:r>
      <w:r w:rsidR="00F14F39">
        <w:rPr>
          <w:b/>
          <w:bCs/>
        </w:rPr>
        <w:t xml:space="preserve"> pre spoluprácu</w:t>
      </w:r>
    </w:p>
    <w:p w14:paraId="35B8654A" w14:textId="77777777" w:rsidR="004C6B6E" w:rsidRPr="004D73C4" w:rsidRDefault="004C6B6E" w:rsidP="004C6B6E">
      <w:r w:rsidRPr="004D73C4">
        <w:t>Správa koncových zariadení typu počítače, notebooky, periférie,</w:t>
      </w:r>
      <w:r w:rsidR="00CC3BC0" w:rsidRPr="004D73C4">
        <w:t xml:space="preserve"> LAN siete a mobilné zariadenia</w:t>
      </w:r>
      <w:r w:rsidRPr="004D73C4">
        <w:t>,</w:t>
      </w:r>
      <w:r w:rsidR="00CC3BC0" w:rsidRPr="004D73C4">
        <w:t xml:space="preserve"> </w:t>
      </w:r>
      <w:r w:rsidRPr="004D73C4">
        <w:t xml:space="preserve">t.j. hardvér a softvérové vybavenie je automatizovaná a centralizovaná na princípe hierarchie a geografických možností. Správa centrálnych služieb typu email, platforma </w:t>
      </w:r>
      <w:r w:rsidR="00F14F39">
        <w:t xml:space="preserve">pre spoluprácu </w:t>
      </w:r>
      <w:r w:rsidRPr="004D73C4">
        <w:t xml:space="preserve">a správa licencií sú zabezpečované centrálnou organizáciou. </w:t>
      </w:r>
      <w:r w:rsidR="00F14F39">
        <w:t>P</w:t>
      </w:r>
      <w:r w:rsidRPr="004D73C4">
        <w:t xml:space="preserve">latforma </w:t>
      </w:r>
      <w:r w:rsidR="00F14F39">
        <w:t xml:space="preserve">pre spoluprácu </w:t>
      </w:r>
      <w:r w:rsidRPr="004D73C4">
        <w:t xml:space="preserve">podporuje zber údajov prostredníctvom formulárov. Nástroje pre správu koncových zariadení a centrálnych služieb sú integrované navzájom, na IdM a na nástroj na riadenie životného cyklu IT prostriedkov (ďalej </w:t>
      </w:r>
      <w:r w:rsidR="008C17BD" w:rsidRPr="004D73C4">
        <w:t xml:space="preserve">len </w:t>
      </w:r>
      <w:r w:rsidR="00150912" w:rsidRPr="004D73C4">
        <w:t>„</w:t>
      </w:r>
      <w:r w:rsidRPr="004D73C4">
        <w:t>ITAM</w:t>
      </w:r>
      <w:r w:rsidR="00150912" w:rsidRPr="004D73C4">
        <w:t>“</w:t>
      </w:r>
      <w:r w:rsidRPr="004D73C4">
        <w:t xml:space="preserve">). K dispozícii je metodický návod pre správne nasadenie nástrojov správy a pre spravovanie koncových zariadení v súlade so zákonnými normami, najmä z oblasti </w:t>
      </w:r>
      <w:r w:rsidR="00A60749">
        <w:t>KIB</w:t>
      </w:r>
      <w:r w:rsidRPr="004D73C4">
        <w:t xml:space="preserve">. Využívanie nástroja </w:t>
      </w:r>
      <w:r w:rsidR="00F14F39">
        <w:t xml:space="preserve">pre </w:t>
      </w:r>
      <w:r w:rsidR="00F14F39">
        <w:lastRenderedPageBreak/>
        <w:t xml:space="preserve">spoluprácu </w:t>
      </w:r>
      <w:r w:rsidRPr="004D73C4">
        <w:t>je podporované systémom školení, špeciálne príklady dobrých skúseností sú cielené na vedúcich pracovníkov.</w:t>
      </w:r>
    </w:p>
    <w:p w14:paraId="7E128C5D" w14:textId="77777777" w:rsidR="004C6B6E" w:rsidRPr="004D73C4" w:rsidRDefault="003F4A82" w:rsidP="004C6B6E">
      <w:pPr>
        <w:rPr>
          <w:i/>
          <w:iCs/>
        </w:rPr>
      </w:pPr>
      <w:r w:rsidRPr="004D73C4">
        <w:rPr>
          <w:i/>
          <w:iCs/>
        </w:rPr>
        <w:t>Iniciatívy:</w:t>
      </w:r>
    </w:p>
    <w:p w14:paraId="289FCCBD" w14:textId="77777777" w:rsidR="00150912" w:rsidRPr="00236EBE" w:rsidRDefault="00433BD6" w:rsidP="004C6B6E">
      <w:pPr>
        <w:pStyle w:val="Odsekzoznamu"/>
      </w:pPr>
      <w:r>
        <w:t>Do roku 2023</w:t>
      </w:r>
    </w:p>
    <w:p w14:paraId="157E395E" w14:textId="7042D9BE"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vytvoriť systémy správy koncových zariadení a správy centrálnych služieb a nasadiť v rámci MIRRI</w:t>
      </w:r>
      <w:r w:rsidR="00150912" w:rsidRPr="190F7DBA">
        <w:rPr>
          <w:rFonts w:ascii="Calibri" w:hAnsi="Calibri" w:cs="Calibri"/>
          <w:color w:val="000000" w:themeColor="text1"/>
        </w:rPr>
        <w:t xml:space="preserve"> SR</w:t>
      </w:r>
      <w:r w:rsidRPr="190F7DBA">
        <w:rPr>
          <w:rFonts w:ascii="Calibri" w:hAnsi="Calibri" w:cs="Calibri"/>
          <w:color w:val="000000" w:themeColor="text1"/>
        </w:rPr>
        <w:t>, Úradu vlády</w:t>
      </w:r>
      <w:r w:rsidR="00752FB6" w:rsidRPr="190F7DBA">
        <w:rPr>
          <w:rFonts w:ascii="Calibri" w:hAnsi="Calibri" w:cs="Calibri"/>
          <w:color w:val="000000" w:themeColor="text1"/>
        </w:rPr>
        <w:t xml:space="preserve"> </w:t>
      </w:r>
      <w:r w:rsidRPr="190F7DBA">
        <w:rPr>
          <w:rFonts w:ascii="Calibri" w:hAnsi="Calibri" w:cs="Calibri"/>
          <w:color w:val="000000" w:themeColor="text1"/>
        </w:rPr>
        <w:t>a jedného ďalšieho ministerstva vrátane ich podriadených organizácií</w:t>
      </w:r>
      <w:r w:rsidR="009D4856">
        <w:rPr>
          <w:rFonts w:ascii="Calibri" w:hAnsi="Calibri" w:cs="Calibri"/>
          <w:color w:val="000000" w:themeColor="text1"/>
        </w:rPr>
        <w:t>,</w:t>
      </w:r>
    </w:p>
    <w:p w14:paraId="266B824C" w14:textId="77777777" w:rsidR="00150912" w:rsidRPr="004D73C4" w:rsidRDefault="00433BD6" w:rsidP="004C6B6E">
      <w:pPr>
        <w:pStyle w:val="Odsekzoznamu"/>
      </w:pPr>
      <w:r>
        <w:t>Do roku 2026</w:t>
      </w:r>
      <w:r w:rsidR="13C08AF5">
        <w:t xml:space="preserve"> </w:t>
      </w:r>
    </w:p>
    <w:p w14:paraId="05726B77" w14:textId="4FA8465C" w:rsidR="004C6B6E" w:rsidRPr="004D73C4"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nasadiť</w:t>
      </w:r>
      <w:r w:rsidR="00150912" w:rsidRPr="190F7DBA">
        <w:rPr>
          <w:rFonts w:ascii="Calibri" w:hAnsi="Calibri" w:cs="Calibri"/>
          <w:color w:val="000000" w:themeColor="text1"/>
        </w:rPr>
        <w:t xml:space="preserve"> </w:t>
      </w:r>
      <w:r w:rsidRPr="190F7DBA">
        <w:rPr>
          <w:rFonts w:ascii="Calibri" w:hAnsi="Calibri" w:cs="Calibri"/>
          <w:color w:val="000000" w:themeColor="text1"/>
        </w:rPr>
        <w:t>systémy správy koncových zariadení a správy centrálnych služieb na ministerstvách a</w:t>
      </w:r>
      <w:r w:rsidR="008B7FDA" w:rsidRPr="190F7DBA">
        <w:rPr>
          <w:rFonts w:ascii="Calibri" w:hAnsi="Calibri" w:cs="Calibri"/>
          <w:color w:val="000000" w:themeColor="text1"/>
        </w:rPr>
        <w:t> </w:t>
      </w:r>
      <w:r w:rsidRPr="190F7DBA">
        <w:rPr>
          <w:rFonts w:ascii="Calibri" w:hAnsi="Calibri" w:cs="Calibri"/>
          <w:color w:val="000000" w:themeColor="text1"/>
        </w:rPr>
        <w:t>ostatných</w:t>
      </w:r>
      <w:r w:rsidR="008B7FDA" w:rsidRPr="190F7DBA">
        <w:rPr>
          <w:rFonts w:ascii="Calibri" w:hAnsi="Calibri" w:cs="Calibri"/>
          <w:color w:val="000000" w:themeColor="text1"/>
        </w:rPr>
        <w:t xml:space="preserve"> </w:t>
      </w:r>
      <w:r w:rsidR="008B7FDA" w:rsidRPr="190F7DBA">
        <w:rPr>
          <w:rFonts w:ascii="Calibri" w:hAnsi="Calibri" w:cs="Calibri"/>
        </w:rPr>
        <w:t xml:space="preserve">ÚOŠS </w:t>
      </w:r>
      <w:r w:rsidRPr="190F7DBA">
        <w:rPr>
          <w:rFonts w:ascii="Calibri" w:hAnsi="Calibri" w:cs="Calibri"/>
          <w:color w:val="000000" w:themeColor="text1"/>
        </w:rPr>
        <w:t>vrátane ich podriadených organizácií</w:t>
      </w:r>
      <w:r w:rsidR="009D4856">
        <w:rPr>
          <w:rFonts w:ascii="Calibri" w:hAnsi="Calibri" w:cs="Calibri"/>
          <w:color w:val="000000" w:themeColor="text1"/>
        </w:rPr>
        <w:t>,</w:t>
      </w:r>
    </w:p>
    <w:p w14:paraId="11915D25" w14:textId="2D1EFE4A" w:rsidR="00150912" w:rsidRPr="004D73C4" w:rsidRDefault="00433BD6" w:rsidP="004C6B6E">
      <w:pPr>
        <w:pStyle w:val="Odsekzoznamu"/>
      </w:pPr>
      <w:r>
        <w:t>Do roku 2030</w:t>
      </w:r>
      <w:r w:rsidR="13C08AF5">
        <w:t xml:space="preserve"> </w:t>
      </w:r>
    </w:p>
    <w:p w14:paraId="10AF0EAA" w14:textId="05A0067A" w:rsidR="004C6B6E" w:rsidRPr="004D73C4"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nasadiť systémy správy koncových zariadení a správy centrálnych služieb v ostatných org</w:t>
      </w:r>
      <w:r w:rsidR="00D5491E" w:rsidRPr="190F7DBA">
        <w:rPr>
          <w:rFonts w:ascii="Calibri" w:hAnsi="Calibri" w:cs="Calibri"/>
          <w:color w:val="000000" w:themeColor="text1"/>
        </w:rPr>
        <w:t>ánoch verejnej správy</w:t>
      </w:r>
      <w:r w:rsidR="009D4856">
        <w:rPr>
          <w:rFonts w:ascii="Calibri" w:hAnsi="Calibri" w:cs="Calibri"/>
          <w:color w:val="000000" w:themeColor="text1"/>
        </w:rPr>
        <w:t>.</w:t>
      </w:r>
    </w:p>
    <w:p w14:paraId="26D24868" w14:textId="77777777" w:rsidR="004C6B6E" w:rsidRPr="004D73C4" w:rsidRDefault="004C6B6E" w:rsidP="002C2D5B">
      <w:pPr>
        <w:rPr>
          <w:b/>
          <w:bCs/>
        </w:rPr>
      </w:pPr>
      <w:r w:rsidRPr="004D73C4">
        <w:rPr>
          <w:b/>
          <w:bCs/>
        </w:rPr>
        <w:t xml:space="preserve">BPaaS služba </w:t>
      </w:r>
      <w:r w:rsidR="0001073D" w:rsidRPr="004D73C4">
        <w:rPr>
          <w:b/>
          <w:bCs/>
        </w:rPr>
        <w:t>–</w:t>
      </w:r>
      <w:r w:rsidRPr="004D73C4">
        <w:rPr>
          <w:b/>
          <w:bCs/>
        </w:rPr>
        <w:t xml:space="preserve"> </w:t>
      </w:r>
      <w:r w:rsidR="002C2D5B" w:rsidRPr="004D73C4">
        <w:rPr>
          <w:b/>
          <w:bCs/>
        </w:rPr>
        <w:t>Implementácia centralizovaného Helpdesku</w:t>
      </w:r>
      <w:r w:rsidR="00752FB6" w:rsidRPr="004D73C4">
        <w:rPr>
          <w:b/>
          <w:bCs/>
        </w:rPr>
        <w:t xml:space="preserve"> </w:t>
      </w:r>
    </w:p>
    <w:p w14:paraId="6C307D8B" w14:textId="77777777" w:rsidR="004C6B6E" w:rsidRPr="004D73C4" w:rsidRDefault="004C6B6E" w:rsidP="004C6B6E">
      <w:r w:rsidRPr="004D73C4">
        <w:t>V prevádzke je jednotné pracovisko podpory koncových používateľov z radov zamestnancov štátnej správy. Podpora sa realizuje prostredníctvom samoobslužného portálu, chatbotov, live chatu, telefonicky, video hovorov a diaľkovým prístupom. Pracovisko prijíma požiadavky od koncových používateľov, rieši ich a v prípade potreby distribuuje na vyššie línie podpory. V prepojení na systémy správy koncových zariadení, systém správy centrálnych služieb, IdM a ITAM sú požiadavky vybavované rýchlo a vo veľkej väčšine prípadov na prvej línii podpory. Pracovisko, resp. viacero pracovísk</w:t>
      </w:r>
      <w:r w:rsidR="0001073D" w:rsidRPr="004D73C4">
        <w:t>,</w:t>
      </w:r>
      <w:r w:rsidRPr="004D73C4">
        <w:t xml:space="preserve"> môže byť umiestnené v regiónoch.</w:t>
      </w:r>
    </w:p>
    <w:p w14:paraId="1B4D2D71" w14:textId="77777777" w:rsidR="004C6B6E" w:rsidRPr="004D73C4" w:rsidRDefault="004C6B6E" w:rsidP="004C6B6E">
      <w:r w:rsidRPr="004D73C4">
        <w:t>Z metodologického hľadiska sú pre podporované IT prostriedky zavedené procesy: manažment incidentov, manažment problémom, manažment zmien, manažment servisných požiadaviek a konfiguračný manažment, prípadne ďalšie.</w:t>
      </w:r>
    </w:p>
    <w:p w14:paraId="7AD509E9" w14:textId="77777777" w:rsidR="004C6B6E" w:rsidRPr="004D73C4" w:rsidRDefault="003F4A82" w:rsidP="004C6B6E">
      <w:pPr>
        <w:rPr>
          <w:i/>
          <w:iCs/>
        </w:rPr>
      </w:pPr>
      <w:r w:rsidRPr="004D73C4">
        <w:rPr>
          <w:i/>
          <w:iCs/>
        </w:rPr>
        <w:t>Iniciatívy:</w:t>
      </w:r>
    </w:p>
    <w:p w14:paraId="59EA22E2" w14:textId="77777777" w:rsidR="00150912" w:rsidRPr="00236EBE" w:rsidRDefault="00433BD6" w:rsidP="004C6B6E">
      <w:pPr>
        <w:pStyle w:val="Odsekzoznamu"/>
      </w:pPr>
      <w:r>
        <w:t>Do roku 2023</w:t>
      </w:r>
    </w:p>
    <w:p w14:paraId="06492008" w14:textId="7C7022A2"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vytvoriť systém a pracovisko centrálneho Helpdesku a nasadiť v rámci MIRRI</w:t>
      </w:r>
      <w:r w:rsidR="00E86474" w:rsidRPr="190F7DBA">
        <w:rPr>
          <w:rFonts w:ascii="Calibri" w:hAnsi="Calibri" w:cs="Calibri"/>
          <w:color w:val="000000" w:themeColor="text1"/>
        </w:rPr>
        <w:t xml:space="preserve"> SR</w:t>
      </w:r>
      <w:r w:rsidRPr="190F7DBA">
        <w:rPr>
          <w:rFonts w:ascii="Calibri" w:hAnsi="Calibri" w:cs="Calibri"/>
          <w:color w:val="000000" w:themeColor="text1"/>
        </w:rPr>
        <w:t>, Úradu vlády</w:t>
      </w:r>
      <w:r w:rsidR="00752FB6" w:rsidRPr="190F7DBA">
        <w:rPr>
          <w:rFonts w:ascii="Calibri" w:hAnsi="Calibri" w:cs="Calibri"/>
          <w:color w:val="000000" w:themeColor="text1"/>
        </w:rPr>
        <w:t xml:space="preserve"> </w:t>
      </w:r>
      <w:r w:rsidRPr="190F7DBA">
        <w:rPr>
          <w:rFonts w:ascii="Calibri" w:hAnsi="Calibri" w:cs="Calibri"/>
          <w:color w:val="000000" w:themeColor="text1"/>
        </w:rPr>
        <w:t>a jedného ďalšieho ministerstva vrátane ich podriadených organizácií</w:t>
      </w:r>
      <w:r w:rsidR="009D4856">
        <w:rPr>
          <w:rFonts w:ascii="Calibri" w:hAnsi="Calibri" w:cs="Calibri"/>
          <w:color w:val="000000" w:themeColor="text1"/>
        </w:rPr>
        <w:t>,</w:t>
      </w:r>
    </w:p>
    <w:p w14:paraId="3E5E83E9" w14:textId="77777777" w:rsidR="00150912" w:rsidRPr="004D73C4" w:rsidRDefault="00433BD6" w:rsidP="004C6B6E">
      <w:pPr>
        <w:pStyle w:val="Odsekzoznamu"/>
      </w:pPr>
      <w:r>
        <w:t>Do roku 2026</w:t>
      </w:r>
    </w:p>
    <w:p w14:paraId="4AF7538A" w14:textId="74ED998F" w:rsidR="004C6B6E" w:rsidRPr="004D73C4"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nasadiť</w:t>
      </w:r>
      <w:r w:rsidR="00752FB6" w:rsidRPr="190F7DBA">
        <w:rPr>
          <w:rFonts w:ascii="Calibri" w:hAnsi="Calibri" w:cs="Calibri"/>
          <w:color w:val="000000" w:themeColor="text1"/>
        </w:rPr>
        <w:t xml:space="preserve"> </w:t>
      </w:r>
      <w:r w:rsidRPr="190F7DBA">
        <w:rPr>
          <w:rFonts w:ascii="Calibri" w:hAnsi="Calibri" w:cs="Calibri"/>
          <w:color w:val="000000" w:themeColor="text1"/>
        </w:rPr>
        <w:t>centrálny Helpdesk na ministerstvách a</w:t>
      </w:r>
      <w:r w:rsidR="008B7FDA" w:rsidRPr="190F7DBA">
        <w:rPr>
          <w:rFonts w:ascii="Calibri" w:hAnsi="Calibri" w:cs="Calibri"/>
          <w:color w:val="000000" w:themeColor="text1"/>
        </w:rPr>
        <w:t> </w:t>
      </w:r>
      <w:r w:rsidRPr="190F7DBA">
        <w:rPr>
          <w:rFonts w:ascii="Calibri" w:hAnsi="Calibri" w:cs="Calibri"/>
          <w:color w:val="000000" w:themeColor="text1"/>
        </w:rPr>
        <w:t>ostatných</w:t>
      </w:r>
      <w:r w:rsidR="008B7FDA" w:rsidRPr="190F7DBA">
        <w:rPr>
          <w:rFonts w:ascii="Calibri" w:hAnsi="Calibri" w:cs="Calibri"/>
          <w:color w:val="000000" w:themeColor="text1"/>
        </w:rPr>
        <w:t xml:space="preserve"> </w:t>
      </w:r>
      <w:r w:rsidR="008B7FDA" w:rsidRPr="190F7DBA">
        <w:rPr>
          <w:rFonts w:ascii="Calibri" w:hAnsi="Calibri" w:cs="Calibri"/>
        </w:rPr>
        <w:t>ÚOŠS</w:t>
      </w:r>
      <w:r w:rsidRPr="190F7DBA">
        <w:rPr>
          <w:rFonts w:ascii="Calibri" w:hAnsi="Calibri" w:cs="Calibri"/>
        </w:rPr>
        <w:t xml:space="preserve"> </w:t>
      </w:r>
      <w:r w:rsidRPr="190F7DBA">
        <w:rPr>
          <w:rFonts w:ascii="Calibri" w:hAnsi="Calibri" w:cs="Calibri"/>
          <w:color w:val="000000" w:themeColor="text1"/>
        </w:rPr>
        <w:t>vrátane ich podriadených organizácií</w:t>
      </w:r>
      <w:r w:rsidR="009D4856">
        <w:rPr>
          <w:rFonts w:ascii="Calibri" w:hAnsi="Calibri" w:cs="Calibri"/>
          <w:color w:val="000000" w:themeColor="text1"/>
        </w:rPr>
        <w:t>,</w:t>
      </w:r>
    </w:p>
    <w:p w14:paraId="0D4CC36E" w14:textId="77777777" w:rsidR="00150912" w:rsidRPr="004D73C4" w:rsidRDefault="00433BD6" w:rsidP="004C6B6E">
      <w:pPr>
        <w:pStyle w:val="Odsekzoznamu"/>
      </w:pPr>
      <w:r>
        <w:t>Do roku 2030</w:t>
      </w:r>
    </w:p>
    <w:p w14:paraId="54F214D2" w14:textId="5A28F4C4" w:rsidR="004C6B6E" w:rsidRPr="004D73C4"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nasadiť centrálny Helpdesk v ostatných org</w:t>
      </w:r>
      <w:r w:rsidR="00D5491E" w:rsidRPr="190F7DBA">
        <w:rPr>
          <w:rFonts w:ascii="Calibri" w:hAnsi="Calibri" w:cs="Calibri"/>
          <w:color w:val="000000" w:themeColor="text1"/>
        </w:rPr>
        <w:t>ánoch verejnej správy</w:t>
      </w:r>
      <w:r w:rsidR="009D4856">
        <w:rPr>
          <w:rFonts w:ascii="Calibri" w:hAnsi="Calibri" w:cs="Calibri"/>
          <w:color w:val="000000" w:themeColor="text1"/>
        </w:rPr>
        <w:t>.</w:t>
      </w:r>
    </w:p>
    <w:p w14:paraId="6615AF87" w14:textId="77777777" w:rsidR="004C6B6E" w:rsidRPr="004D73C4" w:rsidRDefault="002C2D5B" w:rsidP="002C2D5B">
      <w:pPr>
        <w:rPr>
          <w:rStyle w:val="normaltextrun"/>
          <w:b/>
          <w:bCs/>
          <w:szCs w:val="36"/>
        </w:rPr>
      </w:pPr>
      <w:r w:rsidRPr="004D73C4">
        <w:rPr>
          <w:b/>
          <w:bCs/>
        </w:rPr>
        <w:t>Zjednocovanie systému pre správu webov</w:t>
      </w:r>
    </w:p>
    <w:p w14:paraId="68FBB5D1" w14:textId="77777777" w:rsidR="004C6B6E" w:rsidRPr="004D73C4" w:rsidRDefault="004C6B6E" w:rsidP="004C6B6E">
      <w:r w:rsidRPr="004D73C4">
        <w:t xml:space="preserve">V prevádzke je centrálny systém na správu webov a ich obsahu (ďalej </w:t>
      </w:r>
      <w:r w:rsidR="008C17BD" w:rsidRPr="004D73C4">
        <w:t xml:space="preserve">len </w:t>
      </w:r>
      <w:r w:rsidR="00150912" w:rsidRPr="004D73C4">
        <w:t>„</w:t>
      </w:r>
      <w:r w:rsidRPr="004D73C4">
        <w:t>CMS</w:t>
      </w:r>
      <w:r w:rsidR="00150912" w:rsidRPr="004D73C4">
        <w:t>“</w:t>
      </w:r>
      <w:r w:rsidRPr="004D73C4">
        <w:t>) poskytujúci služby OVM. Jednotný vzhľad a štruktúra webov podporujú rýchlejšie a adresnejšie vyhľadávanie informácií. CMS je orientovaný prezentačne, nenahrádza špecializované aplikačné portály. Aplikačná funkcionalita je do webov zakomponovaná dohodnutým spôsobom.</w:t>
      </w:r>
    </w:p>
    <w:p w14:paraId="1B7B02B9" w14:textId="77777777" w:rsidR="004C6B6E" w:rsidRPr="004D73C4" w:rsidRDefault="004C6B6E" w:rsidP="004C6B6E">
      <w:r w:rsidRPr="004D73C4">
        <w:t>CMS má implementovaný dizajn manuál v zmysle príslušnej vyhlášky a vytváraný obsah rešpektuje pravidlá webovej prístupnosti v súlade so smernicou E</w:t>
      </w:r>
      <w:r w:rsidR="002E4C68">
        <w:t>Ú</w:t>
      </w:r>
      <w:r w:rsidRPr="004D73C4">
        <w:t>. Integračné rozhranie CMS umožňuje automaticky publikovať vybrané informácie z iných IS bez potreby manuálneho prenášania. CMS má nastavený systém oprávnení a schvaľovania tak, že informácie sa publikujú čo najbližšie ku zdroju ich vytvorenia, t.j. pracovník s vecne priradenými kompetenciami publikuje informácie na webe technologicky jednoducho.</w:t>
      </w:r>
    </w:p>
    <w:p w14:paraId="592426FB" w14:textId="77777777" w:rsidR="004C6B6E" w:rsidRPr="004D73C4" w:rsidRDefault="004C6B6E" w:rsidP="004C6B6E">
      <w:r w:rsidRPr="004D73C4">
        <w:t>Súčasťou CMS je zóna pre intranet, ktorá okrem internej prezentačnej vrstvy integruje ostatné informačné zdroje OVM. K CMS je poskytovaná metodická podpora a školenia.</w:t>
      </w:r>
    </w:p>
    <w:p w14:paraId="35E1AC0F" w14:textId="77777777" w:rsidR="00CA0047" w:rsidRDefault="00CA0047" w:rsidP="004C6B6E">
      <w:pPr>
        <w:rPr>
          <w:i/>
          <w:iCs/>
        </w:rPr>
      </w:pPr>
    </w:p>
    <w:p w14:paraId="5AF858BA" w14:textId="621AB6BF" w:rsidR="004C6B6E" w:rsidRPr="004D73C4" w:rsidRDefault="003F4A82" w:rsidP="004C6B6E">
      <w:pPr>
        <w:rPr>
          <w:i/>
          <w:iCs/>
        </w:rPr>
      </w:pPr>
      <w:r w:rsidRPr="004D73C4">
        <w:rPr>
          <w:i/>
          <w:iCs/>
        </w:rPr>
        <w:lastRenderedPageBreak/>
        <w:t>Iniciatívy:</w:t>
      </w:r>
    </w:p>
    <w:p w14:paraId="0470C6D8" w14:textId="77777777" w:rsidR="00150912" w:rsidRPr="00236EBE" w:rsidRDefault="00433BD6" w:rsidP="004C6B6E">
      <w:pPr>
        <w:pStyle w:val="Odsekzoznamu"/>
      </w:pPr>
      <w:r>
        <w:t>Do roku 2023</w:t>
      </w:r>
    </w:p>
    <w:p w14:paraId="7588F5D4" w14:textId="0FBDF244"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vytvoriť CMS a nasadiť v rámci MIRRI</w:t>
      </w:r>
      <w:r w:rsidR="002E4C68" w:rsidRPr="190F7DBA">
        <w:rPr>
          <w:rFonts w:ascii="Calibri" w:hAnsi="Calibri" w:cs="Calibri"/>
          <w:color w:val="000000" w:themeColor="text1"/>
        </w:rPr>
        <w:t xml:space="preserve"> SR</w:t>
      </w:r>
      <w:r w:rsidRPr="190F7DBA">
        <w:rPr>
          <w:rFonts w:ascii="Calibri" w:hAnsi="Calibri" w:cs="Calibri"/>
          <w:color w:val="000000" w:themeColor="text1"/>
        </w:rPr>
        <w:t>, Úradu vlády</w:t>
      </w:r>
      <w:r w:rsidR="00752FB6" w:rsidRPr="190F7DBA">
        <w:rPr>
          <w:rFonts w:ascii="Calibri" w:hAnsi="Calibri" w:cs="Calibri"/>
          <w:color w:val="000000" w:themeColor="text1"/>
        </w:rPr>
        <w:t xml:space="preserve"> </w:t>
      </w:r>
      <w:r w:rsidRPr="190F7DBA">
        <w:rPr>
          <w:rFonts w:ascii="Calibri" w:hAnsi="Calibri" w:cs="Calibri"/>
          <w:color w:val="000000" w:themeColor="text1"/>
        </w:rPr>
        <w:t>a jedného ďalšieho ministerstva vrátane ich podriadených organizácií</w:t>
      </w:r>
      <w:r w:rsidR="009D4856">
        <w:rPr>
          <w:rFonts w:ascii="Calibri" w:hAnsi="Calibri" w:cs="Calibri"/>
          <w:color w:val="000000" w:themeColor="text1"/>
        </w:rPr>
        <w:t>,</w:t>
      </w:r>
    </w:p>
    <w:p w14:paraId="224BAA0C" w14:textId="77777777" w:rsidR="00150912" w:rsidRPr="004D73C4" w:rsidRDefault="00433BD6" w:rsidP="004C6B6E">
      <w:pPr>
        <w:pStyle w:val="Odsekzoznamu"/>
      </w:pPr>
      <w:r>
        <w:t>Do roku 2026</w:t>
      </w:r>
    </w:p>
    <w:p w14:paraId="4BC754B7" w14:textId="0503D6A6" w:rsidR="004C6B6E" w:rsidRPr="004D73C4"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nasadiť</w:t>
      </w:r>
      <w:r w:rsidR="00752FB6" w:rsidRPr="190F7DBA">
        <w:rPr>
          <w:rFonts w:ascii="Calibri" w:hAnsi="Calibri" w:cs="Calibri"/>
          <w:color w:val="000000" w:themeColor="text1"/>
        </w:rPr>
        <w:t xml:space="preserve"> </w:t>
      </w:r>
      <w:r w:rsidRPr="190F7DBA">
        <w:rPr>
          <w:rFonts w:ascii="Calibri" w:hAnsi="Calibri" w:cs="Calibri"/>
          <w:color w:val="000000" w:themeColor="text1"/>
        </w:rPr>
        <w:t>CMS na ministerstvách a </w:t>
      </w:r>
      <w:r w:rsidRPr="190F7DBA">
        <w:rPr>
          <w:rFonts w:ascii="Calibri" w:hAnsi="Calibri" w:cs="Calibri"/>
        </w:rPr>
        <w:t xml:space="preserve">ostatných </w:t>
      </w:r>
      <w:r w:rsidR="008B7FDA" w:rsidRPr="190F7DBA">
        <w:rPr>
          <w:rFonts w:ascii="Calibri" w:hAnsi="Calibri" w:cs="Calibri"/>
        </w:rPr>
        <w:t xml:space="preserve">ÚOŠS </w:t>
      </w:r>
      <w:r w:rsidRPr="190F7DBA">
        <w:rPr>
          <w:rFonts w:ascii="Calibri" w:hAnsi="Calibri" w:cs="Calibri"/>
        </w:rPr>
        <w:t xml:space="preserve">vrátane </w:t>
      </w:r>
      <w:r w:rsidRPr="190F7DBA">
        <w:rPr>
          <w:rFonts w:ascii="Calibri" w:hAnsi="Calibri" w:cs="Calibri"/>
          <w:color w:val="000000" w:themeColor="text1"/>
        </w:rPr>
        <w:t>ich podriadených organizácií</w:t>
      </w:r>
      <w:r w:rsidR="009D4856">
        <w:rPr>
          <w:rFonts w:ascii="Calibri" w:hAnsi="Calibri" w:cs="Calibri"/>
          <w:color w:val="000000" w:themeColor="text1"/>
        </w:rPr>
        <w:t>,</w:t>
      </w:r>
    </w:p>
    <w:p w14:paraId="3909DFD3" w14:textId="77777777" w:rsidR="00150912" w:rsidRPr="004D73C4" w:rsidRDefault="00433BD6" w:rsidP="004C6B6E">
      <w:pPr>
        <w:pStyle w:val="Odsekzoznamu"/>
      </w:pPr>
      <w:r>
        <w:t>Do roku 2030</w:t>
      </w:r>
    </w:p>
    <w:p w14:paraId="4ADC7858" w14:textId="7F4E5DC4" w:rsidR="004C6B6E" w:rsidRPr="004D73C4"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nasadiť CMS v ostatných org</w:t>
      </w:r>
      <w:r w:rsidR="00D5491E" w:rsidRPr="190F7DBA">
        <w:rPr>
          <w:rFonts w:ascii="Calibri" w:hAnsi="Calibri" w:cs="Calibri"/>
          <w:color w:val="000000" w:themeColor="text1"/>
        </w:rPr>
        <w:t>ánoch verejnej správy</w:t>
      </w:r>
      <w:r w:rsidR="009D4856">
        <w:rPr>
          <w:rFonts w:ascii="Calibri" w:hAnsi="Calibri" w:cs="Calibri"/>
          <w:color w:val="000000" w:themeColor="text1"/>
        </w:rPr>
        <w:t>.</w:t>
      </w:r>
    </w:p>
    <w:p w14:paraId="0701A7E1" w14:textId="77777777" w:rsidR="004C6B6E" w:rsidRPr="004D73C4" w:rsidRDefault="002C2D5B" w:rsidP="002C2D5B">
      <w:pPr>
        <w:rPr>
          <w:rStyle w:val="normaltextrun"/>
          <w:b/>
          <w:bCs/>
          <w:szCs w:val="36"/>
        </w:rPr>
      </w:pPr>
      <w:r w:rsidRPr="004D73C4">
        <w:rPr>
          <w:b/>
          <w:bCs/>
        </w:rPr>
        <w:t>Nasadenie systému pre online vzdelávanie zamestnancov</w:t>
      </w:r>
    </w:p>
    <w:p w14:paraId="65922965" w14:textId="77777777" w:rsidR="004C6B6E" w:rsidRPr="004D73C4" w:rsidRDefault="004C6B6E" w:rsidP="004C6B6E">
      <w:r w:rsidRPr="004D73C4">
        <w:t>Je vytvorená SaaS služba na realizáciu konkrétnych e-learningových školení a testovaní, ktoré sú vyžadované v zmysle platnej legislatívy. K dispozícii je možnosť vytvárať špecifické školenia a testovania v rámci OVM. SaaS služba je integrovaná minimálne na IdM a Centrálny informačný systém štátnej služby, kde podporuje odborný rast zamestnancov. Sú možné integrácie na špecifické komerčné školenia, napr. ako sú v oblasti IT: Microsoft virtuálna akadémia, Cisco akadémia a pod. Súčasťou prevádzky systému je metodická podpora pre vytváranie školení, vrátane prevencie vytvárania alebo objednávania duplicitného obsahu.</w:t>
      </w:r>
    </w:p>
    <w:p w14:paraId="334AEC8C" w14:textId="77777777" w:rsidR="004C6B6E" w:rsidRPr="004D73C4" w:rsidRDefault="003F4A82" w:rsidP="004C6B6E">
      <w:pPr>
        <w:rPr>
          <w:i/>
          <w:iCs/>
        </w:rPr>
      </w:pPr>
      <w:r w:rsidRPr="004D73C4">
        <w:rPr>
          <w:i/>
          <w:iCs/>
        </w:rPr>
        <w:t>Iniciatívy:</w:t>
      </w:r>
    </w:p>
    <w:p w14:paraId="5C617D11" w14:textId="77777777" w:rsidR="00150912" w:rsidRPr="00236EBE" w:rsidRDefault="00433BD6" w:rsidP="004C6B6E">
      <w:pPr>
        <w:pStyle w:val="Odsekzoznamu"/>
      </w:pPr>
      <w:r>
        <w:t>Do roku 2023</w:t>
      </w:r>
    </w:p>
    <w:p w14:paraId="2307D696" w14:textId="12A15388"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vytvoriť systém online vzdelávania zamestnancov a nasadiť v rámci MIRRI</w:t>
      </w:r>
      <w:r w:rsidR="00E86474" w:rsidRPr="190F7DBA">
        <w:rPr>
          <w:rFonts w:ascii="Calibri" w:hAnsi="Calibri" w:cs="Calibri"/>
          <w:color w:val="000000" w:themeColor="text1"/>
        </w:rPr>
        <w:t xml:space="preserve"> SR</w:t>
      </w:r>
      <w:r w:rsidRPr="190F7DBA">
        <w:rPr>
          <w:rFonts w:ascii="Calibri" w:hAnsi="Calibri" w:cs="Calibri"/>
          <w:color w:val="000000" w:themeColor="text1"/>
        </w:rPr>
        <w:t>, Úradu vlády</w:t>
      </w:r>
      <w:r w:rsidR="00752FB6" w:rsidRPr="190F7DBA">
        <w:rPr>
          <w:rFonts w:ascii="Calibri" w:hAnsi="Calibri" w:cs="Calibri"/>
          <w:color w:val="000000" w:themeColor="text1"/>
        </w:rPr>
        <w:t xml:space="preserve"> </w:t>
      </w:r>
      <w:r w:rsidRPr="190F7DBA">
        <w:rPr>
          <w:rFonts w:ascii="Calibri" w:hAnsi="Calibri" w:cs="Calibri"/>
          <w:color w:val="000000" w:themeColor="text1"/>
        </w:rPr>
        <w:t>a jedného ďalšieho ministerstva vrátane ich podriadených organizácií</w:t>
      </w:r>
      <w:r w:rsidR="009D4856">
        <w:rPr>
          <w:rFonts w:ascii="Calibri" w:hAnsi="Calibri" w:cs="Calibri"/>
          <w:color w:val="000000" w:themeColor="text1"/>
        </w:rPr>
        <w:t>,</w:t>
      </w:r>
    </w:p>
    <w:p w14:paraId="7EBFF10F" w14:textId="77777777" w:rsidR="00150912" w:rsidRPr="00236EBE" w:rsidRDefault="00433BD6" w:rsidP="004C6B6E">
      <w:pPr>
        <w:pStyle w:val="Odsekzoznamu"/>
      </w:pPr>
      <w:r>
        <w:t>Do roku 2026</w:t>
      </w:r>
    </w:p>
    <w:p w14:paraId="248FD1F9" w14:textId="520E4792"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nasadiť</w:t>
      </w:r>
      <w:r w:rsidR="00752FB6" w:rsidRPr="190F7DBA">
        <w:rPr>
          <w:rFonts w:ascii="Calibri" w:hAnsi="Calibri" w:cs="Calibri"/>
          <w:color w:val="000000" w:themeColor="text1"/>
        </w:rPr>
        <w:t xml:space="preserve"> </w:t>
      </w:r>
      <w:r w:rsidRPr="190F7DBA">
        <w:rPr>
          <w:rFonts w:ascii="Calibri" w:hAnsi="Calibri" w:cs="Calibri"/>
          <w:color w:val="000000" w:themeColor="text1"/>
        </w:rPr>
        <w:t xml:space="preserve">systém na ministerstvách a ostatných </w:t>
      </w:r>
      <w:r w:rsidR="008B7FDA" w:rsidRPr="190F7DBA">
        <w:rPr>
          <w:rFonts w:ascii="Calibri" w:hAnsi="Calibri" w:cs="Calibri"/>
        </w:rPr>
        <w:t xml:space="preserve">ÚOŠS </w:t>
      </w:r>
      <w:r w:rsidRPr="190F7DBA">
        <w:rPr>
          <w:rFonts w:ascii="Calibri" w:hAnsi="Calibri" w:cs="Calibri"/>
          <w:color w:val="000000" w:themeColor="text1"/>
        </w:rPr>
        <w:t>vrátane ich podriadených organizácií</w:t>
      </w:r>
      <w:r w:rsidR="009D4856">
        <w:rPr>
          <w:rFonts w:ascii="Calibri" w:hAnsi="Calibri" w:cs="Calibri"/>
          <w:color w:val="000000" w:themeColor="text1"/>
        </w:rPr>
        <w:t>,</w:t>
      </w:r>
    </w:p>
    <w:p w14:paraId="3C770B4F" w14:textId="77777777" w:rsidR="00150912" w:rsidRPr="00236EBE" w:rsidRDefault="00433BD6" w:rsidP="004C6B6E">
      <w:pPr>
        <w:pStyle w:val="Odsekzoznamu"/>
      </w:pPr>
      <w:r>
        <w:t>Do roku 2030</w:t>
      </w:r>
    </w:p>
    <w:p w14:paraId="3DF9A4F9" w14:textId="08DC8A9A" w:rsidR="004C6B6E" w:rsidRPr="00236EBE"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nasadiť systém v ostatných org</w:t>
      </w:r>
      <w:r w:rsidR="00D5491E" w:rsidRPr="190F7DBA">
        <w:rPr>
          <w:rFonts w:ascii="Calibri" w:hAnsi="Calibri" w:cs="Calibri"/>
          <w:color w:val="000000" w:themeColor="text1"/>
        </w:rPr>
        <w:t>ánoch</w:t>
      </w:r>
      <w:r w:rsidR="000B3EC5" w:rsidRPr="190F7DBA">
        <w:rPr>
          <w:rFonts w:ascii="Calibri" w:hAnsi="Calibri" w:cs="Calibri"/>
          <w:color w:val="000000" w:themeColor="text1"/>
        </w:rPr>
        <w:t xml:space="preserve"> </w:t>
      </w:r>
      <w:r w:rsidR="00D5491E" w:rsidRPr="190F7DBA">
        <w:rPr>
          <w:rFonts w:ascii="Calibri" w:hAnsi="Calibri" w:cs="Calibri"/>
          <w:color w:val="000000" w:themeColor="text1"/>
        </w:rPr>
        <w:t>verejnej správy</w:t>
      </w:r>
      <w:r w:rsidR="009D4856">
        <w:rPr>
          <w:rFonts w:ascii="Calibri" w:hAnsi="Calibri" w:cs="Calibri"/>
          <w:color w:val="000000" w:themeColor="text1"/>
        </w:rPr>
        <w:t>.</w:t>
      </w:r>
    </w:p>
    <w:p w14:paraId="2D3AC50B" w14:textId="77777777" w:rsidR="004C6B6E" w:rsidRPr="00236EBE" w:rsidRDefault="002C2D5B" w:rsidP="002C2D5B">
      <w:pPr>
        <w:rPr>
          <w:rStyle w:val="normaltextrun"/>
          <w:b/>
          <w:bCs/>
          <w:szCs w:val="36"/>
        </w:rPr>
      </w:pPr>
      <w:r w:rsidRPr="00236EBE">
        <w:rPr>
          <w:b/>
          <w:bCs/>
        </w:rPr>
        <w:t>Nasadenie podporných spoločných blokov (SaaS)</w:t>
      </w:r>
    </w:p>
    <w:p w14:paraId="42A5EFA4" w14:textId="77777777" w:rsidR="004C6B6E" w:rsidRDefault="004C6B6E" w:rsidP="3912845A">
      <w:r>
        <w:t>Výsledkom participatívnej diskusie je zoznam spoločných blokov typických pre back-endovú agendu OVM ako sú napríklad: podateľňa, registratúra, personalistika, účtovníctvo, správa a evidencia majetku, verejné obstarávanie, kniha jázd, dochádzka a pod. Uvedené agendy sú vytvorené a ponúkané ako SaaS služby v „cloud native“ štandarde prostredníctvom Katalógu vládneho cloudu.</w:t>
      </w:r>
    </w:p>
    <w:p w14:paraId="72E74CB4" w14:textId="77777777" w:rsidR="004C6B6E" w:rsidRPr="00236EBE" w:rsidRDefault="003F4A82" w:rsidP="004C6B6E">
      <w:pPr>
        <w:rPr>
          <w:i/>
          <w:iCs/>
        </w:rPr>
      </w:pPr>
      <w:r w:rsidRPr="00236EBE">
        <w:rPr>
          <w:i/>
          <w:iCs/>
        </w:rPr>
        <w:t>Iniciatívy:</w:t>
      </w:r>
    </w:p>
    <w:p w14:paraId="2E768556" w14:textId="77777777" w:rsidR="00150912" w:rsidRPr="00236EBE" w:rsidRDefault="00433BD6" w:rsidP="004C6B6E">
      <w:pPr>
        <w:pStyle w:val="Odsekzoznamu"/>
      </w:pPr>
      <w:r>
        <w:t>Do roku 2023</w:t>
      </w:r>
    </w:p>
    <w:p w14:paraId="13E5F61B" w14:textId="4271CD03"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vytvoriť spoločný blok pre back-end agendy a nasadiť v rámci MIRRI</w:t>
      </w:r>
      <w:r w:rsidR="00F434A3" w:rsidRPr="190F7DBA">
        <w:rPr>
          <w:rFonts w:ascii="Calibri" w:hAnsi="Calibri" w:cs="Calibri"/>
          <w:color w:val="000000" w:themeColor="text1"/>
        </w:rPr>
        <w:t xml:space="preserve"> SR</w:t>
      </w:r>
      <w:r w:rsidRPr="190F7DBA">
        <w:rPr>
          <w:rFonts w:ascii="Calibri" w:hAnsi="Calibri" w:cs="Calibri"/>
          <w:color w:val="000000" w:themeColor="text1"/>
        </w:rPr>
        <w:t>, Úradu vlády</w:t>
      </w:r>
      <w:r w:rsidR="00752FB6" w:rsidRPr="190F7DBA">
        <w:rPr>
          <w:rFonts w:ascii="Calibri" w:hAnsi="Calibri" w:cs="Calibri"/>
          <w:color w:val="000000" w:themeColor="text1"/>
        </w:rPr>
        <w:t xml:space="preserve"> </w:t>
      </w:r>
      <w:r w:rsidRPr="190F7DBA">
        <w:rPr>
          <w:rFonts w:ascii="Calibri" w:hAnsi="Calibri" w:cs="Calibri"/>
          <w:color w:val="000000" w:themeColor="text1"/>
        </w:rPr>
        <w:t>a jedného ďalšieho ministerstva vrátane ich podriadených organizácií</w:t>
      </w:r>
      <w:r w:rsidR="009D4856">
        <w:rPr>
          <w:rFonts w:ascii="Calibri" w:hAnsi="Calibri" w:cs="Calibri"/>
          <w:color w:val="000000" w:themeColor="text1"/>
        </w:rPr>
        <w:t>,</w:t>
      </w:r>
    </w:p>
    <w:p w14:paraId="781F36AF" w14:textId="77777777" w:rsidR="00150912" w:rsidRPr="004D73C4" w:rsidRDefault="00433BD6" w:rsidP="004C6B6E">
      <w:pPr>
        <w:pStyle w:val="Odsekzoznamu"/>
      </w:pPr>
      <w:r>
        <w:t>Do roku 2026</w:t>
      </w:r>
    </w:p>
    <w:p w14:paraId="6081BF59" w14:textId="22D2B393" w:rsidR="004C6B6E" w:rsidRPr="004D73C4"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nasadiť</w:t>
      </w:r>
      <w:r w:rsidR="00752FB6" w:rsidRPr="190F7DBA">
        <w:rPr>
          <w:rFonts w:ascii="Calibri" w:hAnsi="Calibri" w:cs="Calibri"/>
          <w:color w:val="000000" w:themeColor="text1"/>
        </w:rPr>
        <w:t xml:space="preserve"> </w:t>
      </w:r>
      <w:r w:rsidRPr="190F7DBA">
        <w:rPr>
          <w:rFonts w:ascii="Calibri" w:hAnsi="Calibri" w:cs="Calibri"/>
          <w:color w:val="000000" w:themeColor="text1"/>
        </w:rPr>
        <w:t xml:space="preserve">spoločný blok na ministerstvách a ostatných </w:t>
      </w:r>
      <w:r w:rsidR="008B7FDA" w:rsidRPr="190F7DBA">
        <w:rPr>
          <w:rFonts w:ascii="Calibri" w:hAnsi="Calibri" w:cs="Calibri"/>
        </w:rPr>
        <w:t xml:space="preserve">ÚOŠS </w:t>
      </w:r>
      <w:r w:rsidRPr="190F7DBA">
        <w:rPr>
          <w:rFonts w:ascii="Calibri" w:hAnsi="Calibri" w:cs="Calibri"/>
          <w:color w:val="000000" w:themeColor="text1"/>
        </w:rPr>
        <w:t>vrátane ich podriadených organizácií</w:t>
      </w:r>
      <w:r w:rsidR="009D4856">
        <w:rPr>
          <w:rFonts w:ascii="Calibri" w:hAnsi="Calibri" w:cs="Calibri"/>
          <w:color w:val="000000" w:themeColor="text1"/>
        </w:rPr>
        <w:t>,</w:t>
      </w:r>
    </w:p>
    <w:p w14:paraId="6C96A933" w14:textId="11E6DD90" w:rsidR="00150912" w:rsidRPr="004D73C4" w:rsidRDefault="00433BD6" w:rsidP="004C6B6E">
      <w:pPr>
        <w:pStyle w:val="Odsekzoznamu"/>
      </w:pPr>
      <w:r>
        <w:t>Do roku 2030</w:t>
      </w:r>
    </w:p>
    <w:p w14:paraId="6AE5EAA2" w14:textId="083FCCD2" w:rsidR="004C6B6E" w:rsidRPr="004D73C4"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nasadiť spoločný blok v ostatných org</w:t>
      </w:r>
      <w:r w:rsidR="00D5491E" w:rsidRPr="190F7DBA">
        <w:rPr>
          <w:rFonts w:ascii="Calibri" w:hAnsi="Calibri" w:cs="Calibri"/>
          <w:color w:val="000000" w:themeColor="text1"/>
        </w:rPr>
        <w:t>ánoch verejnej správy</w:t>
      </w:r>
      <w:r w:rsidR="009D4856">
        <w:rPr>
          <w:rFonts w:ascii="Calibri" w:hAnsi="Calibri" w:cs="Calibri"/>
          <w:color w:val="000000" w:themeColor="text1"/>
        </w:rPr>
        <w:t>.</w:t>
      </w:r>
    </w:p>
    <w:p w14:paraId="11673247" w14:textId="77777777" w:rsidR="004C6B6E" w:rsidRPr="004D73C4" w:rsidRDefault="002C2D5B" w:rsidP="002C2D5B">
      <w:pPr>
        <w:rPr>
          <w:rStyle w:val="normaltextrun"/>
          <w:b/>
          <w:bCs/>
          <w:szCs w:val="36"/>
        </w:rPr>
      </w:pPr>
      <w:r w:rsidRPr="004D73C4">
        <w:rPr>
          <w:b/>
          <w:bCs/>
        </w:rPr>
        <w:t>Nasadenie spoločného bloku pre jednoduché agendy</w:t>
      </w:r>
    </w:p>
    <w:p w14:paraId="3F009726" w14:textId="77777777" w:rsidR="004C6B6E" w:rsidRPr="004D73C4" w:rsidRDefault="004C6B6E" w:rsidP="004C6B6E">
      <w:r w:rsidRPr="004D73C4">
        <w:t>Odborní IT pracovníci OVM majú k dispozícii SaaS službu a jej nástroje na vytvorenie jednoduchých, prípadne časovo limitovaných agend. Nástroje sú jednoduché na používanie, preferujú grafické rozhrania na definovanie biznis procesu a jeho častí, vrátane jednoduchých interakčných vstupov. Tvorba je možná aj pomocou konfiguračných zmien existujúcich šablón. Služba umožňuje integráciu v nej vytvorených agend na ostatné služby vládneho cloudu. Vytvorenie a odladenie agendy je otázkou dní až týždňov, odborná náročnosť tvorby je na úrovni práce s makrami a skriptami. Zaučenie na prácu so službou je v rozsahu človekomesiac.</w:t>
      </w:r>
    </w:p>
    <w:p w14:paraId="14B35FFA" w14:textId="77777777" w:rsidR="004C6B6E" w:rsidRPr="004D73C4" w:rsidRDefault="004C6B6E" w:rsidP="004C6B6E">
      <w:r w:rsidRPr="004D73C4">
        <w:lastRenderedPageBreak/>
        <w:t>Služba je ponúkaná ako SaaS služba v „cloud native“ štandarde prostredníctvom Katalógu vládneho cloudu. K službe je vytvorený governance pre vytváranie jednotlivých ľahkých agend, je poskytovaná metodická podpora a to aj z v oblasti dizajnu a architektúry biznis procesov. V úvodných fázach dizajnu sa preveruje možná duplicita.</w:t>
      </w:r>
    </w:p>
    <w:p w14:paraId="4075C520" w14:textId="77777777" w:rsidR="004C6B6E" w:rsidRPr="004D73C4" w:rsidRDefault="004C6B6E" w:rsidP="004C6B6E">
      <w:r w:rsidRPr="004D73C4">
        <w:t>Koncept ľahkej agendy sa využíva aj prakticky na realizáciu pilotných riešení v prípade, že cieľovým návrhom má byť štandardný robustný agendový systém, prípadne zmeny v ňom. Pilotné riešenie je vybudované a nasadené v priebehu dní a slúži najmä na overenie konceptu digitálne transformovaných biznis procesov. Odladené pilotné riešenie takto zrýchľuje zmapovanie As-Is stavu a návrh To-Be stavu, tieto naviac poskytuje v štandardne zadokumentovanej podobe pre budúcu analytickú fázu robustného agendového IS.</w:t>
      </w:r>
    </w:p>
    <w:p w14:paraId="01182529" w14:textId="174D5D03" w:rsidR="004C6B6E" w:rsidRPr="004D73C4" w:rsidRDefault="003F4A82" w:rsidP="004C6B6E">
      <w:pPr>
        <w:rPr>
          <w:i/>
          <w:iCs/>
        </w:rPr>
      </w:pPr>
      <w:r w:rsidRPr="004D73C4">
        <w:rPr>
          <w:i/>
          <w:iCs/>
        </w:rPr>
        <w:t>Iniciatívy:</w:t>
      </w:r>
    </w:p>
    <w:p w14:paraId="165642C8" w14:textId="77777777" w:rsidR="00A13990" w:rsidRPr="004D73C4" w:rsidRDefault="00433BD6" w:rsidP="004C6B6E">
      <w:pPr>
        <w:pStyle w:val="Odsekzoznamu"/>
      </w:pPr>
      <w:r>
        <w:t>Do roku 2023</w:t>
      </w:r>
    </w:p>
    <w:p w14:paraId="064C9E92" w14:textId="4FE082AC" w:rsidR="004C6B6E"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vytvoriť spoločný blok pre jednoduché agendy a nasadiť v rámci MIRRI</w:t>
      </w:r>
      <w:r w:rsidR="00E86474" w:rsidRPr="190F7DBA">
        <w:rPr>
          <w:rFonts w:ascii="Calibri" w:hAnsi="Calibri" w:cs="Calibri"/>
          <w:color w:val="000000" w:themeColor="text1"/>
        </w:rPr>
        <w:t xml:space="preserve"> SR</w:t>
      </w:r>
      <w:r w:rsidRPr="190F7DBA">
        <w:rPr>
          <w:rFonts w:ascii="Calibri" w:hAnsi="Calibri" w:cs="Calibri"/>
          <w:color w:val="000000" w:themeColor="text1"/>
        </w:rPr>
        <w:t>, Úradu vlády</w:t>
      </w:r>
      <w:r w:rsidR="00752FB6" w:rsidRPr="190F7DBA">
        <w:rPr>
          <w:rFonts w:ascii="Calibri" w:hAnsi="Calibri" w:cs="Calibri"/>
          <w:color w:val="000000" w:themeColor="text1"/>
        </w:rPr>
        <w:t xml:space="preserve"> </w:t>
      </w:r>
      <w:r w:rsidRPr="190F7DBA">
        <w:rPr>
          <w:rFonts w:ascii="Calibri" w:hAnsi="Calibri" w:cs="Calibri"/>
          <w:color w:val="000000" w:themeColor="text1"/>
        </w:rPr>
        <w:t>a jedného ďalšieho ministerstva vrátane ich podriadených organizácií</w:t>
      </w:r>
      <w:r w:rsidR="009D4856">
        <w:rPr>
          <w:rFonts w:ascii="Calibri" w:hAnsi="Calibri" w:cs="Calibri"/>
          <w:color w:val="000000" w:themeColor="text1"/>
        </w:rPr>
        <w:t>,</w:t>
      </w:r>
    </w:p>
    <w:p w14:paraId="446BF096" w14:textId="77777777" w:rsidR="00A13990" w:rsidRPr="00236EBE" w:rsidRDefault="00433BD6" w:rsidP="004C6B6E">
      <w:pPr>
        <w:pStyle w:val="Odsekzoznamu"/>
      </w:pPr>
      <w:r>
        <w:t>Do roku 2026</w:t>
      </w:r>
    </w:p>
    <w:p w14:paraId="7BF98CC2" w14:textId="7301D8F9" w:rsidR="004C6B6E" w:rsidRPr="004D73C4"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nasadiť</w:t>
      </w:r>
      <w:r w:rsidR="00752FB6" w:rsidRPr="190F7DBA">
        <w:rPr>
          <w:rFonts w:ascii="Calibri" w:hAnsi="Calibri" w:cs="Calibri"/>
          <w:color w:val="000000" w:themeColor="text1"/>
        </w:rPr>
        <w:t xml:space="preserve"> </w:t>
      </w:r>
      <w:r w:rsidRPr="190F7DBA">
        <w:rPr>
          <w:rFonts w:ascii="Calibri" w:hAnsi="Calibri" w:cs="Calibri"/>
          <w:color w:val="000000" w:themeColor="text1"/>
        </w:rPr>
        <w:t xml:space="preserve">spoločný blok na ministerstvách a ostatných </w:t>
      </w:r>
      <w:r w:rsidR="008B7FDA" w:rsidRPr="190F7DBA">
        <w:rPr>
          <w:rFonts w:ascii="Calibri" w:hAnsi="Calibri" w:cs="Calibri"/>
        </w:rPr>
        <w:t xml:space="preserve">ÚOŠS </w:t>
      </w:r>
      <w:r w:rsidRPr="190F7DBA">
        <w:rPr>
          <w:rFonts w:ascii="Calibri" w:hAnsi="Calibri" w:cs="Calibri"/>
          <w:color w:val="000000" w:themeColor="text1"/>
        </w:rPr>
        <w:t>vrátane ich podriadených organizácií</w:t>
      </w:r>
      <w:r w:rsidR="009D4856">
        <w:rPr>
          <w:rFonts w:ascii="Calibri" w:hAnsi="Calibri" w:cs="Calibri"/>
          <w:color w:val="000000" w:themeColor="text1"/>
        </w:rPr>
        <w:t>,</w:t>
      </w:r>
    </w:p>
    <w:p w14:paraId="2F99E3F7" w14:textId="77777777" w:rsidR="00A13990" w:rsidRPr="004D73C4" w:rsidRDefault="00433BD6" w:rsidP="004C6B6E">
      <w:pPr>
        <w:pStyle w:val="Odsekzoznamu"/>
      </w:pPr>
      <w:r>
        <w:t>Do roku 2030</w:t>
      </w:r>
    </w:p>
    <w:p w14:paraId="3DCB4D60" w14:textId="28EDB627" w:rsidR="004C6B6E" w:rsidRPr="004D73C4"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nasadiť spoločný blok v ostatných org</w:t>
      </w:r>
      <w:r w:rsidR="00D5491E" w:rsidRPr="190F7DBA">
        <w:rPr>
          <w:rFonts w:ascii="Calibri" w:hAnsi="Calibri" w:cs="Calibri"/>
          <w:color w:val="000000" w:themeColor="text1"/>
        </w:rPr>
        <w:t>ánoch verejnej správy</w:t>
      </w:r>
      <w:r w:rsidR="009D4856">
        <w:rPr>
          <w:rFonts w:ascii="Calibri" w:hAnsi="Calibri" w:cs="Calibri"/>
          <w:color w:val="000000" w:themeColor="text1"/>
        </w:rPr>
        <w:t>.</w:t>
      </w:r>
    </w:p>
    <w:p w14:paraId="714A5478" w14:textId="77777777" w:rsidR="00986EBF" w:rsidRDefault="00986EBF" w:rsidP="00986EBF">
      <w:pPr>
        <w:rPr>
          <w:rFonts w:ascii="Calibri" w:hAnsi="Calibri" w:cs="Calibri"/>
          <w:b/>
          <w:bCs/>
        </w:rPr>
      </w:pPr>
      <w:r>
        <w:rPr>
          <w:b/>
          <w:bCs/>
        </w:rPr>
        <w:t xml:space="preserve">Opatrenie 2 – </w:t>
      </w:r>
      <w:r w:rsidRPr="004D73C4">
        <w:rPr>
          <w:rFonts w:ascii="Calibri" w:hAnsi="Calibri" w:cs="Calibri"/>
          <w:b/>
          <w:bCs/>
        </w:rPr>
        <w:t xml:space="preserve">Dobudovanie cloudovej kancelárie </w:t>
      </w:r>
      <w:r>
        <w:rPr>
          <w:rFonts w:ascii="Calibri" w:hAnsi="Calibri" w:cs="Calibri"/>
          <w:b/>
          <w:bCs/>
        </w:rPr>
        <w:t>MIRRI SR</w:t>
      </w:r>
    </w:p>
    <w:p w14:paraId="4B976126" w14:textId="77777777" w:rsidR="00986EBF" w:rsidRPr="004D73C4" w:rsidRDefault="00986EBF" w:rsidP="00986EBF">
      <w:pPr>
        <w:rPr>
          <w:rStyle w:val="normaltextrun"/>
          <w:b/>
          <w:bCs/>
          <w:szCs w:val="36"/>
        </w:rPr>
      </w:pPr>
      <w:r>
        <w:rPr>
          <w:rFonts w:ascii="Calibri" w:hAnsi="Calibri" w:cs="Calibri"/>
          <w:b/>
          <w:bCs/>
        </w:rPr>
        <w:t>Vytvorenie kancelárie a jej štandardu</w:t>
      </w:r>
    </w:p>
    <w:p w14:paraId="0976DBD4" w14:textId="77777777" w:rsidR="00986EBF" w:rsidRPr="004D73C4" w:rsidRDefault="00986EBF" w:rsidP="00986EBF">
      <w:r w:rsidRPr="004D73C4">
        <w:t xml:space="preserve">V nadväznosti na </w:t>
      </w:r>
      <w:r w:rsidRPr="00865A27">
        <w:t>splnenie opatrenia</w:t>
      </w:r>
      <w:r w:rsidRPr="004D73C4">
        <w:t>, ktor</w:t>
      </w:r>
      <w:r>
        <w:t>é</w:t>
      </w:r>
      <w:r w:rsidRPr="004D73C4">
        <w:t xml:space="preserve"> dobuduje centrálne personálne kapacity v oblasti smerovania a riadenia centralizácie</w:t>
      </w:r>
      <w:r>
        <w:t>,</w:t>
      </w:r>
      <w:r w:rsidRPr="004D73C4">
        <w:t xml:space="preserve"> je dobudovaná aj cloudová kancelária ako orgán pre governance a riadenie vládneho cloudu. </w:t>
      </w:r>
    </w:p>
    <w:p w14:paraId="2FDC1282" w14:textId="77777777" w:rsidR="00986EBF" w:rsidRPr="004D73C4" w:rsidRDefault="00986EBF" w:rsidP="00986EBF">
      <w:r w:rsidRPr="004D73C4">
        <w:t>Cloudovou kanceláriou sú rozpracované a aplikujú sa nasledujúce princípy:</w:t>
      </w:r>
    </w:p>
    <w:p w14:paraId="28BECB70" w14:textId="77777777" w:rsidR="00986EBF" w:rsidRPr="00986EBF" w:rsidRDefault="238DB04D" w:rsidP="00986EBF">
      <w:pPr>
        <w:pStyle w:val="Odsekzoznamu"/>
      </w:pPr>
      <w:r>
        <w:t>Je vytvorený tzv. „cloud-native“ štandard ako štandard pre vývoj služieb SaaS, nových informačných systémov a pre prípadnú úpravu starých informačných systémov do nového štandardu. Štandard zohľadňuje výsledky a výstupy aj ostatných relevantných cieľov.</w:t>
      </w:r>
    </w:p>
    <w:p w14:paraId="3A8F42BB" w14:textId="77777777" w:rsidR="00986EBF" w:rsidRPr="00986EBF" w:rsidRDefault="238DB04D" w:rsidP="00986EBF">
      <w:pPr>
        <w:pStyle w:val="Odsekzoznamu"/>
      </w:pPr>
      <w:r>
        <w:t xml:space="preserve">Služby typu IaaS a PaaS sú poskytované len v odôvodnených prípadoch. </w:t>
      </w:r>
    </w:p>
    <w:p w14:paraId="24FFDEDF" w14:textId="77777777" w:rsidR="00986EBF" w:rsidRPr="00986EBF" w:rsidRDefault="238DB04D" w:rsidP="00986EBF">
      <w:pPr>
        <w:pStyle w:val="Odsekzoznamu"/>
      </w:pPr>
      <w:r>
        <w:t>Katalóg sa rozširuje hlavne o služby typu SaaS</w:t>
      </w:r>
      <w:r w:rsidR="6CE5E08B">
        <w:t>.</w:t>
      </w:r>
      <w:r>
        <w:t xml:space="preserve"> </w:t>
      </w:r>
    </w:p>
    <w:p w14:paraId="0715C9D0" w14:textId="77777777" w:rsidR="00986EBF" w:rsidRPr="00986EBF" w:rsidRDefault="238DB04D" w:rsidP="00986EBF">
      <w:pPr>
        <w:pStyle w:val="Odsekzoznamu"/>
      </w:pPr>
      <w:r>
        <w:t>Katalóg služieb obsahuje služby podporujúce vývoj ISVS s architektúrou mikroslužieb</w:t>
      </w:r>
      <w:r w:rsidR="6CE5E08B">
        <w:t>.</w:t>
      </w:r>
    </w:p>
    <w:p w14:paraId="69EBD7E6" w14:textId="77777777" w:rsidR="00986EBF" w:rsidRPr="00986EBF" w:rsidRDefault="238DB04D" w:rsidP="00986EBF">
      <w:pPr>
        <w:pStyle w:val="Odsekzoznamu"/>
      </w:pPr>
      <w:r>
        <w:t>Podporuje sa rozvoj takých PaaS a SaaS služieb, ktoré umožnia vytváranie nových informačných systémov kompozíciou z existujúcich služieb PaaS a SaaS. Existujúce bloky a služby sa dôsledne prepoužívajú.</w:t>
      </w:r>
    </w:p>
    <w:p w14:paraId="17C67A42" w14:textId="77777777" w:rsidR="00986EBF" w:rsidRPr="00986EBF" w:rsidRDefault="238DB04D" w:rsidP="00986EBF">
      <w:pPr>
        <w:pStyle w:val="Odsekzoznamu"/>
      </w:pPr>
      <w:r>
        <w:t>Nástroje typu DevOps sú poskytované spolu so zdieľanými službami podpory ich efektívneho využívania a prevádzky (napr. repozitáre, automatické testovanie: funkčné, výkonové, bezpečnostné a prístupnosti, ďalej nasadzovanie a konfiguračný manažment).</w:t>
      </w:r>
    </w:p>
    <w:p w14:paraId="344CF870" w14:textId="77777777" w:rsidR="00986EBF" w:rsidRPr="00986EBF" w:rsidRDefault="238DB04D" w:rsidP="00986EBF">
      <w:pPr>
        <w:pStyle w:val="Odsekzoznamu"/>
      </w:pPr>
      <w:r>
        <w:t>Životný cyklus informačných systémov sa plánuje komplexne, sú známe všetky súvisiace náklady počas doby prevádzky a prevádzkované systémy majú naplánované vypnutie.</w:t>
      </w:r>
    </w:p>
    <w:p w14:paraId="07E3BEF3" w14:textId="77777777" w:rsidR="00986EBF" w:rsidRPr="00986EBF" w:rsidRDefault="238DB04D" w:rsidP="00986EBF">
      <w:pPr>
        <w:pStyle w:val="Odsekzoznamu"/>
      </w:pPr>
      <w:r>
        <w:t>V prípade, že to z príslušnej legislatívy vyplýva, sú poskytované cloudové služby so zvýšenou úrovňou bezpečnosti v oblasti technologickej a procesnej, napríklad pre zdravotné dáta a pod.</w:t>
      </w:r>
    </w:p>
    <w:p w14:paraId="47213716" w14:textId="77777777" w:rsidR="00986EBF" w:rsidRPr="004D73C4" w:rsidRDefault="00986EBF" w:rsidP="00986EBF">
      <w:pPr>
        <w:rPr>
          <w:i/>
          <w:iCs/>
        </w:rPr>
      </w:pPr>
      <w:r w:rsidRPr="004D73C4">
        <w:rPr>
          <w:i/>
          <w:iCs/>
        </w:rPr>
        <w:t>Iniciatívy:</w:t>
      </w:r>
    </w:p>
    <w:p w14:paraId="604B136B" w14:textId="77777777" w:rsidR="00986EBF" w:rsidRPr="004D73C4" w:rsidRDefault="004956A3" w:rsidP="00986EBF">
      <w:pPr>
        <w:pStyle w:val="Odsekzoznamu"/>
      </w:pPr>
      <w:r>
        <w:t>V</w:t>
      </w:r>
      <w:r w:rsidR="238DB04D">
        <w:t xml:space="preserve"> roku 2021</w:t>
      </w:r>
    </w:p>
    <w:p w14:paraId="3B34D433" w14:textId="396E19CC" w:rsidR="00986EBF" w:rsidRPr="00236EBE" w:rsidRDefault="00986EB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Vytvorenie Cloud kancelárie</w:t>
      </w:r>
      <w:r w:rsidR="009D4856">
        <w:rPr>
          <w:rFonts w:ascii="Calibri" w:hAnsi="Calibri" w:cs="Calibri"/>
          <w:color w:val="000000" w:themeColor="text1"/>
        </w:rPr>
        <w:t>.</w:t>
      </w:r>
    </w:p>
    <w:p w14:paraId="74BD8AAE" w14:textId="77777777" w:rsidR="00986EBF" w:rsidRPr="00236EBE" w:rsidRDefault="00433BD6" w:rsidP="00986EBF">
      <w:pPr>
        <w:pStyle w:val="Odsekzoznamu"/>
      </w:pPr>
      <w:r>
        <w:t>Do roku 2023</w:t>
      </w:r>
    </w:p>
    <w:p w14:paraId="267E3378" w14:textId="77777777" w:rsidR="00986EBF" w:rsidRPr="00236EBE" w:rsidRDefault="00986EBF" w:rsidP="00F06821">
      <w:pPr>
        <w:pStyle w:val="Odsekzoznamu"/>
        <w:numPr>
          <w:ilvl w:val="0"/>
          <w:numId w:val="24"/>
        </w:numPr>
        <w:spacing w:before="120" w:line="240" w:lineRule="auto"/>
        <w:ind w:left="1134" w:hanging="357"/>
        <w:rPr>
          <w:rFonts w:ascii="Calibri" w:hAnsi="Calibri" w:cs="Calibri"/>
          <w:color w:val="000000"/>
        </w:rPr>
      </w:pPr>
      <w:r w:rsidRPr="190F7DBA">
        <w:rPr>
          <w:rFonts w:ascii="Calibri" w:hAnsi="Calibri" w:cs="Calibri"/>
          <w:color w:val="000000" w:themeColor="text1"/>
        </w:rPr>
        <w:t>Vytvorenie „slovenskej cloudovej federácie“</w:t>
      </w:r>
      <w:r w:rsidR="002E4C68" w:rsidRPr="190F7DBA">
        <w:rPr>
          <w:rFonts w:ascii="Calibri" w:hAnsi="Calibri" w:cs="Calibri"/>
          <w:color w:val="000000" w:themeColor="text1"/>
        </w:rPr>
        <w:t>.</w:t>
      </w:r>
    </w:p>
    <w:p w14:paraId="08EC9282" w14:textId="77777777" w:rsidR="009D4856" w:rsidRDefault="009D4856" w:rsidP="002C2D5B">
      <w:pPr>
        <w:rPr>
          <w:b/>
          <w:bCs/>
        </w:rPr>
      </w:pPr>
    </w:p>
    <w:p w14:paraId="5289389E" w14:textId="4198406E" w:rsidR="004C6B6E" w:rsidRPr="004D73C4" w:rsidRDefault="002C2D5B" w:rsidP="002C2D5B">
      <w:pPr>
        <w:rPr>
          <w:rStyle w:val="normaltextrun"/>
          <w:b/>
          <w:bCs/>
          <w:szCs w:val="36"/>
        </w:rPr>
      </w:pPr>
      <w:r w:rsidRPr="004D73C4">
        <w:rPr>
          <w:b/>
          <w:bCs/>
        </w:rPr>
        <w:lastRenderedPageBreak/>
        <w:t>Zavedenie služieb a procesov pre efektívnu prevádzku služieb vládneho cloudu</w:t>
      </w:r>
    </w:p>
    <w:p w14:paraId="754DDDD0" w14:textId="77777777" w:rsidR="004C6B6E" w:rsidRPr="004D73C4" w:rsidRDefault="004C6B6E" w:rsidP="004C6B6E">
      <w:r w:rsidRPr="004D73C4">
        <w:t>Sú nasadené nástroje a procesy na zabezpečenie efektívneho plánovania a ekonomicky flexibilného obstarávania a spustenia cloudových služieb používateľmi. Nástroje realizujú efektívne a rýchle obstarávanie a uvedenie cloudových služieb do prevádzky. Špecifikácie procesov a nástrojov predstavujú časť vstupov pre cieľ „cloud-native“ štandard.</w:t>
      </w:r>
    </w:p>
    <w:p w14:paraId="47435B4A" w14:textId="77777777" w:rsidR="004C6B6E" w:rsidRPr="004D73C4" w:rsidRDefault="004C6B6E" w:rsidP="004C6B6E">
      <w:r w:rsidRPr="004D73C4">
        <w:t>Sú nasadené sa nástroje a procesy na monitorovanie a pravidelnú kontrole prevádzkových parametrov jednotlivých IS</w:t>
      </w:r>
      <w:r w:rsidR="002E4C68">
        <w:t>, t</w:t>
      </w:r>
      <w:r w:rsidRPr="004D73C4">
        <w:t>zv. SLA. Výsledky sa transparentne zverejňujú vo vzťahu k zmluvne dohodnutým hodnotám. Špecifikácie procesov a nástrojov predstavujú časť vstupov pre cieľ „cloud-native“ štandard.</w:t>
      </w:r>
    </w:p>
    <w:p w14:paraId="7E1200EB" w14:textId="77777777" w:rsidR="004C6B6E" w:rsidRPr="004D73C4" w:rsidRDefault="004C6B6E" w:rsidP="004C6B6E">
      <w:r w:rsidRPr="004D73C4">
        <w:t>Pre poskytované cloudové služby je známa ich cena, kvalita a cenotvorba a sú uvedené v Katalógu služieb Vládneho cloudu. Je vytvorený a prijatý mechanizmus uhrádzania nákladov na služby.</w:t>
      </w:r>
    </w:p>
    <w:p w14:paraId="13BA2BD0" w14:textId="77777777" w:rsidR="004C6B6E" w:rsidRPr="004D73C4" w:rsidRDefault="003F4A82" w:rsidP="004C6B6E">
      <w:pPr>
        <w:rPr>
          <w:i/>
          <w:iCs/>
        </w:rPr>
      </w:pPr>
      <w:r w:rsidRPr="004D73C4">
        <w:rPr>
          <w:i/>
          <w:iCs/>
        </w:rPr>
        <w:t>Iniciatívy:</w:t>
      </w:r>
    </w:p>
    <w:p w14:paraId="682F8887" w14:textId="77777777" w:rsidR="004C6B6E" w:rsidRPr="004D73C4" w:rsidRDefault="00433BD6" w:rsidP="004C6B6E">
      <w:pPr>
        <w:pStyle w:val="Odsekzoznamu"/>
      </w:pPr>
      <w:r>
        <w:t>Do roku 2023</w:t>
      </w:r>
    </w:p>
    <w:p w14:paraId="02958534" w14:textId="530750A4" w:rsidR="00136CF9" w:rsidRPr="00236EBE" w:rsidRDefault="00136CF9"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zhodnotiť ekonomickú dostupnosť jednotlivých služieb</w:t>
      </w:r>
      <w:r w:rsidR="009D4856">
        <w:rPr>
          <w:rFonts w:ascii="Calibri" w:hAnsi="Calibri" w:cs="Calibri"/>
          <w:color w:val="000000" w:themeColor="text1"/>
        </w:rPr>
        <w:t>,</w:t>
      </w:r>
    </w:p>
    <w:p w14:paraId="3D23CD6B" w14:textId="5AAD87C2" w:rsidR="00A13990" w:rsidRPr="00236EBE" w:rsidRDefault="00136CF9"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zaviesť nástroje a procesy na zabezpečenie efektívneho plánovania a ekonomicky flexibilného obstarávania cloudových služieb používateľmi, teda zabezpečenie efektívneho a rýchleho obstarávacieho systému pre cloudové služby</w:t>
      </w:r>
      <w:r w:rsidR="009D4856">
        <w:rPr>
          <w:rFonts w:ascii="Calibri" w:hAnsi="Calibri" w:cs="Calibri"/>
          <w:color w:val="000000" w:themeColor="text1"/>
        </w:rPr>
        <w:t>,</w:t>
      </w:r>
    </w:p>
    <w:p w14:paraId="218C5E30" w14:textId="77777777" w:rsidR="004C6B6E" w:rsidRPr="00236EBE" w:rsidRDefault="00433BD6" w:rsidP="004C6B6E">
      <w:pPr>
        <w:pStyle w:val="Odsekzoznamu"/>
      </w:pPr>
      <w:r>
        <w:t>Do roku 2026</w:t>
      </w:r>
    </w:p>
    <w:p w14:paraId="21061987" w14:textId="76BD30D5" w:rsidR="00A13990" w:rsidRPr="00236EBE" w:rsidRDefault="00136CF9"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zaviesť služby a procesy vedúce k monitorovaniu a pravidelnej kontrole prevádzkových parametrov jednotlivých ITVS a transparentné zverejňovanie výsledkov</w:t>
      </w:r>
      <w:r w:rsidR="009D4856">
        <w:rPr>
          <w:rFonts w:ascii="Calibri" w:hAnsi="Calibri" w:cs="Calibri"/>
          <w:color w:val="000000" w:themeColor="text1"/>
        </w:rPr>
        <w:t>.</w:t>
      </w:r>
    </w:p>
    <w:p w14:paraId="020E0B77" w14:textId="77777777" w:rsidR="00986EBF" w:rsidRPr="005726F6" w:rsidRDefault="00986EBF" w:rsidP="00986EBF">
      <w:pPr>
        <w:spacing w:line="240" w:lineRule="auto"/>
        <w:rPr>
          <w:rFonts w:ascii="Calibri" w:hAnsi="Calibri" w:cs="Calibri"/>
          <w:b/>
          <w:bCs/>
          <w:color w:val="000000"/>
        </w:rPr>
      </w:pPr>
      <w:r w:rsidRPr="005726F6">
        <w:rPr>
          <w:rFonts w:ascii="Calibri" w:hAnsi="Calibri" w:cs="Calibri"/>
          <w:b/>
          <w:bCs/>
          <w:color w:val="000000"/>
        </w:rPr>
        <w:t xml:space="preserve">Vytvorenie a údržba stratégie budovania vládneho cloudu a podmienok </w:t>
      </w:r>
      <w:r>
        <w:rPr>
          <w:rFonts w:ascii="Calibri" w:hAnsi="Calibri" w:cs="Calibri"/>
          <w:b/>
          <w:bCs/>
          <w:color w:val="000000"/>
        </w:rPr>
        <w:t xml:space="preserve">a spôsobu </w:t>
      </w:r>
      <w:r w:rsidRPr="005726F6">
        <w:rPr>
          <w:rFonts w:ascii="Calibri" w:hAnsi="Calibri" w:cs="Calibri"/>
          <w:b/>
          <w:bCs/>
          <w:color w:val="000000"/>
        </w:rPr>
        <w:t>využívania cloudových služieb</w:t>
      </w:r>
    </w:p>
    <w:p w14:paraId="6FDA8947" w14:textId="77777777" w:rsidR="00986EBF" w:rsidRPr="004D73C4" w:rsidRDefault="00986EBF" w:rsidP="00986EBF">
      <w:r w:rsidRPr="004D73C4">
        <w:t>Pre internú prevádzku služieb vládneho cloudu sú zavedené procesy prevádzky a rozvoja zodpovedajúce cloudovému prístupu. V privátnej časti vládneho cloudu sú zavedené služby a procesy na optimalizáciu využívania a kapacitného plánovania. Rozširovanie kapacít je rýchle a efektívne.</w:t>
      </w:r>
    </w:p>
    <w:p w14:paraId="2DD159B7" w14:textId="77777777" w:rsidR="00986EBF" w:rsidRPr="004D73C4" w:rsidRDefault="00986EBF" w:rsidP="00986EBF">
      <w:r w:rsidRPr="004D73C4">
        <w:t>Nové cloudové služby typu IaaS, PaaS, SaaS pribúdajú na základe potrieb používateľov služieb, prioritne najmä služby typu SaaS. Nové služby sú prezentované v prehľadnom Katalógu vládneho cloudu, ktorý zjednodušuje výber všetkých poskytovaných služieb, ich obstaranie, spoplatnenie a spustenie, automatizácia poskytovania služieb cloudu (provisioning) je porovnateľná s lídrami na trhu.</w:t>
      </w:r>
    </w:p>
    <w:p w14:paraId="536B81B1" w14:textId="77777777" w:rsidR="00986EBF" w:rsidRPr="004D73C4" w:rsidRDefault="00986EBF" w:rsidP="00986EBF">
      <w:r w:rsidRPr="004D73C4">
        <w:t>Katalóg verejnej časti vládneho cloudu obsahuje služby podľa potrieb OVM. Integrácia privátnej časti vládneho cloudu a časti verejných cloudových služieb je možná.</w:t>
      </w:r>
    </w:p>
    <w:p w14:paraId="5E5B56B0" w14:textId="77777777" w:rsidR="00986EBF" w:rsidRPr="004D73C4" w:rsidRDefault="00986EBF" w:rsidP="00986EBF">
      <w:pPr>
        <w:rPr>
          <w:i/>
          <w:iCs/>
        </w:rPr>
      </w:pPr>
      <w:r w:rsidRPr="004D73C4">
        <w:rPr>
          <w:i/>
          <w:iCs/>
        </w:rPr>
        <w:t>Iniciatívy:</w:t>
      </w:r>
    </w:p>
    <w:p w14:paraId="711993A6" w14:textId="77777777" w:rsidR="00986EBF" w:rsidRDefault="004956A3" w:rsidP="00986EBF">
      <w:pPr>
        <w:pStyle w:val="Odsekzoznamu"/>
      </w:pPr>
      <w:r>
        <w:t>V</w:t>
      </w:r>
      <w:r w:rsidR="238DB04D">
        <w:t xml:space="preserve"> roku 2021</w:t>
      </w:r>
    </w:p>
    <w:p w14:paraId="7D422EDA" w14:textId="77777777" w:rsidR="00986EBF" w:rsidRPr="00236EBE" w:rsidRDefault="00986EB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Klasifi</w:t>
      </w:r>
      <w:r w:rsidRPr="190F7DBA">
        <w:rPr>
          <w:rFonts w:ascii="Calibri" w:hAnsi="Calibri" w:cs="Calibri"/>
        </w:rPr>
        <w:t>kácia a kategorizácia ISVS systémom</w:t>
      </w:r>
      <w:r w:rsidR="002E4C68" w:rsidRPr="190F7DBA">
        <w:rPr>
          <w:rFonts w:ascii="Calibri" w:hAnsi="Calibri" w:cs="Calibri"/>
        </w:rPr>
        <w:t xml:space="preserve"> –</w:t>
      </w:r>
      <w:r w:rsidRPr="190F7DBA">
        <w:rPr>
          <w:rFonts w:ascii="Calibri" w:hAnsi="Calibri" w:cs="Calibri"/>
        </w:rPr>
        <w:t xml:space="preserve"> Zadefinovanie bezpečnostn</w:t>
      </w:r>
      <w:r w:rsidR="002E4C68" w:rsidRPr="190F7DBA">
        <w:rPr>
          <w:rFonts w:ascii="Calibri" w:hAnsi="Calibri" w:cs="Calibri"/>
        </w:rPr>
        <w:t>ých</w:t>
      </w:r>
      <w:r w:rsidRPr="190F7DBA">
        <w:rPr>
          <w:rFonts w:ascii="Calibri" w:hAnsi="Calibri" w:cs="Calibri"/>
        </w:rPr>
        <w:t xml:space="preserve"> a funkčn</w:t>
      </w:r>
      <w:r w:rsidR="002E4C68" w:rsidRPr="190F7DBA">
        <w:rPr>
          <w:rFonts w:ascii="Calibri" w:hAnsi="Calibri" w:cs="Calibri"/>
        </w:rPr>
        <w:t>ých</w:t>
      </w:r>
      <w:r w:rsidRPr="190F7DBA">
        <w:rPr>
          <w:rFonts w:ascii="Calibri" w:hAnsi="Calibri" w:cs="Calibri"/>
        </w:rPr>
        <w:t xml:space="preserve"> parametr</w:t>
      </w:r>
      <w:r w:rsidR="002E4C68" w:rsidRPr="190F7DBA">
        <w:rPr>
          <w:rFonts w:ascii="Calibri" w:hAnsi="Calibri" w:cs="Calibri"/>
        </w:rPr>
        <w:t>ov</w:t>
      </w:r>
      <w:r w:rsidRPr="190F7DBA">
        <w:rPr>
          <w:rFonts w:ascii="Calibri" w:hAnsi="Calibri" w:cs="Calibri"/>
        </w:rPr>
        <w:t xml:space="preserve"> určujúc</w:t>
      </w:r>
      <w:r w:rsidR="002E4C68" w:rsidRPr="190F7DBA">
        <w:rPr>
          <w:rFonts w:ascii="Calibri" w:hAnsi="Calibri" w:cs="Calibri"/>
        </w:rPr>
        <w:t>ich</w:t>
      </w:r>
      <w:r w:rsidRPr="190F7DBA">
        <w:rPr>
          <w:rFonts w:ascii="Calibri" w:hAnsi="Calibri" w:cs="Calibri"/>
        </w:rPr>
        <w:t xml:space="preserve"> množinu informačných systémov, ktoré sú kľúčové pre fungovanie štátu</w:t>
      </w:r>
      <w:r w:rsidR="002E4C68" w:rsidRPr="190F7DBA">
        <w:rPr>
          <w:rFonts w:ascii="Calibri" w:hAnsi="Calibri" w:cs="Calibri"/>
        </w:rPr>
        <w:t>.</w:t>
      </w:r>
    </w:p>
    <w:p w14:paraId="6F0C6298" w14:textId="77777777" w:rsidR="00986EBF" w:rsidRPr="00236EBE" w:rsidRDefault="00986EB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Vytvorenie stratégie využívania cloudových služieb na základe klasifikácie ISVS.</w:t>
      </w:r>
    </w:p>
    <w:p w14:paraId="492F55BB" w14:textId="77777777" w:rsidR="00986EBF" w:rsidRPr="00236EBE" w:rsidRDefault="00986EB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Zadefinovanie privátnej časti vládneho cloudu pre primárne využitie informačnými systémami, ktoré sú kľúčové pre fungovanie štátu</w:t>
      </w:r>
      <w:r w:rsidR="002E4C68" w:rsidRPr="190F7DBA">
        <w:rPr>
          <w:rFonts w:ascii="Calibri" w:hAnsi="Calibri" w:cs="Calibri"/>
          <w:color w:val="000000" w:themeColor="text1"/>
        </w:rPr>
        <w:t>.</w:t>
      </w:r>
    </w:p>
    <w:p w14:paraId="37F8D228" w14:textId="77777777" w:rsidR="00986EBF" w:rsidRPr="00236EBE" w:rsidRDefault="00433BD6" w:rsidP="00986EBF">
      <w:pPr>
        <w:pStyle w:val="Odsekzoznamu"/>
      </w:pPr>
      <w:r>
        <w:t>Do roku 2023</w:t>
      </w:r>
    </w:p>
    <w:p w14:paraId="5FA31F99" w14:textId="77777777" w:rsidR="002E4C68" w:rsidRPr="00236EBE" w:rsidRDefault="00986EBF" w:rsidP="00F06821">
      <w:pPr>
        <w:pStyle w:val="Odsekzoznamu"/>
        <w:numPr>
          <w:ilvl w:val="0"/>
          <w:numId w:val="24"/>
        </w:numPr>
        <w:spacing w:before="120" w:after="0" w:line="240" w:lineRule="auto"/>
        <w:ind w:left="1134"/>
        <w:rPr>
          <w:b/>
          <w:bCs/>
        </w:rPr>
      </w:pPr>
      <w:r w:rsidRPr="190F7DBA">
        <w:rPr>
          <w:rFonts w:ascii="Calibri" w:hAnsi="Calibri" w:cs="Calibri"/>
          <w:color w:val="000000" w:themeColor="text1"/>
        </w:rPr>
        <w:t>Implement</w:t>
      </w:r>
      <w:r w:rsidR="002E4C68" w:rsidRPr="190F7DBA">
        <w:rPr>
          <w:rFonts w:ascii="Calibri" w:hAnsi="Calibri" w:cs="Calibri"/>
          <w:color w:val="000000" w:themeColor="text1"/>
        </w:rPr>
        <w:t>ácia</w:t>
      </w:r>
      <w:r w:rsidRPr="190F7DBA">
        <w:rPr>
          <w:rFonts w:ascii="Calibri" w:hAnsi="Calibri" w:cs="Calibri"/>
          <w:color w:val="000000" w:themeColor="text1"/>
        </w:rPr>
        <w:t xml:space="preserve"> stratégi</w:t>
      </w:r>
      <w:r w:rsidR="002E4C68" w:rsidRPr="190F7DBA">
        <w:rPr>
          <w:rFonts w:ascii="Calibri" w:hAnsi="Calibri" w:cs="Calibri"/>
          <w:color w:val="000000" w:themeColor="text1"/>
        </w:rPr>
        <w:t>e</w:t>
      </w:r>
      <w:r w:rsidRPr="190F7DBA">
        <w:rPr>
          <w:rFonts w:ascii="Calibri" w:hAnsi="Calibri" w:cs="Calibri"/>
          <w:color w:val="000000" w:themeColor="text1"/>
        </w:rPr>
        <w:t xml:space="preserve"> využívania cloudových služieb na základe klasifikácie ISVS. </w:t>
      </w:r>
    </w:p>
    <w:p w14:paraId="10000CF9" w14:textId="77777777" w:rsidR="00986EBF" w:rsidRPr="00236EBE" w:rsidRDefault="00986EBF" w:rsidP="00F06821">
      <w:pPr>
        <w:pStyle w:val="Odsekzoznamu"/>
        <w:numPr>
          <w:ilvl w:val="0"/>
          <w:numId w:val="24"/>
        </w:numPr>
        <w:spacing w:before="120" w:line="240" w:lineRule="auto"/>
        <w:ind w:left="1134" w:hanging="357"/>
        <w:rPr>
          <w:b/>
          <w:bCs/>
        </w:rPr>
      </w:pPr>
      <w:r w:rsidRPr="190F7DBA">
        <w:rPr>
          <w:rFonts w:ascii="Calibri" w:hAnsi="Calibri" w:cs="Calibri"/>
          <w:color w:val="000000" w:themeColor="text1"/>
        </w:rPr>
        <w:t>Umožniť integráciu privátnej časti vládneho cloudu a časti verejných cloudových služieb</w:t>
      </w:r>
    </w:p>
    <w:p w14:paraId="6CFE5E82" w14:textId="77777777" w:rsidR="004C6B6E" w:rsidRPr="004D73C4" w:rsidRDefault="00895E2F" w:rsidP="00A13990">
      <w:pPr>
        <w:rPr>
          <w:rStyle w:val="normaltextrun"/>
          <w:b/>
          <w:bCs/>
          <w:szCs w:val="36"/>
        </w:rPr>
      </w:pPr>
      <w:r w:rsidRPr="004D73C4">
        <w:rPr>
          <w:rFonts w:ascii="Calibri" w:hAnsi="Calibri" w:cs="Calibri"/>
          <w:b/>
          <w:bCs/>
        </w:rPr>
        <w:t>Podpora medzinárodnej integrácie vládneho cloudu</w:t>
      </w:r>
    </w:p>
    <w:p w14:paraId="757C87F3" w14:textId="77777777" w:rsidR="004C6B6E" w:rsidRPr="004D73C4" w:rsidRDefault="004C6B6E" w:rsidP="004C6B6E">
      <w:r w:rsidRPr="004D73C4">
        <w:t xml:space="preserve">Vládny cloud SR sa rozvíja tak, aby bol v súlade so záväzkami, ktoré Vláda SR prijala a prijme v tejto oblasti. Vládny cloud je v súlade s požiadavkami na technickú interoperabilitu a štandardy, ktoré sa </w:t>
      </w:r>
      <w:r w:rsidRPr="004D73C4">
        <w:lastRenderedPageBreak/>
        <w:t>budú v kontexte Európskej cloudovej federácie v budúcnosti formulovať v spolupráci s ostatnými členskými štátmi EÚ.</w:t>
      </w:r>
    </w:p>
    <w:p w14:paraId="457876AE" w14:textId="77777777" w:rsidR="004C6B6E" w:rsidRPr="004D73C4" w:rsidRDefault="004C6B6E" w:rsidP="004C6B6E">
      <w:r w:rsidRPr="004D73C4">
        <w:t>Certifikačný a</w:t>
      </w:r>
      <w:r w:rsidR="00D5491E" w:rsidRPr="004D73C4">
        <w:t> autorizačný proces pre služby v</w:t>
      </w:r>
      <w:r w:rsidRPr="004D73C4">
        <w:t>ládneho cloudu SR je harmonizovaný s certifikačnými procesmi v EÚ.</w:t>
      </w:r>
    </w:p>
    <w:p w14:paraId="396DBF5D" w14:textId="77777777" w:rsidR="004C6B6E" w:rsidRPr="004D73C4" w:rsidRDefault="003F4A82" w:rsidP="004C6B6E">
      <w:pPr>
        <w:rPr>
          <w:i/>
          <w:iCs/>
        </w:rPr>
      </w:pPr>
      <w:r w:rsidRPr="004D73C4">
        <w:rPr>
          <w:i/>
          <w:iCs/>
        </w:rPr>
        <w:t>Iniciatívy:</w:t>
      </w:r>
    </w:p>
    <w:p w14:paraId="42531792" w14:textId="77777777" w:rsidR="00A13990" w:rsidRPr="004D73C4" w:rsidRDefault="00433BD6" w:rsidP="00A13990">
      <w:pPr>
        <w:pStyle w:val="Odsekzoznamu"/>
      </w:pPr>
      <w:r>
        <w:t>Do roku 2023</w:t>
      </w:r>
    </w:p>
    <w:p w14:paraId="08BC0C24" w14:textId="77777777" w:rsidR="00D5491E" w:rsidRPr="00236EBE" w:rsidRDefault="00D5491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zapojiť sa do projektu GAIA -X – Euro cloudovej federácie</w:t>
      </w:r>
      <w:r w:rsidR="00F10B43" w:rsidRPr="190F7DBA">
        <w:rPr>
          <w:rFonts w:ascii="Calibri" w:hAnsi="Calibri" w:cs="Calibri"/>
          <w:color w:val="000000" w:themeColor="text1"/>
        </w:rPr>
        <w:t>,</w:t>
      </w:r>
    </w:p>
    <w:p w14:paraId="312A7B39" w14:textId="77777777" w:rsidR="00D5491E" w:rsidRPr="00236EBE" w:rsidRDefault="00D5491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byť lídrom pri založení a fungovaní GAIA-X Hubu v</w:t>
      </w:r>
      <w:r w:rsidR="00F10B43" w:rsidRPr="190F7DBA">
        <w:rPr>
          <w:rFonts w:ascii="Calibri" w:hAnsi="Calibri" w:cs="Calibri"/>
          <w:color w:val="000000" w:themeColor="text1"/>
        </w:rPr>
        <w:t> </w:t>
      </w:r>
      <w:r w:rsidRPr="190F7DBA">
        <w:rPr>
          <w:rFonts w:ascii="Calibri" w:hAnsi="Calibri" w:cs="Calibri"/>
          <w:color w:val="000000" w:themeColor="text1"/>
        </w:rPr>
        <w:t>SR</w:t>
      </w:r>
      <w:r w:rsidR="00F10B43" w:rsidRPr="190F7DBA">
        <w:rPr>
          <w:rFonts w:ascii="Calibri" w:hAnsi="Calibri" w:cs="Calibri"/>
          <w:color w:val="000000" w:themeColor="text1"/>
        </w:rPr>
        <w:t>,</w:t>
      </w:r>
    </w:p>
    <w:p w14:paraId="45C611BF" w14:textId="77777777" w:rsidR="00A13990" w:rsidRPr="00236EBE" w:rsidRDefault="00D5491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zaistiť súlad overovania zhody do vládneho cloudu s postupmi v</w:t>
      </w:r>
      <w:r w:rsidR="00F10B43" w:rsidRPr="190F7DBA">
        <w:rPr>
          <w:rFonts w:ascii="Calibri" w:hAnsi="Calibri" w:cs="Calibri"/>
          <w:color w:val="000000" w:themeColor="text1"/>
        </w:rPr>
        <w:t> </w:t>
      </w:r>
      <w:r w:rsidRPr="190F7DBA">
        <w:rPr>
          <w:rFonts w:ascii="Calibri" w:hAnsi="Calibri" w:cs="Calibri"/>
          <w:color w:val="000000" w:themeColor="text1"/>
        </w:rPr>
        <w:t>E</w:t>
      </w:r>
      <w:r w:rsidR="00986EBF" w:rsidRPr="190F7DBA">
        <w:rPr>
          <w:rFonts w:ascii="Calibri" w:hAnsi="Calibri" w:cs="Calibri"/>
          <w:color w:val="000000" w:themeColor="text1"/>
        </w:rPr>
        <w:t>Ú</w:t>
      </w:r>
      <w:r w:rsidR="00F10B43" w:rsidRPr="190F7DBA">
        <w:rPr>
          <w:rFonts w:ascii="Calibri" w:hAnsi="Calibri" w:cs="Calibri"/>
          <w:color w:val="000000" w:themeColor="text1"/>
        </w:rPr>
        <w:t>.</w:t>
      </w:r>
    </w:p>
    <w:p w14:paraId="5AA3B6A2" w14:textId="77777777" w:rsidR="004C6B6E" w:rsidRPr="004D73C4" w:rsidRDefault="00861E75" w:rsidP="00895E2F">
      <w:pPr>
        <w:rPr>
          <w:rStyle w:val="normaltextrun"/>
          <w:b/>
          <w:bCs/>
          <w:szCs w:val="36"/>
        </w:rPr>
      </w:pPr>
      <w:r w:rsidRPr="00861E75">
        <w:rPr>
          <w:b/>
          <w:bCs/>
        </w:rPr>
        <w:t>Budovanie centrálnych kapacít</w:t>
      </w:r>
      <w:r w:rsidR="00934846">
        <w:rPr>
          <w:b/>
          <w:bCs/>
        </w:rPr>
        <w:t xml:space="preserve"> </w:t>
      </w:r>
      <w:r>
        <w:rPr>
          <w:b/>
          <w:bCs/>
        </w:rPr>
        <w:t>–</w:t>
      </w:r>
      <w:r w:rsidRPr="00861E75">
        <w:rPr>
          <w:b/>
          <w:bCs/>
        </w:rPr>
        <w:t xml:space="preserve"> Konsolidácia privátnej časti dátových centier</w:t>
      </w:r>
    </w:p>
    <w:p w14:paraId="55A2546B" w14:textId="77777777" w:rsidR="004C6B6E" w:rsidRPr="004D73C4" w:rsidRDefault="004C6B6E" w:rsidP="00A13990">
      <w:r w:rsidRPr="004D73C4">
        <w:t>Serverová infraštruktúra informačných systémov štátnej správy je skonsolidovaná technologicky, personálne a procesne v rámci jednej prevádzkovej organizácie. Dátové centrá sú</w:t>
      </w:r>
      <w:r w:rsidR="00752FB6" w:rsidRPr="004D73C4">
        <w:t xml:space="preserve"> </w:t>
      </w:r>
      <w:r w:rsidRPr="004D73C4">
        <w:t>umiestnené v rámci SR na základe geografickej vhodnosti. Datacentrá sú budované a prevádzkované v súlade s pravidlami pre prevádzku a bezpečnosť. Samosprávne orgány majú vybudované vlastné datacentrá na základe geografického princípu. Budovanie datacentier za verejné prostriedky mimo uvedených štruktúr je možné len v zákonom odôvodnených prípadoch.</w:t>
      </w:r>
    </w:p>
    <w:p w14:paraId="4F8D7878" w14:textId="246ED677" w:rsidR="004C6B6E" w:rsidRPr="004D73C4" w:rsidRDefault="003F4A82" w:rsidP="004C6B6E">
      <w:pPr>
        <w:rPr>
          <w:i/>
          <w:iCs/>
        </w:rPr>
      </w:pPr>
      <w:r w:rsidRPr="004D73C4">
        <w:rPr>
          <w:i/>
          <w:iCs/>
        </w:rPr>
        <w:t>Iniciatívy:</w:t>
      </w:r>
    </w:p>
    <w:p w14:paraId="01536725" w14:textId="77777777" w:rsidR="00A13990" w:rsidRPr="004D73C4" w:rsidRDefault="00433BD6" w:rsidP="004C6B6E">
      <w:pPr>
        <w:pStyle w:val="Odsekzoznamu"/>
      </w:pPr>
      <w:r>
        <w:t>Do roku 2023</w:t>
      </w:r>
    </w:p>
    <w:p w14:paraId="77A897DB" w14:textId="243D8182" w:rsidR="003A44FF"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dve hlavné datacentrá sú zlúčené pod jednu zastrešujúcu organizáciu</w:t>
      </w:r>
      <w:r w:rsidR="009D4856">
        <w:rPr>
          <w:rFonts w:ascii="Calibri" w:hAnsi="Calibri" w:cs="Calibri"/>
          <w:color w:val="000000" w:themeColor="text1"/>
        </w:rPr>
        <w:t>,</w:t>
      </w:r>
    </w:p>
    <w:p w14:paraId="19D6AD37" w14:textId="669E289F" w:rsidR="003A44FF" w:rsidRPr="00236EBE" w:rsidRDefault="003A44F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w:t>
      </w:r>
      <w:r w:rsidR="004C6B6E" w:rsidRPr="190F7DBA">
        <w:rPr>
          <w:rFonts w:ascii="Calibri" w:hAnsi="Calibri" w:cs="Calibri"/>
          <w:color w:val="000000" w:themeColor="text1"/>
        </w:rPr>
        <w:t> rámci rezortov prebieha konsolidácia serverovej infraštruktúry podriadených organizácií ako príprava na konsolidáciu rezortu ako celku</w:t>
      </w:r>
      <w:r w:rsidR="009D4856">
        <w:rPr>
          <w:rFonts w:ascii="Calibri" w:hAnsi="Calibri" w:cs="Calibri"/>
          <w:color w:val="000000" w:themeColor="text1"/>
        </w:rPr>
        <w:t>,</w:t>
      </w:r>
    </w:p>
    <w:p w14:paraId="5BBFD159" w14:textId="77777777" w:rsidR="004C6B6E" w:rsidRPr="00236EBE" w:rsidRDefault="003A44F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s</w:t>
      </w:r>
      <w:r w:rsidR="004C6B6E" w:rsidRPr="190F7DBA">
        <w:rPr>
          <w:rFonts w:ascii="Calibri" w:hAnsi="Calibri" w:cs="Calibri"/>
          <w:color w:val="000000" w:themeColor="text1"/>
        </w:rPr>
        <w:t>amosprávne orgány v spolupráci s centrálnou úrovňou pripravujú plán centralizácie serverovej infraštruktúry samosprávy.</w:t>
      </w:r>
    </w:p>
    <w:p w14:paraId="68CF3047" w14:textId="77777777" w:rsidR="00A13990" w:rsidRPr="00236EBE" w:rsidRDefault="00433BD6" w:rsidP="004C6B6E">
      <w:pPr>
        <w:pStyle w:val="Odsekzoznamu"/>
      </w:pPr>
      <w:r>
        <w:t>Do roku 2026</w:t>
      </w:r>
    </w:p>
    <w:p w14:paraId="6F7BF1AD" w14:textId="5C895824" w:rsidR="003A44FF" w:rsidRPr="00236EBE" w:rsidRDefault="004C6B6E"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všetky hlavné datacentrá a všetky serverové infraštruktúry rezortov a centrálnych OVM sú zlúčené pod jednu zastrešujúcu organizáciu</w:t>
      </w:r>
      <w:r w:rsidR="009D4856">
        <w:rPr>
          <w:rFonts w:ascii="Calibri" w:hAnsi="Calibri" w:cs="Calibri"/>
          <w:color w:val="000000" w:themeColor="text1"/>
        </w:rPr>
        <w:t>,</w:t>
      </w:r>
    </w:p>
    <w:p w14:paraId="00F36A8B" w14:textId="77777777" w:rsidR="004C6B6E" w:rsidRPr="00236EBE" w:rsidRDefault="003A44FF"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w:t>
      </w:r>
      <w:r w:rsidR="004C6B6E" w:rsidRPr="190F7DBA">
        <w:rPr>
          <w:rFonts w:ascii="Calibri" w:hAnsi="Calibri" w:cs="Calibri"/>
          <w:color w:val="000000" w:themeColor="text1"/>
        </w:rPr>
        <w:t> samospráve je dokončená konsolidácia na úrovni samosprávnych krajov a veľkých miest.</w:t>
      </w:r>
    </w:p>
    <w:p w14:paraId="154B112B" w14:textId="77777777" w:rsidR="00A13990" w:rsidRPr="00236EBE" w:rsidRDefault="00433BD6" w:rsidP="004C6B6E">
      <w:pPr>
        <w:pStyle w:val="Odsekzoznamu"/>
      </w:pPr>
      <w:r>
        <w:t>Do roku 2030</w:t>
      </w:r>
    </w:p>
    <w:p w14:paraId="7BDE5AB6" w14:textId="77777777" w:rsidR="004C6B6E" w:rsidRPr="00236EBE" w:rsidRDefault="004C6B6E"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všetky samosprávne serverové infraštruktúry sú skonsolidované.</w:t>
      </w:r>
    </w:p>
    <w:p w14:paraId="1C4AF763" w14:textId="77777777" w:rsidR="00250001" w:rsidRPr="004D73C4" w:rsidRDefault="00383D4E" w:rsidP="00E362F7">
      <w:pPr>
        <w:pStyle w:val="Nadpis3"/>
      </w:pPr>
      <w:bookmarkStart w:id="125" w:name="_Toc69297715"/>
      <w:bookmarkStart w:id="126" w:name="_Toc70369678"/>
      <w:bookmarkStart w:id="127" w:name="_Toc70711618"/>
      <w:r>
        <w:t>K</w:t>
      </w:r>
      <w:r w:rsidR="00DD7F3C">
        <w:t>ybernetick</w:t>
      </w:r>
      <w:r>
        <w:t>á a informačná</w:t>
      </w:r>
      <w:r w:rsidR="00DD7F3C">
        <w:t xml:space="preserve"> bezpečnos</w:t>
      </w:r>
      <w:r>
        <w:t>ť</w:t>
      </w:r>
      <w:bookmarkEnd w:id="125"/>
      <w:bookmarkEnd w:id="126"/>
      <w:bookmarkEnd w:id="127"/>
    </w:p>
    <w:p w14:paraId="03014532" w14:textId="77777777" w:rsidR="00404275" w:rsidRPr="00B94536" w:rsidRDefault="00A11B80" w:rsidP="00B94536">
      <w:bookmarkStart w:id="128" w:name="_Toc56683629"/>
      <w:r w:rsidRPr="00B94536">
        <w:t xml:space="preserve">KIB </w:t>
      </w:r>
      <w:r w:rsidR="00DD7F3C" w:rsidRPr="00B94536">
        <w:t>sa stáva nevyhnutnou súčasťou spoľahlivého fungovania</w:t>
      </w:r>
      <w:r w:rsidRPr="00B94536">
        <w:t xml:space="preserve"> IKT</w:t>
      </w:r>
      <w:r w:rsidR="00DD7F3C" w:rsidRPr="00B94536">
        <w:t xml:space="preserve"> s cieľom poskytovať bezpečné digitálne verejné služby. Rastie potreba odborného a kvalifikovaného personálu na oblasť </w:t>
      </w:r>
      <w:r w:rsidRPr="00B94536">
        <w:t xml:space="preserve">KIB </w:t>
      </w:r>
      <w:r w:rsidR="00DD7F3C" w:rsidRPr="00B94536">
        <w:t>na centrálnej i lokálnej úrovni vrátane nutnosti systematického vzdelávania. Cieľom je zabezpečenie ochrany (digitálnej) identity občana, bezpečnosti elektronických podaní a elektronických právnych úkonov v rámci e</w:t>
      </w:r>
      <w:r w:rsidR="009A0ED4" w:rsidRPr="00B94536">
        <w:t>-</w:t>
      </w:r>
      <w:r w:rsidR="00DD7F3C" w:rsidRPr="00B94536">
        <w:t xml:space="preserve">Governmentu, resp. prevencie voči kybernetickým bezpečnostným incidentom a podpora ich riešenia. Teda posun od ad-hoc riešení k systematickej riadenej činnosti. Výsledkom má byť dôvera občanov, ktorá sa prejaví prirodzeným využívaním digitálnych služieb štátu v kontexte intenzívnej podpory interoperability, od ktorej závisí dostupnosť informačných systémov, údajov a služieb v centralizovanej architektúre. </w:t>
      </w:r>
    </w:p>
    <w:p w14:paraId="62C8336D" w14:textId="77777777" w:rsidR="00DD7F3C" w:rsidRPr="00B94536" w:rsidRDefault="00DD7F3C" w:rsidP="00B94536">
      <w:r w:rsidRPr="00B94536">
        <w:t xml:space="preserve">V oblasti odolnosti voči hrozbám v kybernetickom priestore je potrebné skvalitniť proces návrhu a dizajnu, obstarávania, implementácie a prevádzky ISVS, čo v sebe zahŕňa vypracovanie bezpečnostných projektov, prijatie a dodržiavanie bezpečnostných politík, zavedenie systému riadenia </w:t>
      </w:r>
      <w:r w:rsidR="00A11B80" w:rsidRPr="00B94536">
        <w:t>KIB</w:t>
      </w:r>
      <w:r w:rsidRPr="00B94536">
        <w:t xml:space="preserve">, systematickú správu rizík v priebehu celého životného cyklu ISVS a nastavenie opatrení na minimalizáciu vzniku bezpečnostných incidentov alebo udalostí v kontexte nasadzovania technických i technologických riešení na ich rýchlu a efektívnu identifikáciu, monitorovanie, riešenie a odstraňovanie zraniteľností už v procese návrhu a dizajnu ISVS. </w:t>
      </w:r>
    </w:p>
    <w:p w14:paraId="5ED50462" w14:textId="77777777" w:rsidR="009D4856" w:rsidRDefault="009D4856" w:rsidP="00DD7F3C">
      <w:pPr>
        <w:rPr>
          <w:b/>
        </w:rPr>
      </w:pPr>
    </w:p>
    <w:p w14:paraId="3569D982" w14:textId="1C074B00" w:rsidR="00DD7F3C" w:rsidRPr="004D73C4" w:rsidRDefault="00DD7F3C" w:rsidP="00DD7F3C">
      <w:pPr>
        <w:rPr>
          <w:b/>
        </w:rPr>
      </w:pPr>
      <w:r w:rsidRPr="004D73C4">
        <w:rPr>
          <w:b/>
        </w:rPr>
        <w:lastRenderedPageBreak/>
        <w:t xml:space="preserve">Sumarizácia hlavných </w:t>
      </w:r>
      <w:r w:rsidR="00FC5596" w:rsidRPr="004D73C4">
        <w:rPr>
          <w:b/>
        </w:rPr>
        <w:t>o</w:t>
      </w:r>
      <w:r w:rsidR="00FC5596" w:rsidRPr="004D73C4">
        <w:rPr>
          <w:b/>
          <w:bCs/>
        </w:rPr>
        <w:t>patrení</w:t>
      </w:r>
      <w:r w:rsidRPr="004D73C4">
        <w:rPr>
          <w:b/>
        </w:rPr>
        <w:t>:</w:t>
      </w:r>
    </w:p>
    <w:p w14:paraId="38CA12D7" w14:textId="77777777" w:rsidR="00DD7F3C" w:rsidRPr="009D4856" w:rsidRDefault="00DD7F3C" w:rsidP="00F06821">
      <w:pPr>
        <w:pStyle w:val="Odsekzoznamu"/>
        <w:numPr>
          <w:ilvl w:val="0"/>
          <w:numId w:val="41"/>
        </w:numPr>
        <w:rPr>
          <w:rStyle w:val="eop"/>
          <w:b/>
        </w:rPr>
      </w:pPr>
      <w:r w:rsidRPr="009D4856">
        <w:rPr>
          <w:rStyle w:val="eop"/>
          <w:b/>
        </w:rPr>
        <w:t>Zabezpečenie kybernetickej ochrany digitálneho ekosystému verejnej správy zahŕňa:</w:t>
      </w:r>
    </w:p>
    <w:p w14:paraId="3B4187F0" w14:textId="77777777" w:rsidR="00DD7F3C" w:rsidRPr="009D4856" w:rsidRDefault="00DD7F3C" w:rsidP="00F06821">
      <w:pPr>
        <w:pStyle w:val="Odsekzoznamu"/>
        <w:numPr>
          <w:ilvl w:val="1"/>
          <w:numId w:val="27"/>
        </w:numPr>
        <w:rPr>
          <w:rStyle w:val="eop"/>
        </w:rPr>
      </w:pPr>
      <w:r w:rsidRPr="009D4856">
        <w:rPr>
          <w:rStyle w:val="eop"/>
        </w:rPr>
        <w:t>Vykonať analýzu potrieb verejnej správy v personálnej oblasti, zaviesť schémy minimálnych počtov a požadovaných kvalifikácií špecialistov v oblasti KIB v prostredí verejnej správy vrátane zosúladenia pracovných podmienok s podnikateľským sektorom tak, aby práca v štátnej správe v KIB bola motivujúca, perspektívna, atraktívna a dlhodobo udržateľná.</w:t>
      </w:r>
    </w:p>
    <w:p w14:paraId="5C08E71D" w14:textId="77777777" w:rsidR="00DD7F3C" w:rsidRPr="009D4856" w:rsidRDefault="00DD7F3C" w:rsidP="00F06821">
      <w:pPr>
        <w:pStyle w:val="Odsekzoznamu"/>
        <w:numPr>
          <w:ilvl w:val="1"/>
          <w:numId w:val="27"/>
        </w:numPr>
        <w:rPr>
          <w:rStyle w:val="eop"/>
        </w:rPr>
      </w:pPr>
      <w:r w:rsidRPr="009D4856">
        <w:rPr>
          <w:rStyle w:val="eop"/>
        </w:rPr>
        <w:t>Spolupracovať s inými štátnymi inštitúciami, akademickým a súkromným sektorom pre zabezpečenie princípov bezpečnej, dôveryhodnej a etickej digitalizácie.</w:t>
      </w:r>
    </w:p>
    <w:p w14:paraId="5C973713" w14:textId="77777777" w:rsidR="00DD7F3C" w:rsidRPr="009D4856" w:rsidRDefault="00DD7F3C" w:rsidP="00F06821">
      <w:pPr>
        <w:pStyle w:val="Odsekzoznamu"/>
        <w:numPr>
          <w:ilvl w:val="1"/>
          <w:numId w:val="27"/>
        </w:numPr>
        <w:rPr>
          <w:rStyle w:val="eop"/>
        </w:rPr>
      </w:pPr>
      <w:r w:rsidRPr="009D4856">
        <w:rPr>
          <w:rStyle w:val="eop"/>
        </w:rPr>
        <w:t>Spolupracovať pri premietaní povinností z legislatívy, koncepcií a štandardov EÚ a SR do zákonov, vykonávacích predpisov a štandardov pre ISVS a rozvíjať konzistentnú odbornú terminológiu KIB. Vydávať i aktualizovať štandardy ISVS</w:t>
      </w:r>
      <w:r w:rsidR="00D50FD6" w:rsidRPr="009D4856">
        <w:rPr>
          <w:rStyle w:val="eop"/>
        </w:rPr>
        <w:t>.</w:t>
      </w:r>
    </w:p>
    <w:p w14:paraId="3028B130" w14:textId="77777777" w:rsidR="00DD7F3C" w:rsidRPr="009D4856" w:rsidRDefault="00DD7F3C" w:rsidP="00F06821">
      <w:pPr>
        <w:pStyle w:val="Odsekzoznamu"/>
        <w:numPr>
          <w:ilvl w:val="1"/>
          <w:numId w:val="27"/>
        </w:numPr>
        <w:rPr>
          <w:rStyle w:val="eop"/>
        </w:rPr>
      </w:pPr>
      <w:r w:rsidRPr="009D4856">
        <w:rPr>
          <w:rStyle w:val="eop"/>
        </w:rPr>
        <w:t>Skvalitňovať priestorovú a procesnú rovinu technických i technologických riešení kritickej infraštruktúry v prostredí verejnej správy.</w:t>
      </w:r>
    </w:p>
    <w:p w14:paraId="24225DC0" w14:textId="77777777" w:rsidR="00DD7F3C" w:rsidRPr="009D4856" w:rsidRDefault="00DD7F3C" w:rsidP="00F06821">
      <w:pPr>
        <w:pStyle w:val="Odsekzoznamu"/>
        <w:numPr>
          <w:ilvl w:val="0"/>
          <w:numId w:val="41"/>
        </w:numPr>
        <w:rPr>
          <w:rStyle w:val="eop"/>
          <w:b/>
          <w:bCs/>
        </w:rPr>
      </w:pPr>
      <w:r w:rsidRPr="009D4856">
        <w:rPr>
          <w:rStyle w:val="eop"/>
          <w:b/>
          <w:bCs/>
        </w:rPr>
        <w:t>Zvyšovanie KIB vo verejnej správe zahŕňa:</w:t>
      </w:r>
    </w:p>
    <w:p w14:paraId="55734406" w14:textId="77777777" w:rsidR="00DD7F3C" w:rsidRPr="009D4856" w:rsidRDefault="00DD7F3C" w:rsidP="00F06821">
      <w:pPr>
        <w:pStyle w:val="Odsekzoznamu"/>
        <w:numPr>
          <w:ilvl w:val="1"/>
          <w:numId w:val="27"/>
        </w:numPr>
        <w:rPr>
          <w:rStyle w:val="eop"/>
        </w:rPr>
      </w:pPr>
      <w:r w:rsidRPr="009D4856">
        <w:rPr>
          <w:rStyle w:val="eop"/>
        </w:rPr>
        <w:t>Realizovať preventívne opatrenia a systematické riadenie kybernetických bezpečnostných incidentov v pôsobnosti MIRRI</w:t>
      </w:r>
      <w:r w:rsidR="00E86474" w:rsidRPr="009D4856">
        <w:rPr>
          <w:rStyle w:val="eop"/>
        </w:rPr>
        <w:t xml:space="preserve"> SR</w:t>
      </w:r>
      <w:r w:rsidRPr="009D4856">
        <w:rPr>
          <w:rStyle w:val="eop"/>
        </w:rPr>
        <w:t xml:space="preserve"> prostredníctvom CSIRT.SK nasadením vhodných technických i technologických nástrojov a vytvorením centrálnej kapacity na poskytovanie odbornej pomoci pri distribúcii a implementácii bezpečnostných opatrení.</w:t>
      </w:r>
    </w:p>
    <w:p w14:paraId="420579A3" w14:textId="77777777" w:rsidR="00DD7F3C" w:rsidRPr="009D4856" w:rsidRDefault="00DD7F3C" w:rsidP="00F06821">
      <w:pPr>
        <w:pStyle w:val="Odsekzoznamu"/>
        <w:numPr>
          <w:ilvl w:val="1"/>
          <w:numId w:val="27"/>
        </w:numPr>
        <w:rPr>
          <w:rStyle w:val="eop"/>
        </w:rPr>
      </w:pPr>
      <w:r w:rsidRPr="009D4856">
        <w:rPr>
          <w:rStyle w:val="eop"/>
        </w:rPr>
        <w:t>Nasadiť systematickú správu rizík v priebehu celého životného cyklu ISVS a skvalitniť proces návrhu a dizajnu, obstarávania, implementácie a prevádzky ISVS tak, aby boli odolné voči hrozbám v kybernetickom priestore.</w:t>
      </w:r>
    </w:p>
    <w:p w14:paraId="67184BC9" w14:textId="77777777" w:rsidR="00DD7F3C" w:rsidRPr="009D4856" w:rsidRDefault="00DD7F3C" w:rsidP="00F06821">
      <w:pPr>
        <w:pStyle w:val="Odsekzoznamu"/>
        <w:numPr>
          <w:ilvl w:val="1"/>
          <w:numId w:val="27"/>
        </w:numPr>
        <w:rPr>
          <w:rStyle w:val="eop"/>
        </w:rPr>
      </w:pPr>
      <w:r w:rsidRPr="009D4856">
        <w:rPr>
          <w:rStyle w:val="eop"/>
        </w:rPr>
        <w:t>Realizovať bezpečnostné audity ISVS a webových aplikácií pred ich nasadením do prevádzky.</w:t>
      </w:r>
    </w:p>
    <w:p w14:paraId="2A205B9A" w14:textId="77777777" w:rsidR="00DD7F3C" w:rsidRPr="009D4856" w:rsidRDefault="00DD7F3C" w:rsidP="00F06821">
      <w:pPr>
        <w:pStyle w:val="Odsekzoznamu"/>
        <w:numPr>
          <w:ilvl w:val="1"/>
          <w:numId w:val="27"/>
        </w:numPr>
        <w:rPr>
          <w:rStyle w:val="eop"/>
        </w:rPr>
      </w:pPr>
      <w:r w:rsidRPr="009D4856">
        <w:rPr>
          <w:rStyle w:val="eop"/>
        </w:rPr>
        <w:t>Zaviesť systematické riadenie kontinuity činností ISVS.</w:t>
      </w:r>
    </w:p>
    <w:p w14:paraId="3666E6E8" w14:textId="77777777" w:rsidR="00DD7F3C" w:rsidRPr="009D4856" w:rsidRDefault="00DD7F3C" w:rsidP="00F06821">
      <w:pPr>
        <w:pStyle w:val="Odsekzoznamu"/>
        <w:numPr>
          <w:ilvl w:val="1"/>
          <w:numId w:val="27"/>
        </w:numPr>
        <w:rPr>
          <w:rStyle w:val="eop"/>
        </w:rPr>
      </w:pPr>
      <w:r w:rsidRPr="009D4856">
        <w:rPr>
          <w:rStyle w:val="eop"/>
        </w:rPr>
        <w:t>Zabezpečiť KIB na úrovni koncových ISVS vrátane plnej podpory prostredníctvom CSIRT.SK v oblasti varovania pred bezpečnostnými hrozbami a útokmi vrátane oznamov o zraniteľnostiach a centrálneho riadenia KIB po technickej stránke.</w:t>
      </w:r>
    </w:p>
    <w:p w14:paraId="24B52275" w14:textId="77777777" w:rsidR="00DD7F3C" w:rsidRPr="009D4856" w:rsidRDefault="00DD7F3C" w:rsidP="00F06821">
      <w:pPr>
        <w:pStyle w:val="Odsekzoznamu"/>
        <w:numPr>
          <w:ilvl w:val="1"/>
          <w:numId w:val="27"/>
        </w:numPr>
        <w:rPr>
          <w:rStyle w:val="eop"/>
        </w:rPr>
      </w:pPr>
      <w:r w:rsidRPr="009D4856">
        <w:rPr>
          <w:rStyle w:val="eop"/>
        </w:rPr>
        <w:t>Preskúmať možnosti využívania centrálnych systémov a poskytovania bezpečnostných služieb na zvyšovanie KIB najmä tým subjektom, ktoré na zaistenie KIB nemajú vlastné kapacity.</w:t>
      </w:r>
    </w:p>
    <w:p w14:paraId="53F7A39E" w14:textId="77777777" w:rsidR="00DD7F3C" w:rsidRPr="009D4856" w:rsidRDefault="00DD7F3C" w:rsidP="00F06821">
      <w:pPr>
        <w:pStyle w:val="Odsekzoznamu"/>
        <w:numPr>
          <w:ilvl w:val="0"/>
          <w:numId w:val="41"/>
        </w:numPr>
        <w:rPr>
          <w:rStyle w:val="eop"/>
          <w:b/>
        </w:rPr>
      </w:pPr>
      <w:r w:rsidRPr="009D4856">
        <w:rPr>
          <w:rStyle w:val="eop"/>
          <w:b/>
        </w:rPr>
        <w:t>Vzdelávanie v oblasti KIB vo verejnej správe zahŕňa:</w:t>
      </w:r>
    </w:p>
    <w:p w14:paraId="5E4CB851" w14:textId="77777777" w:rsidR="00DD7F3C" w:rsidRPr="009D4856" w:rsidRDefault="00DD7F3C" w:rsidP="00F06821">
      <w:pPr>
        <w:pStyle w:val="Odsekzoznamu"/>
        <w:numPr>
          <w:ilvl w:val="1"/>
          <w:numId w:val="27"/>
        </w:numPr>
        <w:rPr>
          <w:rStyle w:val="eop"/>
        </w:rPr>
      </w:pPr>
      <w:r w:rsidRPr="009D4856">
        <w:rPr>
          <w:rStyle w:val="eop"/>
        </w:rPr>
        <w:t>Vytvoriť systém vzdelávania a zvyšovania bezpečnostného povedomia v oblasti KIB pre zamestnancov verejnej správy vrátane metodických materiálov pre dištančné vzdelávanie rôznych cieľových skupín a doplnkové vzdelávanie špecialistov.</w:t>
      </w:r>
    </w:p>
    <w:p w14:paraId="4047E60D" w14:textId="77777777" w:rsidR="00DD7F3C" w:rsidRPr="009D4856" w:rsidRDefault="00DD7F3C" w:rsidP="00F06821">
      <w:pPr>
        <w:pStyle w:val="Odsekzoznamu"/>
        <w:numPr>
          <w:ilvl w:val="1"/>
          <w:numId w:val="27"/>
        </w:numPr>
        <w:rPr>
          <w:rStyle w:val="eop"/>
        </w:rPr>
      </w:pPr>
      <w:r w:rsidRPr="009D4856">
        <w:rPr>
          <w:rStyle w:val="eop"/>
        </w:rPr>
        <w:t>Vytvoriť odborné metodiky pre vznik odborných bezpečnostných pracovísk v prostredí verejnej správy v spolupráci s CSIRT.SK a vyškoliť odborných pracovníkov KIB.</w:t>
      </w:r>
    </w:p>
    <w:p w14:paraId="21514668" w14:textId="77777777" w:rsidR="00DD7F3C" w:rsidRPr="009D4856" w:rsidRDefault="00DD7F3C" w:rsidP="00F06821">
      <w:pPr>
        <w:pStyle w:val="Odsekzoznamu"/>
        <w:numPr>
          <w:ilvl w:val="1"/>
          <w:numId w:val="27"/>
        </w:numPr>
        <w:rPr>
          <w:rStyle w:val="eop"/>
        </w:rPr>
      </w:pPr>
      <w:r w:rsidRPr="009D4856">
        <w:rPr>
          <w:rStyle w:val="eop"/>
        </w:rPr>
        <w:t>Vytvoriť centrá excelentnosti pre KIB na vysokých školách z dôvodu spolupráce pri vzdelávaní a metodickej pomoci verejnej správe, pre zabezpečenie potrebných kapacít a zručností a vývoj nových bezpečnostných riešení.</w:t>
      </w:r>
    </w:p>
    <w:p w14:paraId="4606DAC6" w14:textId="77777777" w:rsidR="00DD7F3C" w:rsidRPr="004D73C4" w:rsidRDefault="00FC5596" w:rsidP="00D00D79">
      <w:pPr>
        <w:rPr>
          <w:b/>
        </w:rPr>
      </w:pPr>
      <w:r w:rsidRPr="004D73C4">
        <w:rPr>
          <w:b/>
          <w:bCs/>
        </w:rPr>
        <w:t xml:space="preserve">Opatrenie </w:t>
      </w:r>
      <w:r w:rsidR="00DD7F3C" w:rsidRPr="004D73C4">
        <w:rPr>
          <w:b/>
        </w:rPr>
        <w:t xml:space="preserve">1 – </w:t>
      </w:r>
      <w:r w:rsidR="00DD7F3C" w:rsidRPr="004D73C4">
        <w:rPr>
          <w:rStyle w:val="normaltextrun"/>
          <w:b/>
          <w:szCs w:val="36"/>
        </w:rPr>
        <w:t>Zabezpečenie kybernetickej ochrany digitálneho ekosystému verejnej správy</w:t>
      </w:r>
    </w:p>
    <w:p w14:paraId="1003B35A" w14:textId="77777777" w:rsidR="00DD7F3C" w:rsidRPr="004D73C4" w:rsidRDefault="00DD7F3C" w:rsidP="00DD7F3C">
      <w:pPr>
        <w:spacing w:before="120" w:after="0" w:line="240" w:lineRule="auto"/>
      </w:pPr>
      <w:r w:rsidRPr="004D73C4">
        <w:t>Z DESI 2020 vyplýva nízka dôvera k službám elektronickej verejnej správy, keďže v porovnaní s priemerom EÚ (8 %) má až 19 % Slovákov obavy v súvislosti s bezpečnosťou digitálnych verejných služieb a obmedzuje elektronickú komunikáciu s verejnými orgánmi alebo sa jej vyhýba. Je nedostatočná participácia pri vydávaní a aktualizovaní štandardov pre ISVS v súlade s požiadavkami zákona o</w:t>
      </w:r>
      <w:r w:rsidR="00752FB6" w:rsidRPr="004D73C4">
        <w:t xml:space="preserve"> </w:t>
      </w:r>
      <w:r w:rsidR="009A0ED4" w:rsidRPr="004D73C4">
        <w:t>ITVS</w:t>
      </w:r>
      <w:r w:rsidRPr="004D73C4">
        <w:t>. Chýbajú šablóny a vzory dokumentácie bezpečnosti ISVS, návody, školiace materiály a ukážky v rozsahu definovanom vo vyhláške č. 179/2020 Z. z. Chýba metodika riadenia kontinuity prevádzky v rámci integrovaného systému e</w:t>
      </w:r>
      <w:r w:rsidR="009A0ED4" w:rsidRPr="004D73C4">
        <w:t>-</w:t>
      </w:r>
      <w:r w:rsidRPr="004D73C4">
        <w:t xml:space="preserve">Governmentu. Chýbajú kapacity kvalifikovaných odborníkov na centrálnej úrovni vrátane ich kontinuálneho vzdelávania a dostatočnej motivácie (finančnej, odbornej, pracovnej, v oblasti riadenia projektov a tvorby dokumentov a metodík v oblasti KIB). </w:t>
      </w:r>
    </w:p>
    <w:p w14:paraId="790439DE" w14:textId="77777777" w:rsidR="00DD7F3C" w:rsidRPr="004D73C4" w:rsidRDefault="00DD7F3C" w:rsidP="008D59A3">
      <w:r w:rsidRPr="004D73C4">
        <w:lastRenderedPageBreak/>
        <w:t>Na zaistenie potrebnej úrovne KIB vo verejnej správe chceme vydávať i aktualizovať štandardy pre ISVS</w:t>
      </w:r>
      <w:r w:rsidR="00B94536" w:rsidRPr="00B94536">
        <w:t xml:space="preserve">. </w:t>
      </w:r>
      <w:r w:rsidRPr="004D73C4">
        <w:t>Chceme kooperovať pri vytváraní legislatívnych podmienok. Pripravíme šablóny a vzory dokumentácie bezpečnosti ITVS, návody a školiace materiály pre správcov ITVS. To všetko v kontexte intenzívnej podpory interoperability, od ktorej závisí dostupnosť informačných systémov, údajov a služieb v centralizovanej architektúre.</w:t>
      </w:r>
    </w:p>
    <w:p w14:paraId="322CE000" w14:textId="77777777" w:rsidR="00DD7F3C" w:rsidRPr="004D73C4" w:rsidRDefault="003F4A82" w:rsidP="008D59A3">
      <w:r w:rsidRPr="004D73C4">
        <w:rPr>
          <w:i/>
          <w:iCs/>
        </w:rPr>
        <w:t>Iniciatívy:</w:t>
      </w:r>
    </w:p>
    <w:p w14:paraId="7E9A3EA2" w14:textId="77777777" w:rsidR="00DD7F3C" w:rsidRPr="00236EBE" w:rsidRDefault="00433BD6" w:rsidP="00623484">
      <w:pPr>
        <w:pStyle w:val="Odsekzoznamu"/>
      </w:pPr>
      <w:r>
        <w:t>Do roku 2023</w:t>
      </w:r>
    </w:p>
    <w:p w14:paraId="7E61B67F" w14:textId="77777777" w:rsidR="00D4332A"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Definovanie pracovných pozícií, nevyhnutných počtov a znalostných požiadaviek na odborné pozície v oblasti KIB vo verejnej správe.</w:t>
      </w:r>
    </w:p>
    <w:p w14:paraId="05A32AD7" w14:textId="77777777" w:rsidR="00DD7F3C"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Vytvorenie organizačného modelu riadenia KIB na všetkých úrovniach samosprávy, metodiky riadenia KIB vo vzťahu s tretími stranami, ako aj šablón a vzorov dokumentácie ITVS s vypracovaním jednotného metodického rámca pre implementáciu bezpečnostných opatrení podľa vyhlášky č. 179/2020 Z. z.</w:t>
      </w:r>
    </w:p>
    <w:p w14:paraId="5FAF2197" w14:textId="77777777" w:rsidR="00DD7F3C" w:rsidRPr="00236EBE" w:rsidRDefault="00433BD6" w:rsidP="00623484">
      <w:pPr>
        <w:pStyle w:val="Odsekzoznamu"/>
      </w:pPr>
      <w:r>
        <w:t>Do roku 2026</w:t>
      </w:r>
    </w:p>
    <w:p w14:paraId="5CA8937E" w14:textId="77777777" w:rsidR="00DD7F3C" w:rsidRPr="00236EBE" w:rsidRDefault="00DD7F3C"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Definovanie princípov etických pravidiel pre dôveryhodné používanie informačných technológií v prostredí verejnej správy.</w:t>
      </w:r>
    </w:p>
    <w:p w14:paraId="4A2F295B" w14:textId="77777777" w:rsidR="00DD7F3C" w:rsidRPr="00236EBE" w:rsidRDefault="00433BD6" w:rsidP="00623484">
      <w:pPr>
        <w:pStyle w:val="Odsekzoznamu"/>
      </w:pPr>
      <w:r>
        <w:t>Do roku 2030</w:t>
      </w:r>
    </w:p>
    <w:p w14:paraId="0E526712" w14:textId="77777777" w:rsidR="00D4332A"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Posilnenie odbornosti zamestnancov v oblasti KIB v prostredí verejnej správy tak, aby boli odborne rovnocennými partnermi odborníkov z komerčných firiem v rámci špecifikácie a kontroly plnenia vlastných úloh v oblasti KIB.</w:t>
      </w:r>
    </w:p>
    <w:p w14:paraId="0A48DD4F" w14:textId="77777777" w:rsidR="00DD7F3C" w:rsidRPr="00236EBE" w:rsidRDefault="00D4332A"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Skvalitniť procesné zabezpečenie a priestory s informačnými systémami a technológiami kritickej infraštruktúry v prostredí verejnej správy.</w:t>
      </w:r>
    </w:p>
    <w:p w14:paraId="285EC2EB" w14:textId="77777777" w:rsidR="00DD7F3C" w:rsidRPr="004D73C4" w:rsidRDefault="00FC5596" w:rsidP="008D59A3">
      <w:pPr>
        <w:rPr>
          <w:b/>
        </w:rPr>
      </w:pPr>
      <w:r w:rsidRPr="004D73C4">
        <w:rPr>
          <w:b/>
          <w:bCs/>
        </w:rPr>
        <w:t xml:space="preserve">Opatrenie </w:t>
      </w:r>
      <w:r w:rsidR="00DD7F3C" w:rsidRPr="004D73C4">
        <w:rPr>
          <w:b/>
        </w:rPr>
        <w:t>2 – Zvyšovanie KIB vo verejnej správe</w:t>
      </w:r>
    </w:p>
    <w:p w14:paraId="56687315" w14:textId="77777777" w:rsidR="00DD7F3C" w:rsidRPr="004D73C4" w:rsidRDefault="00DD7F3C" w:rsidP="00623484">
      <w:r w:rsidRPr="004D73C4">
        <w:t>Rezervy sú v dostatočnom zabezpečení centrálneho riadenia realizácie bezpečnostných auditov ISVS v kontexte overovania kritických zraniteľností. Chýba definovanie základnej a systematickej úrovne KIB v kontexte celej životnosti technických i technologických riešení od fázy návrhu a vývoja, v pilotnej fáze, pred nasadením do produkcie, ako aj počas ostrej prevádzky. Nie je vytvorený centrálny katalóg hrozieb. Nie je vytvorený a systematizovaný postup pre implementáciu bezpečnostných záplat na zraniteľné informačné systémy a aplikácie v prostredí verejnej správy.</w:t>
      </w:r>
    </w:p>
    <w:p w14:paraId="0013D1F0" w14:textId="77777777" w:rsidR="00DD7F3C" w:rsidRPr="004D73C4" w:rsidRDefault="00DD7F3C" w:rsidP="00623484">
      <w:r w:rsidRPr="004D73C4">
        <w:t>Chceme aktívne pristupovať k riešeniu bezpečnostných problémov KIB verejnej správy prostredníctvom aktivít CSIRT.SK, budeme pomáhať zvyšovať odborné kompetencie prevádzkovateľov ITVS. Chceme skvalitniť proces návrhu a dizajnu, obstarávania, implementácie a prevádzky ISVS tak, aby boli odolné voči hrozbám v kybernetickom priestore. To v sebe zahŕňa vypracovanie bezpečnostných projektov, prijatie a</w:t>
      </w:r>
      <w:r w:rsidR="007325E7">
        <w:t> </w:t>
      </w:r>
      <w:r w:rsidRPr="004D73C4">
        <w:t>dodržiavanie</w:t>
      </w:r>
      <w:r w:rsidR="007325E7">
        <w:t xml:space="preserve"> </w:t>
      </w:r>
      <w:r w:rsidRPr="004D73C4">
        <w:t xml:space="preserve">bezpečnostných politík, zavedenie systému riadenia </w:t>
      </w:r>
      <w:r w:rsidR="007325E7">
        <w:t>KIB</w:t>
      </w:r>
      <w:r w:rsidRPr="004D73C4">
        <w:t>, systematickú správu rizík v priebehu celého životného cyklu ISVS a nastavenie opatrení na minimalizáciu vzniku bezpečnostných incidentov alebo udalostí v kontexte nasadzovania technických i technologických riešení na ich rýchlu a efektívnu identifikáciu, monitorovanie, riešenie a odstraňovanie zraniteľností už v procese návrhu a dizajnu ISVS.</w:t>
      </w:r>
    </w:p>
    <w:p w14:paraId="1369877B" w14:textId="77777777" w:rsidR="00DD7F3C" w:rsidRPr="004D73C4" w:rsidRDefault="003F4A82" w:rsidP="00623484">
      <w:r w:rsidRPr="004D73C4">
        <w:rPr>
          <w:i/>
          <w:iCs/>
        </w:rPr>
        <w:t>Iniciatívy:</w:t>
      </w:r>
    </w:p>
    <w:p w14:paraId="527F425D" w14:textId="77777777" w:rsidR="00D4332A" w:rsidRPr="004D73C4" w:rsidRDefault="00433BD6" w:rsidP="00D4332A">
      <w:pPr>
        <w:pStyle w:val="Odsekzoznamu"/>
      </w:pPr>
      <w:r>
        <w:t>Do roku 2023</w:t>
      </w:r>
    </w:p>
    <w:p w14:paraId="7721D89F" w14:textId="77777777" w:rsidR="00D4332A"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Vytvorenie a zavedenie rámca pre pravidelné hodnotenie zraniteľností a penetračné testovanie informačných systémov majúcich rozhranie s internetom.</w:t>
      </w:r>
    </w:p>
    <w:p w14:paraId="68803688" w14:textId="77777777" w:rsidR="00D4332A"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Vytvorenie centrálneho katalógu hrozieb.</w:t>
      </w:r>
    </w:p>
    <w:p w14:paraId="19B8F978" w14:textId="0BE79E6D" w:rsidR="00D4332A" w:rsidRPr="00236EBE" w:rsidRDefault="00433BD6" w:rsidP="00D4332A">
      <w:pPr>
        <w:pStyle w:val="Odsekzoznamu"/>
      </w:pPr>
      <w:r>
        <w:t>Do roku 2026</w:t>
      </w:r>
    </w:p>
    <w:p w14:paraId="68471FF2" w14:textId="77777777" w:rsidR="00D4332A"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Pri nasadzovaní nových ISVS do prevádzky aktívne z úrovne CSIRT.SK spolupracovať s komunitou etických hackerov vrátane vytvorenia postupu pre implementáciu bezpečnostných záplat na zraniteľné IS a aplikácie v prostredí verejnej správy a realizácie bezpečnostných auditov ISVS pred nasadením do prevádzky.</w:t>
      </w:r>
    </w:p>
    <w:p w14:paraId="0BA17F54" w14:textId="77777777" w:rsidR="00D4332A"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lastRenderedPageBreak/>
        <w:t>Vytvorenie metodiky a realizácia technickej podpory koncových ISVS zo strany CSIRT.SK v oblasti varovania pred bezpečnostnými hrozbami a útokmi vrátane oznamov o zraniteľnostiach a centrálneho riadenia KIB po technickej stránke s cieľom zachovania vysokej úrovne bezpečnosti.</w:t>
      </w:r>
    </w:p>
    <w:p w14:paraId="4D9E6905" w14:textId="77777777" w:rsidR="00D4332A" w:rsidRPr="004D73C4" w:rsidRDefault="00433BD6" w:rsidP="00D4332A">
      <w:pPr>
        <w:pStyle w:val="Odsekzoznamu"/>
      </w:pPr>
      <w:r>
        <w:t>Do roku 2030</w:t>
      </w:r>
    </w:p>
    <w:p w14:paraId="512FC4CC" w14:textId="77777777" w:rsidR="00D4332A" w:rsidRPr="004D73C4"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Pomer webových aplikácií verejnej správy bez kritických bezpečnostných nedostatkov na celkovej vzorke webových aplikácií verejnej správy (sledovanie zraniteľností v definovaných kategóriách).</w:t>
      </w:r>
    </w:p>
    <w:p w14:paraId="309DBA1A" w14:textId="77777777" w:rsidR="00DD7F3C" w:rsidRPr="004D73C4" w:rsidRDefault="00D4332A" w:rsidP="00F06821">
      <w:pPr>
        <w:pStyle w:val="Odsekzoznamu"/>
        <w:numPr>
          <w:ilvl w:val="0"/>
          <w:numId w:val="24"/>
        </w:numPr>
        <w:spacing w:line="240" w:lineRule="auto"/>
        <w:ind w:left="1134" w:hanging="357"/>
        <w:rPr>
          <w:rFonts w:ascii="Calibri" w:hAnsi="Calibri" w:cs="Calibri"/>
          <w:color w:val="000000"/>
        </w:rPr>
      </w:pPr>
      <w:r w:rsidRPr="190F7DBA">
        <w:rPr>
          <w:rFonts w:ascii="Calibri" w:hAnsi="Calibri" w:cs="Calibri"/>
          <w:color w:val="000000" w:themeColor="text1"/>
        </w:rPr>
        <w:t>Každá webová aplikácia je pred nasadením do prevádzky v prostredí verejnej správy podrobená bezpečnostnému auditu pre overenie kritických zraniteľností s dôrazom na informačné systémy, ktoré sú súčasťou kritickej infraštruktúry (v kontexte integrácia systému včasnej reakcie v rámci ochrany kybernetického priestoru v prostredí verejnej správy).</w:t>
      </w:r>
    </w:p>
    <w:p w14:paraId="2DF931D1" w14:textId="77777777" w:rsidR="00DD7F3C" w:rsidRPr="004D73C4" w:rsidRDefault="00FC5596" w:rsidP="008D59A3">
      <w:pPr>
        <w:rPr>
          <w:b/>
        </w:rPr>
      </w:pPr>
      <w:r w:rsidRPr="004D73C4">
        <w:rPr>
          <w:b/>
          <w:bCs/>
        </w:rPr>
        <w:t xml:space="preserve">Opatrenie </w:t>
      </w:r>
      <w:r w:rsidR="00DD7F3C" w:rsidRPr="004D73C4">
        <w:rPr>
          <w:b/>
        </w:rPr>
        <w:t>3 – Vzdelávanie v oblasti KIB vo verejnej správe</w:t>
      </w:r>
    </w:p>
    <w:p w14:paraId="4BF8E582" w14:textId="77777777" w:rsidR="00DD7F3C" w:rsidRPr="004D73C4" w:rsidRDefault="00DD7F3C" w:rsidP="008D59A3">
      <w:r w:rsidRPr="004D73C4">
        <w:t>Z DESI 2020 vyplýva, že ľudský kapitál už nie je oblasťou, v ktorej SR dosahuje najlepšie výsledky. Chýba program vzdelávania a zvyšovania bezpečnostného povedomia pre pracovníkov verejnej správy v spolupráci s akademickým i súkromným sektorom v oblasti získavania odborných kompetencií KIB vrátane doplnkového vzdelávania špecialistov KIB. Veľkou výzvou je nízka úroveň digitálnej a bezpečnostnej gramotnosti (najmä u mladých ľudí). V prostredí verejnej správy chýba kontinuálne odborné vzdelávanie a zvyšovanie bezpečnostného povedomia v oblasti KIB (kapacity, zručnosti učiteľov, procesy a metódy pre celoživotné vzdelávanie a metodickej pomoci verejnej správe).</w:t>
      </w:r>
    </w:p>
    <w:p w14:paraId="26898A1D" w14:textId="77777777" w:rsidR="00DD7F3C" w:rsidRPr="004D73C4" w:rsidRDefault="00DD7F3C" w:rsidP="008D59A3">
      <w:r w:rsidRPr="004D73C4">
        <w:t>V spolupráci so štátnym, akademickým i súkromným sektorom v rámci spoločných projektov a koordinácie postupov v oblasti legislatívy a štandardov chceme zabezpečiť efektívnu odbornú spoluprácu s cieľom zvyšovať úroveň vzdelania v oblasti KIB vo verejnej správe. Chceme zvyšovať odborné kompetencie prevádzkovateľov ITVS, ako aj zvyšovať bezpečnostné povedomie používateľov ITVS.</w:t>
      </w:r>
    </w:p>
    <w:p w14:paraId="058444DE" w14:textId="77777777" w:rsidR="00DD7F3C" w:rsidRPr="004D73C4" w:rsidRDefault="003F4A82" w:rsidP="008D59A3">
      <w:r w:rsidRPr="004D73C4">
        <w:rPr>
          <w:i/>
          <w:iCs/>
        </w:rPr>
        <w:t>Iniciatívy:</w:t>
      </w:r>
    </w:p>
    <w:p w14:paraId="3E52B351" w14:textId="77777777" w:rsidR="00DD7F3C" w:rsidRPr="004D73C4" w:rsidRDefault="00433BD6" w:rsidP="008D59A3">
      <w:pPr>
        <w:pStyle w:val="Odsekzoznamu"/>
      </w:pPr>
      <w:r>
        <w:t>Do roku 2023</w:t>
      </w:r>
    </w:p>
    <w:p w14:paraId="05B60CE3" w14:textId="77777777" w:rsidR="00DD7F3C"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Vytvorenie programu vzdelávania a zvyšovania bezpečnostného povedomia pre pracovníkov verejnej správy v spolupráci s akademickým i súkromným sektorom v oblasti získavania odborných kompetencií v oblasti KIB vrátane doplnkového vzdelávania špecialistov KIB, resp. rozpracovania programov na oblasť boja proti dezinformáciám a kyberšikane (spolupráca s Ministerstvom školstva v oblasti vzdelávania už na základných školách a preškolenia učiteľov informatiky, ako aj s Ministerstvom obrany v oblasti boja proti dezinformáciám a hybridným hrozbám)</w:t>
      </w:r>
      <w:r w:rsidR="00DD7F3C" w:rsidRPr="190F7DBA">
        <w:rPr>
          <w:rFonts w:ascii="Calibri" w:hAnsi="Calibri" w:cs="Calibri"/>
          <w:color w:val="000000" w:themeColor="text1"/>
        </w:rPr>
        <w:t>.</w:t>
      </w:r>
    </w:p>
    <w:p w14:paraId="34190781" w14:textId="77777777" w:rsidR="00DD7F3C" w:rsidRPr="00236EBE" w:rsidRDefault="00DD7F3C"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 xml:space="preserve">Vyškolenie manažérov </w:t>
      </w:r>
      <w:r w:rsidR="00D4332A" w:rsidRPr="190F7DBA">
        <w:rPr>
          <w:rFonts w:ascii="Calibri" w:hAnsi="Calibri" w:cs="Calibri"/>
          <w:color w:val="000000" w:themeColor="text1"/>
        </w:rPr>
        <w:t xml:space="preserve">KIB </w:t>
      </w:r>
      <w:r w:rsidRPr="190F7DBA">
        <w:rPr>
          <w:rFonts w:ascii="Calibri" w:hAnsi="Calibri" w:cs="Calibri"/>
          <w:color w:val="000000" w:themeColor="text1"/>
        </w:rPr>
        <w:t>v sektore verejnej správy a vytvorenie odborných metodík pre vznik odborných bezpečnostných pracovísk v prostredí verejnej správy.</w:t>
      </w:r>
    </w:p>
    <w:p w14:paraId="3F41ABB1" w14:textId="77777777" w:rsidR="00DD7F3C" w:rsidRPr="00236EBE" w:rsidRDefault="00433BD6" w:rsidP="008D59A3">
      <w:pPr>
        <w:pStyle w:val="Odsekzoznamu"/>
      </w:pPr>
      <w:r>
        <w:t>Do roku 2026</w:t>
      </w:r>
    </w:p>
    <w:p w14:paraId="5564783F" w14:textId="77777777" w:rsidR="00DD7F3C"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Vytvorenie centier excelentnosti pre KIB na vysokých školách v SR z dôvodu spolupráce pri celoživotnom vzdelávaní v oblasti KIB a metodickej pomoci verejnej správe, pre zabezpečenie potrebných kapacít a zručností a vývoj nových riešení.</w:t>
      </w:r>
    </w:p>
    <w:p w14:paraId="0A65E5A7" w14:textId="77777777" w:rsidR="00DD7F3C" w:rsidRPr="00236EBE" w:rsidRDefault="00433BD6" w:rsidP="008D59A3">
      <w:pPr>
        <w:pStyle w:val="Odsekzoznamu"/>
      </w:pPr>
      <w:r>
        <w:t>Do roku 2030</w:t>
      </w:r>
    </w:p>
    <w:p w14:paraId="0227E634" w14:textId="77777777" w:rsidR="00D4332A"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Spolupráca s akademickým sektorom v oblasti monitorovania talentovaných študentov zúčastňujúcich sa odborných olympiády v oblasti KIB a ich praxovania v prostredí verejnej správy.</w:t>
      </w:r>
    </w:p>
    <w:p w14:paraId="4FB704A6" w14:textId="77777777" w:rsidR="00250001" w:rsidRPr="00236EBE" w:rsidRDefault="00D4332A" w:rsidP="00F06821">
      <w:pPr>
        <w:pStyle w:val="Odsekzoznamu"/>
        <w:numPr>
          <w:ilvl w:val="0"/>
          <w:numId w:val="24"/>
        </w:numPr>
        <w:spacing w:before="120" w:after="0" w:line="240" w:lineRule="auto"/>
        <w:ind w:left="1134"/>
        <w:rPr>
          <w:rFonts w:ascii="Calibri" w:hAnsi="Calibri" w:cs="Calibri"/>
          <w:color w:val="000000"/>
        </w:rPr>
      </w:pPr>
      <w:r w:rsidRPr="190F7DBA">
        <w:rPr>
          <w:rFonts w:ascii="Calibri" w:hAnsi="Calibri" w:cs="Calibri"/>
          <w:color w:val="000000" w:themeColor="text1"/>
        </w:rPr>
        <w:t>Zvyšovanie odbornej pripravenosti pracovníkov v oblasti IT a KIB účasťou na odborných kurzoch</w:t>
      </w:r>
      <w:r w:rsidR="00DD7F3C" w:rsidRPr="190F7DBA">
        <w:rPr>
          <w:rFonts w:ascii="Calibri" w:hAnsi="Calibri" w:cs="Calibri"/>
          <w:color w:val="000000" w:themeColor="text1"/>
        </w:rPr>
        <w:t>.</w:t>
      </w:r>
    </w:p>
    <w:p w14:paraId="3B3A3125" w14:textId="77777777" w:rsidR="00D96D85" w:rsidRPr="004D73C4" w:rsidRDefault="00D96D85" w:rsidP="3912845A">
      <w:pPr>
        <w:pStyle w:val="Nadpis3"/>
      </w:pPr>
      <w:bookmarkStart w:id="129" w:name="_Toc62481033"/>
      <w:bookmarkStart w:id="130" w:name="_Toc69297716"/>
      <w:bookmarkStart w:id="131" w:name="_Toc70369679"/>
      <w:bookmarkStart w:id="132" w:name="_Toc70711619"/>
      <w:r w:rsidRPr="3912845A">
        <w:rPr>
          <w:rFonts w:eastAsia="Calibri"/>
        </w:rPr>
        <w:lastRenderedPageBreak/>
        <w:t>Verejné obstarávanie a</w:t>
      </w:r>
      <w:r w:rsidR="00A853FE" w:rsidRPr="3912845A">
        <w:rPr>
          <w:rFonts w:eastAsia="Calibri"/>
        </w:rPr>
        <w:t> </w:t>
      </w:r>
      <w:r w:rsidRPr="3912845A">
        <w:rPr>
          <w:rFonts w:eastAsia="Calibri"/>
        </w:rPr>
        <w:t>nákup</w:t>
      </w:r>
      <w:bookmarkEnd w:id="129"/>
      <w:bookmarkEnd w:id="130"/>
      <w:bookmarkEnd w:id="131"/>
      <w:bookmarkEnd w:id="132"/>
    </w:p>
    <w:p w14:paraId="427C24F2" w14:textId="77777777" w:rsidR="00AE68EA" w:rsidRPr="00F033AF" w:rsidRDefault="00AE68EA" w:rsidP="00AE68EA">
      <w:r w:rsidRPr="00F033AF">
        <w:t xml:space="preserve">Verejné obstarávanie a nákup predstavuje jeden z kľúčových procesov, ktorého racionalizácia a simplifikácia bude napĺňať strategický pilier Koncepcie, ktorým je „efektívne riadenie digitálneho štátu“. </w:t>
      </w:r>
    </w:p>
    <w:p w14:paraId="2FA21CD9" w14:textId="77777777" w:rsidR="00015EE7" w:rsidRPr="004D73C4" w:rsidRDefault="00AE68EA" w:rsidP="00AE68EA">
      <w:r w:rsidRPr="00F033AF">
        <w:t xml:space="preserve">Pri akcentovaní na koncept GaaP je dôležité povedať, </w:t>
      </w:r>
      <w:r w:rsidRPr="00BC198C">
        <w:t>že verejné obstarávanie a najmä výber vhodných postupov a komoditizácia je zodpovednosťou MIRRI SR ako centrálnej obstarávacej organizácie a ústredného orgánu štátnej správy s pôsobnosťou v centrálnom riadení informatizácie. Procesná a kontrolná zodpovednosť za verejné obstarávanie je v priamej pôsobnosti Úradu pre verejné obstarávanie.</w:t>
      </w:r>
      <w:r w:rsidR="00015EE7">
        <w:t xml:space="preserve"> </w:t>
      </w:r>
    </w:p>
    <w:p w14:paraId="79398EDD" w14:textId="77777777" w:rsidR="00E7359B" w:rsidRPr="004D73C4" w:rsidRDefault="00E7359B" w:rsidP="00E7359B">
      <w:pPr>
        <w:rPr>
          <w:b/>
        </w:rPr>
      </w:pPr>
      <w:r w:rsidRPr="004D73C4">
        <w:rPr>
          <w:b/>
        </w:rPr>
        <w:t xml:space="preserve">Sumarizácia hlavných </w:t>
      </w:r>
      <w:r w:rsidR="00FC5596" w:rsidRPr="004D73C4">
        <w:rPr>
          <w:b/>
        </w:rPr>
        <w:t>o</w:t>
      </w:r>
      <w:r w:rsidR="00FC5596" w:rsidRPr="004D73C4">
        <w:rPr>
          <w:b/>
          <w:bCs/>
        </w:rPr>
        <w:t>patrení</w:t>
      </w:r>
      <w:r w:rsidRPr="004D73C4">
        <w:rPr>
          <w:b/>
        </w:rPr>
        <w:t>:</w:t>
      </w:r>
    </w:p>
    <w:p w14:paraId="302AB2EA" w14:textId="77777777" w:rsidR="00AE68EA" w:rsidRPr="00BC198C" w:rsidRDefault="00AE68EA" w:rsidP="00F06821">
      <w:pPr>
        <w:pStyle w:val="Odsekzoznamu"/>
        <w:numPr>
          <w:ilvl w:val="0"/>
          <w:numId w:val="37"/>
        </w:numPr>
        <w:rPr>
          <w:rStyle w:val="normaltextrun"/>
        </w:rPr>
      </w:pPr>
      <w:r>
        <w:rPr>
          <w:rStyle w:val="normaltextrun"/>
        </w:rPr>
        <w:t>Centrálne verejné obstarávanie a riadenie vybraných IKT komodít,</w:t>
      </w:r>
    </w:p>
    <w:p w14:paraId="711E93F2" w14:textId="77777777" w:rsidR="00AE68EA" w:rsidRDefault="00AE68EA" w:rsidP="00F06821">
      <w:pPr>
        <w:pStyle w:val="Odsekzoznamu"/>
        <w:numPr>
          <w:ilvl w:val="0"/>
          <w:numId w:val="37"/>
        </w:numPr>
        <w:rPr>
          <w:rStyle w:val="normaltextrun"/>
        </w:rPr>
      </w:pPr>
      <w:r>
        <w:rPr>
          <w:rStyle w:val="normaltextrun"/>
        </w:rPr>
        <w:t>Odstránenie vendor lock-in /publikovanie zdrojových kódov</w:t>
      </w:r>
      <w:r w:rsidR="002D7AD4">
        <w:rPr>
          <w:rStyle w:val="normaltextrun"/>
        </w:rPr>
        <w:t xml:space="preserve"> </w:t>
      </w:r>
      <w:r>
        <w:rPr>
          <w:rStyle w:val="normaltextrun"/>
        </w:rPr>
        <w:t>a dokumentácie,</w:t>
      </w:r>
    </w:p>
    <w:p w14:paraId="3D1E9C0E" w14:textId="77777777" w:rsidR="00AE68EA" w:rsidRPr="00BC198C" w:rsidRDefault="00AE68EA" w:rsidP="00F06821">
      <w:pPr>
        <w:pStyle w:val="Odsekzoznamu"/>
        <w:numPr>
          <w:ilvl w:val="0"/>
          <w:numId w:val="37"/>
        </w:numPr>
        <w:rPr>
          <w:rStyle w:val="normaltextrun"/>
        </w:rPr>
      </w:pPr>
      <w:r>
        <w:rPr>
          <w:rStyle w:val="normaltextrun"/>
        </w:rPr>
        <w:t>Vzdelávania vo verejnom obstarávaní IT,</w:t>
      </w:r>
    </w:p>
    <w:p w14:paraId="5A55A9B7" w14:textId="77777777" w:rsidR="00AE68EA" w:rsidRPr="00B861CF" w:rsidRDefault="00AE68EA" w:rsidP="00F06821">
      <w:pPr>
        <w:pStyle w:val="Odsekzoznamu"/>
        <w:numPr>
          <w:ilvl w:val="0"/>
          <w:numId w:val="37"/>
        </w:numPr>
        <w:rPr>
          <w:bCs/>
        </w:rPr>
      </w:pPr>
      <w:r w:rsidRPr="00B861CF">
        <w:rPr>
          <w:bCs/>
        </w:rPr>
        <w:t>Využívanie znalostnej databázy a</w:t>
      </w:r>
      <w:r w:rsidR="006D77C9">
        <w:rPr>
          <w:bCs/>
        </w:rPr>
        <w:t> kvalita.</w:t>
      </w:r>
    </w:p>
    <w:p w14:paraId="235CA926" w14:textId="77777777" w:rsidR="00015EE7" w:rsidRPr="004D73C4" w:rsidRDefault="00FC5596" w:rsidP="00895E2F">
      <w:pPr>
        <w:rPr>
          <w:rFonts w:ascii="Calibri" w:hAnsi="Calibri" w:cs="Calibri"/>
          <w:b/>
          <w:bCs/>
        </w:rPr>
      </w:pPr>
      <w:r w:rsidRPr="004D73C4">
        <w:rPr>
          <w:b/>
          <w:bCs/>
        </w:rPr>
        <w:t xml:space="preserve">Opatrenie </w:t>
      </w:r>
      <w:r w:rsidR="00E7359B" w:rsidRPr="004D73C4">
        <w:rPr>
          <w:b/>
          <w:bCs/>
        </w:rPr>
        <w:t xml:space="preserve">1 – </w:t>
      </w:r>
      <w:r w:rsidR="00895E2F" w:rsidRPr="004D73C4">
        <w:rPr>
          <w:b/>
          <w:bCs/>
        </w:rPr>
        <w:t>Centrálne riadenie</w:t>
      </w:r>
      <w:r w:rsidR="00895E2F" w:rsidRPr="004D73C4">
        <w:rPr>
          <w:rStyle w:val="normaltextrun"/>
          <w:b/>
          <w:bCs/>
          <w:szCs w:val="36"/>
        </w:rPr>
        <w:t xml:space="preserve"> </w:t>
      </w:r>
      <w:r w:rsidR="00895E2F" w:rsidRPr="004D73C4">
        <w:rPr>
          <w:b/>
          <w:bCs/>
        </w:rPr>
        <w:t>vybraných IKT</w:t>
      </w:r>
      <w:r w:rsidR="00895E2F" w:rsidRPr="004D73C4">
        <w:rPr>
          <w:rStyle w:val="normaltextrun"/>
          <w:b/>
          <w:bCs/>
          <w:szCs w:val="36"/>
        </w:rPr>
        <w:t xml:space="preserve"> </w:t>
      </w:r>
      <w:r w:rsidR="00895E2F" w:rsidRPr="004D73C4">
        <w:rPr>
          <w:b/>
          <w:bCs/>
        </w:rPr>
        <w:t>komodít</w:t>
      </w:r>
    </w:p>
    <w:p w14:paraId="34D1DE36" w14:textId="77777777" w:rsidR="00AE68EA" w:rsidRDefault="00AE68EA" w:rsidP="00AE68EA">
      <w:r>
        <w:t xml:space="preserve">V súčasnosti nie je centralizácia verejného obstarávania IT komodít príliš viditeľná, aj keď existuje určitá úroveň centralizácie, táto je značne fragmentovaná. Historicky existujú viaceré iniciatívy centralizovať nákup centrálnych IT komodít, ale tieto boli častokrát vykonávané paralelne a na úrovni rezortov. Máme zato, že štát nevyužíva svoju nákupnú silu a obstarávanie a nákup je nekoordinovaný. Takýmto konaním vzniká nejednotnosť a zvyšuje sa zmluvná heterogenita. Takéto konanie má priamy dopad na dĺžku procesu a tiež rôznorodosť obstarávaných IT, čo v konečnom dôsledku spôsobuje problémy v integrácii naprieč štátnou a verejnou správou. </w:t>
      </w:r>
    </w:p>
    <w:p w14:paraId="72469B6D" w14:textId="77777777" w:rsidR="00015EE7" w:rsidRPr="004D73C4" w:rsidRDefault="00AE68EA" w:rsidP="00AE68EA">
      <w:r>
        <w:t>Súčasný stav riadenia IT aktív je na úrovni rezortného riadenia. Častokrát ani rezorty nevedia, aké IT aktíva majú v správe alebo vo vlastníctve. V dôsledku neznalosti vlastných majetkových pomerov v podobe IT aktív, môže dochádzať k duplicitnému obstaraniu a nákupu niektorých IKT komodít</w:t>
      </w:r>
      <w:r w:rsidR="00015EE7" w:rsidRPr="004D73C4">
        <w:t xml:space="preserve">. </w:t>
      </w:r>
    </w:p>
    <w:p w14:paraId="19C58E53" w14:textId="77777777" w:rsidR="00AE68EA" w:rsidRPr="00AE68EA" w:rsidRDefault="00AE68EA" w:rsidP="00AE68EA">
      <w:pPr>
        <w:rPr>
          <w:rFonts w:eastAsia="Times New Roman" w:cs="Times New Roman"/>
          <w:b/>
          <w:szCs w:val="36"/>
        </w:rPr>
      </w:pPr>
      <w:r w:rsidRPr="00AE68EA">
        <w:rPr>
          <w:rFonts w:eastAsia="Times New Roman" w:cs="Times New Roman"/>
          <w:b/>
          <w:szCs w:val="36"/>
        </w:rPr>
        <w:t>Predstava</w:t>
      </w:r>
    </w:p>
    <w:p w14:paraId="4AF1C504" w14:textId="77777777" w:rsidR="00AE68EA" w:rsidRPr="00AE68EA" w:rsidRDefault="00AE68EA" w:rsidP="00AE68EA">
      <w:pPr>
        <w:pStyle w:val="Odsekzoznamu"/>
      </w:pPr>
      <w:r>
        <w:t>Identifikovanie produktov a služieb, vrátane využívania pay-as-you-go modelov, ktoré je vhodné centrálne obstarať/riadiť, čím môže dôjsť k úsporám nákladov na komodity až o 40%,</w:t>
      </w:r>
    </w:p>
    <w:p w14:paraId="38201381" w14:textId="77777777" w:rsidR="00AE68EA" w:rsidRPr="00AE68EA" w:rsidRDefault="00AE68EA" w:rsidP="00AE68EA">
      <w:pPr>
        <w:pStyle w:val="Odsekzoznamu"/>
      </w:pPr>
      <w:r>
        <w:t>Cieľom centralizácie verejného obstarávania IKT, je implementovať centrálny komponent (centrálne zmluvy a iné) podľa parametra efektivity, tzn. budúcej možnej úspory, ktorá je dosiahnuteľná centralizáciou činností vo verejnom obstarávaní.</w:t>
      </w:r>
    </w:p>
    <w:p w14:paraId="419908AA" w14:textId="77777777" w:rsidR="00AE68EA" w:rsidRPr="00AE68EA" w:rsidRDefault="00AE68EA" w:rsidP="00AE68EA">
      <w:pPr>
        <w:pStyle w:val="Odsekzoznamu"/>
      </w:pPr>
      <w:r>
        <w:t>Implementácia komplexného prevádzkového modelu riadenia IT aktív v podmienkach štátnej a verejnej správy,</w:t>
      </w:r>
    </w:p>
    <w:p w14:paraId="26EE4291" w14:textId="77777777" w:rsidR="00AE68EA" w:rsidRPr="00AE68EA" w:rsidRDefault="00AE68EA" w:rsidP="00AE68EA">
      <w:pPr>
        <w:pStyle w:val="Odsekzoznamu"/>
      </w:pPr>
      <w:r>
        <w:t>Zavedenie procesov riadenie IT aktív vo verejnej správe a na základe best practise prístupu ITIL a ITAM metodológií.</w:t>
      </w:r>
    </w:p>
    <w:p w14:paraId="1D7C823B" w14:textId="77777777" w:rsidR="00AE68EA" w:rsidRPr="00AE68EA" w:rsidRDefault="00AE68EA" w:rsidP="00AE68EA">
      <w:pPr>
        <w:rPr>
          <w:rFonts w:eastAsia="Times New Roman" w:cs="Times New Roman"/>
          <w:b/>
          <w:szCs w:val="36"/>
        </w:rPr>
      </w:pPr>
      <w:r w:rsidRPr="00AE68EA">
        <w:rPr>
          <w:rFonts w:eastAsia="Times New Roman" w:cs="Times New Roman"/>
          <w:b/>
          <w:szCs w:val="36"/>
        </w:rPr>
        <w:t>Návrh krokov k dosiahnutiu riešenia</w:t>
      </w:r>
    </w:p>
    <w:p w14:paraId="4C9CC4D5" w14:textId="77777777" w:rsidR="00AE68EA" w:rsidRPr="00AE68EA" w:rsidRDefault="00AE68EA" w:rsidP="00AE68EA">
      <w:pPr>
        <w:pStyle w:val="Odsekzoznamu"/>
      </w:pPr>
      <w:r>
        <w:t xml:space="preserve">Je nevyhnutné dôkladne zmapovať potreby jednotlivých OVM vo vzťahu k licenciám a licenčným službám (aktivita sa musí evaluovať v časových cykloch podľa trvania centrálnej rámcovej dohody), </w:t>
      </w:r>
    </w:p>
    <w:p w14:paraId="35381072" w14:textId="77777777" w:rsidR="00AE68EA" w:rsidRPr="00AE68EA" w:rsidRDefault="00AE68EA" w:rsidP="00AE68EA">
      <w:pPr>
        <w:pStyle w:val="Odsekzoznamu"/>
      </w:pPr>
      <w:r>
        <w:t>Je nevyhnutné zmapovať efektivitu využívania obstaraných produktov, predovšetkým licencií,</w:t>
      </w:r>
    </w:p>
    <w:p w14:paraId="42DBC2ED" w14:textId="77777777" w:rsidR="00AE68EA" w:rsidRPr="00AE68EA" w:rsidRDefault="00AE68EA" w:rsidP="00AE68EA">
      <w:pPr>
        <w:pStyle w:val="Odsekzoznamu"/>
      </w:pPr>
      <w:r>
        <w:t xml:space="preserve">Realizovať projekt ITAM, v rámci ktorého sa začne s implementáciou prevádzkového modelu riadenia IT aktív v štátnej a verejnej správe. </w:t>
      </w:r>
    </w:p>
    <w:p w14:paraId="03D1CBF4" w14:textId="77777777" w:rsidR="00015EE7" w:rsidRPr="004D73C4" w:rsidRDefault="003F4A82" w:rsidP="00015EE7">
      <w:pPr>
        <w:rPr>
          <w:rFonts w:ascii="Calibri" w:hAnsi="Calibri" w:cs="Calibri"/>
        </w:rPr>
      </w:pPr>
      <w:r w:rsidRPr="004D73C4">
        <w:rPr>
          <w:i/>
          <w:iCs/>
        </w:rPr>
        <w:t>Iniciatívy:</w:t>
      </w:r>
    </w:p>
    <w:p w14:paraId="2289F88E" w14:textId="77777777" w:rsidR="00202215" w:rsidRPr="00FA5EF2" w:rsidRDefault="00433BD6" w:rsidP="00015EE7">
      <w:pPr>
        <w:pStyle w:val="Odsekzoznamu"/>
        <w:rPr>
          <w:rFonts w:ascii="Calibri" w:hAnsi="Calibri" w:cs="Calibri"/>
        </w:rPr>
      </w:pPr>
      <w:r>
        <w:rPr>
          <w:rFonts w:ascii="Calibri" w:hAnsi="Calibri" w:cs="Calibri"/>
        </w:rPr>
        <w:t>Do roku 2023</w:t>
      </w:r>
      <w:r w:rsidR="1977D66A" w:rsidRPr="190F7DBA">
        <w:rPr>
          <w:rFonts w:ascii="Calibri" w:hAnsi="Calibri" w:cs="Calibri"/>
        </w:rPr>
        <w:t xml:space="preserve"> </w:t>
      </w:r>
    </w:p>
    <w:p w14:paraId="221119CF" w14:textId="77777777" w:rsidR="00AE68EA" w:rsidRPr="00FA5EF2" w:rsidRDefault="00AE68EA" w:rsidP="00F06821">
      <w:pPr>
        <w:pStyle w:val="Odsekzoznamu"/>
        <w:numPr>
          <w:ilvl w:val="0"/>
          <w:numId w:val="24"/>
        </w:numPr>
        <w:spacing w:before="120" w:after="0" w:line="240" w:lineRule="auto"/>
        <w:ind w:left="1134"/>
        <w:rPr>
          <w:rFonts w:ascii="Calibri" w:hAnsi="Calibri" w:cs="Calibri"/>
        </w:rPr>
      </w:pPr>
      <w:r>
        <w:t>Centralizovať</w:t>
      </w:r>
      <w:r w:rsidRPr="190F7DBA">
        <w:rPr>
          <w:rFonts w:ascii="Calibri" w:hAnsi="Calibri" w:cs="Calibri"/>
        </w:rPr>
        <w:t xml:space="preserve"> 2 IKT komodity (uzatvoriť 2 centrálne IKT zmluvy) / Zaviesť centrálny komponent ITAM a pripojiť 3 ústredné orgány štátnej správy do ITAM nástroja. </w:t>
      </w:r>
    </w:p>
    <w:p w14:paraId="0517D2D9" w14:textId="77777777" w:rsidR="00E617A9" w:rsidRPr="00FA5EF2" w:rsidRDefault="00AE68EA" w:rsidP="00F06821">
      <w:pPr>
        <w:pStyle w:val="Odsekzoznamu"/>
        <w:numPr>
          <w:ilvl w:val="0"/>
          <w:numId w:val="24"/>
        </w:numPr>
        <w:spacing w:before="120" w:after="0" w:line="240" w:lineRule="auto"/>
        <w:ind w:left="1134"/>
        <w:rPr>
          <w:rFonts w:ascii="Calibri" w:hAnsi="Calibri" w:cs="Calibri"/>
        </w:rPr>
      </w:pPr>
      <w:r w:rsidRPr="190F7DBA">
        <w:rPr>
          <w:rFonts w:ascii="Calibri" w:hAnsi="Calibri" w:cs="Calibri"/>
        </w:rPr>
        <w:lastRenderedPageBreak/>
        <w:t>Navrhnúť metódy pre využívanie Pay-as-you-go/pay per use</w:t>
      </w:r>
      <w:r w:rsidR="002D7AD4">
        <w:rPr>
          <w:rFonts w:ascii="Calibri" w:hAnsi="Calibri" w:cs="Calibri"/>
        </w:rPr>
        <w:t xml:space="preserve"> </w:t>
      </w:r>
      <w:r w:rsidRPr="190F7DBA">
        <w:rPr>
          <w:rFonts w:ascii="Calibri" w:hAnsi="Calibri" w:cs="Calibri"/>
        </w:rPr>
        <w:t>ponúk zo strany poskytovateľov</w:t>
      </w:r>
      <w:r w:rsidR="002D7AD4">
        <w:rPr>
          <w:rFonts w:ascii="Calibri" w:hAnsi="Calibri" w:cs="Calibri"/>
        </w:rPr>
        <w:t xml:space="preserve"> </w:t>
      </w:r>
      <w:r w:rsidRPr="190F7DBA">
        <w:rPr>
          <w:rFonts w:ascii="Calibri" w:hAnsi="Calibri" w:cs="Calibri"/>
        </w:rPr>
        <w:t>IT komodít a pilotne obstarať a uzatvoriť aspoň 3 takéto zmluvy, z toho aspoň jednu na distribuovane využívané komodity (napríklad licencie softvérov pre osobné počítače)</w:t>
      </w:r>
      <w:r w:rsidR="00E617A9" w:rsidRPr="190F7DBA">
        <w:rPr>
          <w:rFonts w:ascii="Calibri" w:hAnsi="Calibri" w:cs="Calibri"/>
        </w:rPr>
        <w:t>.</w:t>
      </w:r>
    </w:p>
    <w:p w14:paraId="7E008E98" w14:textId="77777777" w:rsidR="00202215" w:rsidRPr="00236EBE" w:rsidRDefault="00433BD6" w:rsidP="00015EE7">
      <w:pPr>
        <w:pStyle w:val="Odsekzoznamu"/>
        <w:rPr>
          <w:rFonts w:ascii="Calibri" w:hAnsi="Calibri" w:cs="Calibri"/>
        </w:rPr>
      </w:pPr>
      <w:r>
        <w:rPr>
          <w:rFonts w:ascii="Calibri" w:hAnsi="Calibri" w:cs="Calibri"/>
        </w:rPr>
        <w:t>Do roku 2026</w:t>
      </w:r>
      <w:r w:rsidR="1977D66A" w:rsidRPr="190F7DBA">
        <w:rPr>
          <w:rFonts w:ascii="Calibri" w:hAnsi="Calibri" w:cs="Calibri"/>
        </w:rPr>
        <w:t xml:space="preserve"> </w:t>
      </w:r>
    </w:p>
    <w:p w14:paraId="766B4D29" w14:textId="77777777" w:rsidR="00015EE7" w:rsidRPr="00236EBE" w:rsidRDefault="00AE68EA" w:rsidP="00F06821">
      <w:pPr>
        <w:pStyle w:val="Odsekzoznamu"/>
        <w:numPr>
          <w:ilvl w:val="0"/>
          <w:numId w:val="24"/>
        </w:numPr>
        <w:spacing w:before="120" w:after="0" w:line="240" w:lineRule="auto"/>
        <w:ind w:left="1134"/>
        <w:rPr>
          <w:rFonts w:ascii="Calibri" w:hAnsi="Calibri" w:cs="Calibri"/>
        </w:rPr>
      </w:pPr>
      <w:r w:rsidRPr="190F7DBA">
        <w:rPr>
          <w:rFonts w:ascii="Calibri" w:hAnsi="Calibri" w:cs="Calibri"/>
        </w:rPr>
        <w:t>Centralizovať 4 IKT komodity (uzatvoriť 2 centrálne IKT zmluvy) / Pripojiť 6 ústredných orgánov štátnej správy do ITAM nástroja</w:t>
      </w:r>
      <w:r w:rsidR="00202215" w:rsidRPr="190F7DBA">
        <w:rPr>
          <w:rFonts w:ascii="Calibri" w:hAnsi="Calibri" w:cs="Calibri"/>
        </w:rPr>
        <w:t>.</w:t>
      </w:r>
      <w:r w:rsidR="00015EE7" w:rsidRPr="190F7DBA">
        <w:rPr>
          <w:rFonts w:ascii="Calibri" w:hAnsi="Calibri" w:cs="Calibri"/>
        </w:rPr>
        <w:t xml:space="preserve"> </w:t>
      </w:r>
    </w:p>
    <w:p w14:paraId="0D7C0620" w14:textId="77777777" w:rsidR="00202215" w:rsidRPr="00236EBE" w:rsidRDefault="00433BD6" w:rsidP="00015EE7">
      <w:pPr>
        <w:pStyle w:val="Odsekzoznamu"/>
        <w:rPr>
          <w:rFonts w:ascii="Calibri" w:hAnsi="Calibri" w:cs="Calibri"/>
        </w:rPr>
      </w:pPr>
      <w:r>
        <w:rPr>
          <w:rFonts w:ascii="Calibri" w:hAnsi="Calibri" w:cs="Calibri"/>
        </w:rPr>
        <w:t>Do roku 2030</w:t>
      </w:r>
      <w:r w:rsidR="1977D66A" w:rsidRPr="190F7DBA">
        <w:rPr>
          <w:rFonts w:ascii="Calibri" w:hAnsi="Calibri" w:cs="Calibri"/>
        </w:rPr>
        <w:t xml:space="preserve"> </w:t>
      </w:r>
    </w:p>
    <w:p w14:paraId="6A03A036" w14:textId="77777777" w:rsidR="00015EE7" w:rsidRPr="00236EBE" w:rsidRDefault="00AE68EA" w:rsidP="00F06821">
      <w:pPr>
        <w:pStyle w:val="Odsekzoznamu"/>
        <w:numPr>
          <w:ilvl w:val="0"/>
          <w:numId w:val="24"/>
        </w:numPr>
        <w:spacing w:line="240" w:lineRule="auto"/>
        <w:ind w:left="1134" w:hanging="357"/>
        <w:rPr>
          <w:rFonts w:ascii="Calibri" w:hAnsi="Calibri" w:cs="Calibri"/>
        </w:rPr>
      </w:pPr>
      <w:r w:rsidRPr="190F7DBA">
        <w:rPr>
          <w:rFonts w:ascii="Calibri" w:hAnsi="Calibri" w:cs="Calibri"/>
        </w:rPr>
        <w:t>Zapojiť 80 % orgánov štátnej správy do existujúcich centrálnych IKT zmlúv / pripojiť 100 % všetkých ústredných orgánov štátnej správy do ITAM nástroja</w:t>
      </w:r>
      <w:r w:rsidR="00202215" w:rsidRPr="190F7DBA">
        <w:rPr>
          <w:rFonts w:ascii="Calibri" w:hAnsi="Calibri" w:cs="Calibri"/>
        </w:rPr>
        <w:t>.</w:t>
      </w:r>
    </w:p>
    <w:p w14:paraId="2826265D" w14:textId="77777777" w:rsidR="00202215" w:rsidRPr="004D73C4" w:rsidRDefault="00FC5596" w:rsidP="00895E2F">
      <w:pPr>
        <w:rPr>
          <w:b/>
          <w:bCs/>
        </w:rPr>
      </w:pPr>
      <w:r w:rsidRPr="004D73C4">
        <w:rPr>
          <w:b/>
          <w:bCs/>
        </w:rPr>
        <w:t xml:space="preserve">Opatrenie </w:t>
      </w:r>
      <w:r w:rsidR="00E7359B" w:rsidRPr="004D73C4">
        <w:rPr>
          <w:b/>
          <w:bCs/>
        </w:rPr>
        <w:t>2 –</w:t>
      </w:r>
      <w:r w:rsidR="00E7359B" w:rsidRPr="004D73C4">
        <w:rPr>
          <w:rStyle w:val="normaltextrun"/>
          <w:b/>
          <w:bCs/>
          <w:szCs w:val="36"/>
        </w:rPr>
        <w:t xml:space="preserve"> </w:t>
      </w:r>
      <w:r w:rsidR="00895E2F" w:rsidRPr="004D73C4">
        <w:rPr>
          <w:b/>
          <w:bCs/>
        </w:rPr>
        <w:t>Odstraňovanie</w:t>
      </w:r>
      <w:r w:rsidR="00895E2F" w:rsidRPr="004D73C4">
        <w:rPr>
          <w:rStyle w:val="normaltextrun"/>
          <w:b/>
          <w:bCs/>
          <w:szCs w:val="36"/>
        </w:rPr>
        <w:t xml:space="preserve"> </w:t>
      </w:r>
      <w:r w:rsidR="00895E2F" w:rsidRPr="004D73C4">
        <w:rPr>
          <w:b/>
          <w:bCs/>
        </w:rPr>
        <w:t>vendor</w:t>
      </w:r>
      <w:r w:rsidR="00895E2F" w:rsidRPr="004D73C4">
        <w:rPr>
          <w:rStyle w:val="normaltextrun"/>
          <w:b/>
          <w:bCs/>
          <w:szCs w:val="36"/>
        </w:rPr>
        <w:t xml:space="preserve"> </w:t>
      </w:r>
      <w:r w:rsidR="00895E2F" w:rsidRPr="004D73C4">
        <w:rPr>
          <w:b/>
          <w:bCs/>
        </w:rPr>
        <w:t>lock-in</w:t>
      </w:r>
    </w:p>
    <w:p w14:paraId="5A9A8318" w14:textId="77777777" w:rsidR="00AE68EA" w:rsidRDefault="00AE68EA" w:rsidP="00AE68EA">
      <w:r>
        <w:t xml:space="preserve">V súčasnosti štát nemá maximálnu kontrolu nad ISVS, pričom pri zohľadnení vynaložených finančných prostriedkov do oblasti IT by takáto kontrola mala byť samozrejmosťou. </w:t>
      </w:r>
    </w:p>
    <w:p w14:paraId="74A40A3B" w14:textId="77777777" w:rsidR="00AE68EA" w:rsidRPr="00AE68EA" w:rsidRDefault="00AE68EA" w:rsidP="00AE68EA">
      <w:pPr>
        <w:rPr>
          <w:rFonts w:eastAsia="Times New Roman" w:cs="Times New Roman"/>
          <w:b/>
          <w:szCs w:val="36"/>
        </w:rPr>
      </w:pPr>
      <w:r w:rsidRPr="00AE68EA">
        <w:rPr>
          <w:rFonts w:eastAsia="Times New Roman" w:cs="Times New Roman"/>
          <w:b/>
          <w:szCs w:val="36"/>
        </w:rPr>
        <w:t xml:space="preserve">Predstava </w:t>
      </w:r>
    </w:p>
    <w:p w14:paraId="54296375" w14:textId="77777777" w:rsidR="00AE68EA" w:rsidRDefault="00AE68EA" w:rsidP="00AE68EA">
      <w:r>
        <w:t xml:space="preserve">Kontrolou nad ISVS rozumieme nasledovný stav: </w:t>
      </w:r>
    </w:p>
    <w:p w14:paraId="52D95A3E" w14:textId="77777777" w:rsidR="00AE68EA" w:rsidRDefault="00AE68EA" w:rsidP="00AE68EA">
      <w:pPr>
        <w:pStyle w:val="Odsekzoznamu"/>
      </w:pPr>
      <w:r>
        <w:t xml:space="preserve">Štát má vlastnícke práva k projektovej, riadiacej, užívateľskej a inej dokumentácii, ktorá bola vytvorená v rámci dodávky informačných systémov verejnej správy. </w:t>
      </w:r>
    </w:p>
    <w:p w14:paraId="7767D516" w14:textId="77777777" w:rsidR="00AE68EA" w:rsidRDefault="00AE68EA" w:rsidP="00AE68EA">
      <w:pPr>
        <w:pStyle w:val="Odsekzoznamu"/>
      </w:pPr>
      <w:r>
        <w:t xml:space="preserve">Štát vlastní všetky zdrojové kódy a môže s nimi zaobchádzať podľa vlastného uváženia, tzn. je mu udelená licencia na používanie v súlade s legislatívou SR. </w:t>
      </w:r>
    </w:p>
    <w:p w14:paraId="6566A1A7" w14:textId="77777777" w:rsidR="00AE68EA" w:rsidRDefault="00AE68EA" w:rsidP="00AE68EA">
      <w:pPr>
        <w:pStyle w:val="Odsekzoznamu"/>
      </w:pPr>
      <w:r>
        <w:t>Štát má po skončení garančného obdobia možnosť predĺžiť zmluvu o podpore riešenia, prevziať podporu riešenia sám, alebo vysúťažiť nového poskytovateľa služieb.</w:t>
      </w:r>
    </w:p>
    <w:p w14:paraId="2D547CD4" w14:textId="77777777" w:rsidR="00AE68EA" w:rsidRPr="00AE68EA" w:rsidRDefault="00AE68EA" w:rsidP="00AE68EA">
      <w:pPr>
        <w:rPr>
          <w:b/>
          <w:bCs/>
        </w:rPr>
      </w:pPr>
      <w:r w:rsidRPr="00AE68EA">
        <w:rPr>
          <w:b/>
          <w:bCs/>
        </w:rPr>
        <w:t>Návrh krokov k dosiahnutiu riešenia</w:t>
      </w:r>
    </w:p>
    <w:p w14:paraId="1D459FD8" w14:textId="77777777" w:rsidR="00AE68EA" w:rsidRDefault="00AE68EA" w:rsidP="00DF01F8">
      <w:pPr>
        <w:pStyle w:val="Odsekzoznamu"/>
      </w:pPr>
      <w:r>
        <w:t xml:space="preserve">Pre nové ISVS nastaviť postupy pre dosiahnutie kontroly nad vznikajúcim systémom, </w:t>
      </w:r>
    </w:p>
    <w:p w14:paraId="1311D83F" w14:textId="77777777" w:rsidR="00AE68EA" w:rsidRDefault="00AE68EA" w:rsidP="00DF01F8">
      <w:pPr>
        <w:pStyle w:val="Odsekzoznamu"/>
      </w:pPr>
      <w:r>
        <w:t>Pre existujúce ISVS poskytnúť konzultácie a inú poradnú činnosť za účelom odstránenia vendor lock</w:t>
      </w:r>
      <w:r w:rsidR="00DF01F8">
        <w:t>-</w:t>
      </w:r>
      <w:r>
        <w:t xml:space="preserve">in, </w:t>
      </w:r>
    </w:p>
    <w:p w14:paraId="2EA193E6" w14:textId="77777777" w:rsidR="00E617A9" w:rsidRPr="00FA5EF2" w:rsidRDefault="00AE68EA" w:rsidP="00DF01F8">
      <w:pPr>
        <w:pStyle w:val="Odsekzoznamu"/>
      </w:pPr>
      <w:r>
        <w:t>Publikovať zdrojové kódy a dokumentáciu</w:t>
      </w:r>
      <w:r w:rsidR="00E617A9">
        <w:t>.</w:t>
      </w:r>
    </w:p>
    <w:p w14:paraId="07B39C13" w14:textId="77777777" w:rsidR="00015EE7" w:rsidRPr="004D73C4" w:rsidRDefault="003F4A82" w:rsidP="00015EE7">
      <w:pPr>
        <w:rPr>
          <w:rFonts w:ascii="Calibri" w:hAnsi="Calibri" w:cs="Calibri"/>
        </w:rPr>
      </w:pPr>
      <w:r w:rsidRPr="004D73C4">
        <w:rPr>
          <w:i/>
          <w:iCs/>
        </w:rPr>
        <w:t>Iniciatívy:</w:t>
      </w:r>
    </w:p>
    <w:p w14:paraId="10773D40" w14:textId="77777777" w:rsidR="00C15450" w:rsidRPr="009D2705" w:rsidRDefault="00433BD6" w:rsidP="00015EE7">
      <w:pPr>
        <w:pStyle w:val="Odsekzoznamu"/>
        <w:rPr>
          <w:rFonts w:ascii="Calibri" w:hAnsi="Calibri" w:cs="Calibri"/>
        </w:rPr>
      </w:pPr>
      <w:r>
        <w:rPr>
          <w:rFonts w:ascii="Calibri" w:hAnsi="Calibri" w:cs="Calibri"/>
        </w:rPr>
        <w:t>Do roku 2023</w:t>
      </w:r>
      <w:r w:rsidR="1977D66A" w:rsidRPr="009D2705">
        <w:rPr>
          <w:rFonts w:ascii="Calibri" w:hAnsi="Calibri" w:cs="Calibri"/>
        </w:rPr>
        <w:t xml:space="preserve"> </w:t>
      </w:r>
    </w:p>
    <w:p w14:paraId="49758A81" w14:textId="77777777" w:rsidR="00015EE7" w:rsidRPr="009D2705" w:rsidRDefault="00DF01F8" w:rsidP="00F06821">
      <w:pPr>
        <w:pStyle w:val="Odsekzoznamu"/>
        <w:numPr>
          <w:ilvl w:val="0"/>
          <w:numId w:val="24"/>
        </w:numPr>
        <w:spacing w:before="120" w:after="0" w:line="240" w:lineRule="auto"/>
        <w:ind w:left="1134"/>
        <w:rPr>
          <w:rFonts w:ascii="Calibri" w:hAnsi="Calibri" w:cs="Calibri"/>
        </w:rPr>
      </w:pPr>
      <w:r w:rsidRPr="009D2705">
        <w:rPr>
          <w:rFonts w:ascii="Calibri" w:hAnsi="Calibri" w:cs="Calibri"/>
        </w:rPr>
        <w:t>odstránime vendor lock-in stav v informačných systémoch verejnej správy v rozsahu 65 % / budeme publikovať zdrojové kódy informačných systémov v počte 5</w:t>
      </w:r>
      <w:r w:rsidR="00E617A9" w:rsidRPr="009D2705">
        <w:rPr>
          <w:rFonts w:ascii="Calibri" w:hAnsi="Calibri" w:cs="Calibri"/>
        </w:rPr>
        <w:t>,</w:t>
      </w:r>
    </w:p>
    <w:p w14:paraId="3D4F50ED" w14:textId="77777777" w:rsidR="00C15450" w:rsidRPr="009D2705" w:rsidRDefault="00433BD6" w:rsidP="00015EE7">
      <w:pPr>
        <w:pStyle w:val="Odsekzoznamu"/>
        <w:rPr>
          <w:rFonts w:ascii="Calibri" w:hAnsi="Calibri" w:cs="Calibri"/>
        </w:rPr>
      </w:pPr>
      <w:r>
        <w:rPr>
          <w:rFonts w:ascii="Calibri" w:hAnsi="Calibri" w:cs="Calibri"/>
        </w:rPr>
        <w:t>Do roku 2026</w:t>
      </w:r>
    </w:p>
    <w:p w14:paraId="26E07AAD" w14:textId="77777777" w:rsidR="00015EE7" w:rsidRPr="009D2705" w:rsidRDefault="00DF01F8" w:rsidP="00F06821">
      <w:pPr>
        <w:pStyle w:val="Odsekzoznamu"/>
        <w:numPr>
          <w:ilvl w:val="0"/>
          <w:numId w:val="24"/>
        </w:numPr>
        <w:spacing w:before="120" w:after="0" w:line="240" w:lineRule="auto"/>
        <w:ind w:left="1134"/>
        <w:rPr>
          <w:rFonts w:ascii="Calibri" w:hAnsi="Calibri" w:cs="Calibri"/>
        </w:rPr>
      </w:pPr>
      <w:r w:rsidRPr="009D2705">
        <w:rPr>
          <w:rFonts w:ascii="Calibri" w:hAnsi="Calibri" w:cs="Calibri"/>
        </w:rPr>
        <w:t>odstránime vendor lock-in stav v informačných systémov verejnej správy v rozsahu 85 % / budeme publikovať zdrojové kódy informačných systémov v počte 10</w:t>
      </w:r>
      <w:r w:rsidR="001C2E88" w:rsidRPr="009D2705">
        <w:rPr>
          <w:rFonts w:ascii="Calibri" w:hAnsi="Calibri" w:cs="Calibri"/>
        </w:rPr>
        <w:t>,</w:t>
      </w:r>
      <w:r w:rsidR="00015EE7" w:rsidRPr="009D2705">
        <w:rPr>
          <w:rFonts w:ascii="Calibri" w:hAnsi="Calibri" w:cs="Calibri"/>
        </w:rPr>
        <w:t xml:space="preserve"> </w:t>
      </w:r>
    </w:p>
    <w:p w14:paraId="0CCF0BE1" w14:textId="77777777" w:rsidR="00C15450" w:rsidRPr="009D2705" w:rsidRDefault="00433BD6" w:rsidP="00015EE7">
      <w:pPr>
        <w:pStyle w:val="Odsekzoznamu"/>
        <w:rPr>
          <w:rFonts w:ascii="Calibri" w:hAnsi="Calibri" w:cs="Calibri"/>
        </w:rPr>
      </w:pPr>
      <w:r>
        <w:rPr>
          <w:rFonts w:ascii="Calibri" w:hAnsi="Calibri" w:cs="Calibri"/>
        </w:rPr>
        <w:t>Do roku 2030</w:t>
      </w:r>
      <w:r w:rsidR="1977D66A" w:rsidRPr="009D2705">
        <w:rPr>
          <w:rFonts w:ascii="Calibri" w:hAnsi="Calibri" w:cs="Calibri"/>
        </w:rPr>
        <w:t xml:space="preserve"> </w:t>
      </w:r>
    </w:p>
    <w:p w14:paraId="7E075FB8" w14:textId="77777777" w:rsidR="00015EE7" w:rsidRPr="009D2705" w:rsidRDefault="00DF01F8" w:rsidP="00F06821">
      <w:pPr>
        <w:pStyle w:val="Odsekzoznamu"/>
        <w:numPr>
          <w:ilvl w:val="0"/>
          <w:numId w:val="24"/>
        </w:numPr>
        <w:spacing w:line="240" w:lineRule="auto"/>
        <w:ind w:left="1134" w:hanging="357"/>
        <w:rPr>
          <w:rFonts w:ascii="Calibri" w:hAnsi="Calibri" w:cs="Calibri"/>
        </w:rPr>
      </w:pPr>
      <w:r w:rsidRPr="009D2705">
        <w:rPr>
          <w:rFonts w:ascii="Calibri" w:hAnsi="Calibri" w:cs="Calibri"/>
        </w:rPr>
        <w:t>odstránime vendor lock-in stav v informačných systémoch verejnej správy v rozsahu 100 % / budeme publikovať zdrojové kódy informačných systémov v počte 20</w:t>
      </w:r>
      <w:r w:rsidR="001C2E88" w:rsidRPr="009D2705">
        <w:rPr>
          <w:rFonts w:ascii="Calibri" w:hAnsi="Calibri" w:cs="Calibri"/>
        </w:rPr>
        <w:t>.</w:t>
      </w:r>
    </w:p>
    <w:p w14:paraId="7BF023C1" w14:textId="77777777" w:rsidR="00015EE7" w:rsidRPr="004D73C4" w:rsidRDefault="00FC5596" w:rsidP="00895E2F">
      <w:pPr>
        <w:rPr>
          <w:b/>
          <w:bCs/>
        </w:rPr>
      </w:pPr>
      <w:r w:rsidRPr="004D73C4">
        <w:rPr>
          <w:b/>
          <w:bCs/>
        </w:rPr>
        <w:t xml:space="preserve">Opatrenie </w:t>
      </w:r>
      <w:r w:rsidR="00E7359B" w:rsidRPr="004D73C4">
        <w:rPr>
          <w:b/>
          <w:bCs/>
        </w:rPr>
        <w:t>3 –</w:t>
      </w:r>
      <w:r w:rsidR="00895E2F" w:rsidRPr="004D73C4">
        <w:rPr>
          <w:b/>
          <w:bCs/>
        </w:rPr>
        <w:t xml:space="preserve"> Vzdelávanie v rámci verejného obstarávania</w:t>
      </w:r>
    </w:p>
    <w:p w14:paraId="4698A484" w14:textId="77777777" w:rsidR="00DF01F8" w:rsidRPr="00FC1A53" w:rsidRDefault="00DF01F8" w:rsidP="00DF01F8">
      <w:r w:rsidRPr="00BC198C">
        <w:t xml:space="preserve">V súčasnosti je osveta vo verejnom obstarávaní IT vnímaná prostredníctvom aktivít (napr. semináre alebo diskusie realizované v gescii IT stakeholderov a tiež prostredníctvom verejných konferencií a sympózií (napr. ITAPA). </w:t>
      </w:r>
    </w:p>
    <w:p w14:paraId="68EC2A1A" w14:textId="77777777" w:rsidR="00DF01F8" w:rsidRPr="00F66E4E" w:rsidRDefault="00DF01F8" w:rsidP="00DF01F8">
      <w:pPr>
        <w:rPr>
          <w:rFonts w:ascii="Calibri" w:hAnsi="Calibri" w:cs="Calibri"/>
          <w:b/>
        </w:rPr>
      </w:pPr>
      <w:r w:rsidRPr="00F66E4E">
        <w:rPr>
          <w:rFonts w:ascii="Calibri" w:hAnsi="Calibri" w:cs="Calibri"/>
          <w:b/>
        </w:rPr>
        <w:t>Predstava</w:t>
      </w:r>
    </w:p>
    <w:p w14:paraId="47181298" w14:textId="77777777" w:rsidR="00DF01F8" w:rsidRDefault="00DF01F8" w:rsidP="00F06821">
      <w:pPr>
        <w:pStyle w:val="Odsekzoznamu"/>
        <w:numPr>
          <w:ilvl w:val="0"/>
          <w:numId w:val="38"/>
        </w:numPr>
        <w:rPr>
          <w:rFonts w:ascii="Calibri" w:hAnsi="Calibri" w:cs="Calibri"/>
        </w:rPr>
      </w:pPr>
      <w:r>
        <w:rPr>
          <w:rFonts w:ascii="Calibri" w:hAnsi="Calibri" w:cs="Calibri"/>
        </w:rPr>
        <w:t xml:space="preserve">Komplexný prístup </w:t>
      </w:r>
      <w:r w:rsidRPr="00F66E4E">
        <w:rPr>
          <w:rFonts w:ascii="Calibri" w:hAnsi="Calibri" w:cs="Calibri"/>
        </w:rPr>
        <w:t>k realizovaniu osvety verejného obstarávania IT ako aj konkrétnych</w:t>
      </w:r>
      <w:r>
        <w:rPr>
          <w:rFonts w:ascii="Calibri" w:hAnsi="Calibri" w:cs="Calibri"/>
        </w:rPr>
        <w:t xml:space="preserve"> techník verejného obstarávania. </w:t>
      </w:r>
    </w:p>
    <w:p w14:paraId="018E2152" w14:textId="08EA9B93" w:rsidR="00DF01F8" w:rsidRPr="001A19CA" w:rsidRDefault="00DF01F8" w:rsidP="00DF01F8">
      <w:pPr>
        <w:rPr>
          <w:rFonts w:ascii="Calibri" w:hAnsi="Calibri" w:cs="Calibri"/>
          <w:b/>
        </w:rPr>
      </w:pPr>
      <w:r w:rsidRPr="001A19CA">
        <w:rPr>
          <w:rFonts w:ascii="Calibri" w:hAnsi="Calibri" w:cs="Calibri"/>
          <w:b/>
        </w:rPr>
        <w:t>Návrh krokov k dosiahnutiu riešenia</w:t>
      </w:r>
    </w:p>
    <w:p w14:paraId="44A100EF" w14:textId="77777777" w:rsidR="00015EE7" w:rsidRPr="004D73C4" w:rsidRDefault="00DF01F8" w:rsidP="00DF01F8">
      <w:pPr>
        <w:pStyle w:val="Odsekzoznamu"/>
      </w:pPr>
      <w:r>
        <w:t>Prostredníctvom verejne prístupných vzdelávacích aktivít systematickým spôsobom zlepšiť povedomie a rôznorodých praktikách verejného obstarávania tejto oblasti.</w:t>
      </w:r>
      <w:r w:rsidR="00015EE7">
        <w:t xml:space="preserve"> </w:t>
      </w:r>
    </w:p>
    <w:p w14:paraId="6FADA8DD" w14:textId="77777777" w:rsidR="00015EE7" w:rsidRPr="004D73C4" w:rsidRDefault="003F4A82" w:rsidP="00015EE7">
      <w:pPr>
        <w:rPr>
          <w:rFonts w:ascii="Calibri" w:hAnsi="Calibri" w:cs="Calibri"/>
        </w:rPr>
      </w:pPr>
      <w:r w:rsidRPr="004D73C4">
        <w:rPr>
          <w:i/>
          <w:iCs/>
        </w:rPr>
        <w:lastRenderedPageBreak/>
        <w:t>Iniciatívy:</w:t>
      </w:r>
    </w:p>
    <w:p w14:paraId="74341BFF" w14:textId="77777777" w:rsidR="00C15450" w:rsidRPr="004D73C4" w:rsidRDefault="00433BD6" w:rsidP="00015EE7">
      <w:pPr>
        <w:pStyle w:val="Odsekzoznamu"/>
        <w:rPr>
          <w:rFonts w:ascii="Calibri" w:hAnsi="Calibri" w:cs="Calibri"/>
        </w:rPr>
      </w:pPr>
      <w:r>
        <w:rPr>
          <w:rFonts w:ascii="Calibri" w:hAnsi="Calibri" w:cs="Calibri"/>
        </w:rPr>
        <w:t>Do roku 2023</w:t>
      </w:r>
    </w:p>
    <w:p w14:paraId="0E22ED44" w14:textId="77777777" w:rsidR="00015EE7" w:rsidRPr="00236EBE" w:rsidRDefault="00DF01F8" w:rsidP="00F06821">
      <w:pPr>
        <w:pStyle w:val="Odsekzoznamu"/>
        <w:numPr>
          <w:ilvl w:val="0"/>
          <w:numId w:val="24"/>
        </w:numPr>
        <w:spacing w:before="120" w:after="0" w:line="240" w:lineRule="auto"/>
        <w:ind w:left="1134"/>
        <w:rPr>
          <w:rFonts w:ascii="Calibri" w:hAnsi="Calibri" w:cs="Calibri"/>
        </w:rPr>
      </w:pPr>
      <w:r w:rsidRPr="190F7DBA">
        <w:rPr>
          <w:rFonts w:ascii="Calibri" w:hAnsi="Calibri" w:cs="Calibri"/>
        </w:rPr>
        <w:t>vyškolíme</w:t>
      </w:r>
      <w:r w:rsidR="002D7AD4">
        <w:rPr>
          <w:rFonts w:ascii="Calibri" w:hAnsi="Calibri" w:cs="Calibri"/>
        </w:rPr>
        <w:t xml:space="preserve"> </w:t>
      </w:r>
      <w:r w:rsidRPr="190F7DBA">
        <w:rPr>
          <w:rFonts w:ascii="Calibri" w:hAnsi="Calibri" w:cs="Calibri"/>
        </w:rPr>
        <w:t>pracovníkov štátnej a verejnej správy, potenciálnych záujemcov zo</w:t>
      </w:r>
      <w:r w:rsidR="002D7AD4">
        <w:rPr>
          <w:rFonts w:ascii="Calibri" w:hAnsi="Calibri" w:cs="Calibri"/>
        </w:rPr>
        <w:t xml:space="preserve"> </w:t>
      </w:r>
      <w:r w:rsidRPr="190F7DBA">
        <w:rPr>
          <w:rFonts w:ascii="Calibri" w:hAnsi="Calibri" w:cs="Calibri"/>
        </w:rPr>
        <w:t>súkromného sektora</w:t>
      </w:r>
      <w:r>
        <w:t xml:space="preserve"> </w:t>
      </w:r>
      <w:r w:rsidRPr="190F7DBA">
        <w:rPr>
          <w:rFonts w:ascii="Calibri" w:hAnsi="Calibri" w:cs="Calibri"/>
        </w:rPr>
        <w:t>v počte 200</w:t>
      </w:r>
      <w:r w:rsidR="001C2E88" w:rsidRPr="190F7DBA">
        <w:rPr>
          <w:rFonts w:ascii="Calibri" w:hAnsi="Calibri" w:cs="Calibri"/>
        </w:rPr>
        <w:t>,</w:t>
      </w:r>
    </w:p>
    <w:p w14:paraId="6CF50545" w14:textId="77777777" w:rsidR="00C15450" w:rsidRPr="00236EBE" w:rsidRDefault="00433BD6" w:rsidP="00015EE7">
      <w:pPr>
        <w:pStyle w:val="Odsekzoznamu"/>
        <w:rPr>
          <w:rFonts w:ascii="Calibri" w:hAnsi="Calibri" w:cs="Calibri"/>
        </w:rPr>
      </w:pPr>
      <w:r>
        <w:rPr>
          <w:rFonts w:ascii="Calibri" w:hAnsi="Calibri" w:cs="Calibri"/>
        </w:rPr>
        <w:t>Do roku 2026</w:t>
      </w:r>
    </w:p>
    <w:p w14:paraId="0ED8116B" w14:textId="77777777" w:rsidR="00015EE7" w:rsidRPr="00236EBE" w:rsidRDefault="00DF01F8" w:rsidP="00F06821">
      <w:pPr>
        <w:pStyle w:val="Odsekzoznamu"/>
        <w:numPr>
          <w:ilvl w:val="0"/>
          <w:numId w:val="24"/>
        </w:numPr>
        <w:spacing w:before="120" w:line="240" w:lineRule="auto"/>
        <w:ind w:left="1134" w:hanging="357"/>
        <w:rPr>
          <w:rFonts w:ascii="Calibri" w:hAnsi="Calibri" w:cs="Calibri"/>
        </w:rPr>
      </w:pPr>
      <w:r>
        <w:t xml:space="preserve">vyškolíme pracovníkov </w:t>
      </w:r>
      <w:r w:rsidRPr="190F7DBA">
        <w:rPr>
          <w:rFonts w:ascii="Calibri" w:hAnsi="Calibri" w:cs="Calibri"/>
        </w:rPr>
        <w:t>štátnej a verejnej správy, potenciálnych záujemcov zo súkromného sektora</w:t>
      </w:r>
      <w:r>
        <w:t xml:space="preserve"> v počte 1</w:t>
      </w:r>
      <w:r w:rsidR="00FA5EF2">
        <w:t> </w:t>
      </w:r>
      <w:r>
        <w:t>000</w:t>
      </w:r>
      <w:r w:rsidR="00FA5EF2" w:rsidRPr="190F7DBA">
        <w:rPr>
          <w:rFonts w:ascii="Calibri" w:hAnsi="Calibri" w:cs="Calibri"/>
        </w:rPr>
        <w:t>.</w:t>
      </w:r>
    </w:p>
    <w:p w14:paraId="1220F856" w14:textId="77777777" w:rsidR="00DF01F8" w:rsidRPr="00FC1A53" w:rsidRDefault="00DF01F8" w:rsidP="00DF01F8">
      <w:pPr>
        <w:rPr>
          <w:b/>
          <w:bCs/>
        </w:rPr>
      </w:pPr>
      <w:r w:rsidRPr="00F033AF">
        <w:rPr>
          <w:b/>
          <w:bCs/>
        </w:rPr>
        <w:t xml:space="preserve">Opatrenie 4 – Využívanie znalostnej databázy </w:t>
      </w:r>
      <w:r>
        <w:rPr>
          <w:b/>
          <w:bCs/>
        </w:rPr>
        <w:t>a kvalita</w:t>
      </w:r>
    </w:p>
    <w:p w14:paraId="15E3B324" w14:textId="77777777" w:rsidR="00DF01F8" w:rsidRDefault="00DF01F8" w:rsidP="00DF01F8">
      <w:r w:rsidRPr="00F033AF">
        <w:t>Vo verejnej správe v súčasnosti neexistuje návod, akým spôsobom postupovať v prípade potreby obstarávať technológie alebo ľubovoľný IT komponent z IT trhu. Takýto návod by zohľadňoval aj jednotlivé atribúty obstarávanej technológie.</w:t>
      </w:r>
      <w:r w:rsidRPr="00F033AF">
        <w:rPr>
          <w:rFonts w:cs="Calibri"/>
          <w:vertAlign w:val="superscript"/>
        </w:rPr>
        <w:footnoteReference w:id="9"/>
      </w:r>
      <w:r w:rsidRPr="00F033AF">
        <w:t>)</w:t>
      </w:r>
    </w:p>
    <w:p w14:paraId="5B5C32E2" w14:textId="77777777" w:rsidR="00DF01F8" w:rsidRDefault="00DF01F8" w:rsidP="00DF01F8">
      <w:pPr>
        <w:rPr>
          <w:b/>
        </w:rPr>
      </w:pPr>
      <w:r w:rsidRPr="001A19CA">
        <w:rPr>
          <w:b/>
        </w:rPr>
        <w:t>Predstava</w:t>
      </w:r>
    </w:p>
    <w:p w14:paraId="7B18FAE3" w14:textId="77777777" w:rsidR="00DF01F8" w:rsidRPr="001A19CA" w:rsidRDefault="00DF01F8" w:rsidP="00F06821">
      <w:pPr>
        <w:pStyle w:val="Odsekzoznamu"/>
        <w:numPr>
          <w:ilvl w:val="0"/>
          <w:numId w:val="39"/>
        </w:numPr>
      </w:pPr>
      <w:r w:rsidRPr="001A19CA">
        <w:t>Vytvorenie predpokladov pre fungovanie zdieľania znalostí vo verejnom obstarávaní IT,</w:t>
      </w:r>
    </w:p>
    <w:p w14:paraId="085DE129" w14:textId="77777777" w:rsidR="00DF01F8" w:rsidRPr="00FC1A53" w:rsidRDefault="00DF01F8" w:rsidP="00F06821">
      <w:pPr>
        <w:pStyle w:val="Odsekzoznamu"/>
        <w:numPr>
          <w:ilvl w:val="0"/>
          <w:numId w:val="39"/>
        </w:numPr>
      </w:pPr>
      <w:r w:rsidRPr="001A19CA">
        <w:t>Verejný obstarávateľ nájde odpoveď na otázky (</w:t>
      </w:r>
      <w:r>
        <w:t xml:space="preserve">existuje </w:t>
      </w:r>
      <w:r w:rsidR="00FA5EF2">
        <w:t>S</w:t>
      </w:r>
      <w:r>
        <w:t>aa</w:t>
      </w:r>
      <w:r w:rsidR="00FA5EF2">
        <w:t>S</w:t>
      </w:r>
      <w:r>
        <w:t xml:space="preserve"> služba/využíva sa?</w:t>
      </w:r>
      <w:r w:rsidRPr="00FC1A53">
        <w:rPr>
          <w:rFonts w:cstheme="minorHAnsi"/>
        </w:rPr>
        <w:t>;</w:t>
      </w:r>
      <w:r>
        <w:t xml:space="preserve"> ako zákazku obstarať/aký spôsob obstarávanie použiť?</w:t>
      </w:r>
      <w:r>
        <w:rPr>
          <w:rFonts w:ascii="Tahoma" w:hAnsi="Tahoma" w:cs="Tahoma"/>
        </w:rPr>
        <w:t>;</w:t>
      </w:r>
      <w:r>
        <w:t xml:space="preserve"> ako zákazku rozdeliť? /je dôležité zákazku rozdeliť?</w:t>
      </w:r>
      <w:r w:rsidRPr="00FC1A53">
        <w:rPr>
          <w:rFonts w:cstheme="minorHAnsi"/>
        </w:rPr>
        <w:t>;</w:t>
      </w:r>
      <w:r w:rsidR="00FA5EF2">
        <w:rPr>
          <w:rFonts w:cstheme="minorHAnsi"/>
        </w:rPr>
        <w:t xml:space="preserve"> </w:t>
      </w:r>
      <w:r>
        <w:rPr>
          <w:rFonts w:cstheme="minorHAnsi"/>
        </w:rPr>
        <w:t>existuje alternatívne riešenie?</w:t>
      </w:r>
      <w:r w:rsidRPr="00FC1A53">
        <w:rPr>
          <w:rFonts w:cstheme="minorHAnsi"/>
        </w:rPr>
        <w:t>;</w:t>
      </w:r>
      <w:r>
        <w:rPr>
          <w:rFonts w:cstheme="minorHAnsi"/>
        </w:rPr>
        <w:t xml:space="preserve"> aké sú skúsenosti s podobnou zákazkou?</w:t>
      </w:r>
      <w:r>
        <w:rPr>
          <w:rFonts w:ascii="Tahoma" w:hAnsi="Tahoma" w:cs="Tahoma"/>
        </w:rPr>
        <w:t xml:space="preserve">; </w:t>
      </w:r>
      <w:r>
        <w:rPr>
          <w:rFonts w:cstheme="minorHAnsi"/>
        </w:rPr>
        <w:t>aký zmluvný typ je vhodný?),</w:t>
      </w:r>
    </w:p>
    <w:p w14:paraId="14939DC4" w14:textId="77777777" w:rsidR="00DF01F8" w:rsidRPr="00FC1A53" w:rsidRDefault="00DF01F8" w:rsidP="00F06821">
      <w:pPr>
        <w:pStyle w:val="Odsekzoznamu"/>
        <w:numPr>
          <w:ilvl w:val="0"/>
          <w:numId w:val="39"/>
        </w:numPr>
      </w:pPr>
      <w:r>
        <w:t>Realizovanie a využívanie kvalitatívnych kritérií vo verejnom obstarávaní IT.</w:t>
      </w:r>
    </w:p>
    <w:p w14:paraId="7E1820B2" w14:textId="77777777" w:rsidR="00DF01F8" w:rsidRPr="001A19CA" w:rsidRDefault="00DF01F8" w:rsidP="00DF01F8">
      <w:pPr>
        <w:rPr>
          <w:rFonts w:ascii="Calibri" w:hAnsi="Calibri" w:cs="Calibri"/>
          <w:b/>
        </w:rPr>
      </w:pPr>
      <w:r w:rsidRPr="001A19CA">
        <w:rPr>
          <w:rFonts w:ascii="Calibri" w:hAnsi="Calibri" w:cs="Calibri"/>
          <w:b/>
        </w:rPr>
        <w:t>Návrh krokov k dosiahnutiu riešenia</w:t>
      </w:r>
    </w:p>
    <w:p w14:paraId="7EAB4B37" w14:textId="77777777" w:rsidR="00DF01F8" w:rsidRPr="00F033AF" w:rsidRDefault="00DF01F8" w:rsidP="00F06821">
      <w:pPr>
        <w:pStyle w:val="Odsekzoznamu"/>
        <w:numPr>
          <w:ilvl w:val="0"/>
          <w:numId w:val="39"/>
        </w:numPr>
      </w:pPr>
      <w:r>
        <w:t>Vytvoriť znalostnú databázu</w:t>
      </w:r>
      <w:r w:rsidRPr="00F033AF">
        <w:t xml:space="preserve">, ktorá </w:t>
      </w:r>
      <w:r>
        <w:t>poslúži ako návod/</w:t>
      </w:r>
      <w:r w:rsidRPr="00F033AF">
        <w:t>inštrukcia verejnému obstarávateľovi</w:t>
      </w:r>
      <w:r>
        <w:t>,</w:t>
      </w:r>
      <w:r w:rsidRPr="00F033AF">
        <w:t xml:space="preserve"> </w:t>
      </w:r>
    </w:p>
    <w:p w14:paraId="0C71753E" w14:textId="77777777" w:rsidR="00DF01F8" w:rsidRPr="001A19CA" w:rsidRDefault="00DF01F8" w:rsidP="00F06821">
      <w:pPr>
        <w:pStyle w:val="Odsekzoznamu"/>
        <w:numPr>
          <w:ilvl w:val="0"/>
          <w:numId w:val="39"/>
        </w:numPr>
        <w:tabs>
          <w:tab w:val="left" w:pos="993"/>
        </w:tabs>
        <w:rPr>
          <w:rFonts w:ascii="Calibri" w:hAnsi="Calibri" w:cs="Calibri"/>
        </w:rPr>
      </w:pPr>
      <w:r>
        <w:rPr>
          <w:rFonts w:ascii="Calibri" w:hAnsi="Calibri" w:cs="Calibri"/>
        </w:rPr>
        <w:t>Navrhnúť metodický postup pre účely obstarávania kvality/formou kvalitatívnych kritérií.</w:t>
      </w:r>
    </w:p>
    <w:p w14:paraId="77AB9387" w14:textId="77777777" w:rsidR="00DF01F8" w:rsidRPr="00DF01F8" w:rsidRDefault="00DF01F8" w:rsidP="00DF01F8">
      <w:pPr>
        <w:rPr>
          <w:i/>
          <w:iCs/>
        </w:rPr>
      </w:pPr>
      <w:r>
        <w:rPr>
          <w:i/>
          <w:iCs/>
        </w:rPr>
        <w:t>Iniciatívy:</w:t>
      </w:r>
    </w:p>
    <w:p w14:paraId="0C47913D" w14:textId="77777777" w:rsidR="00DF01F8" w:rsidRPr="00F033AF" w:rsidRDefault="00433BD6" w:rsidP="00DF01F8">
      <w:pPr>
        <w:pStyle w:val="Odsekzoznamu"/>
        <w:spacing w:line="276" w:lineRule="auto"/>
        <w:rPr>
          <w:rFonts w:ascii="Calibri" w:hAnsi="Calibri" w:cs="Calibri"/>
        </w:rPr>
      </w:pPr>
      <w:r>
        <w:rPr>
          <w:rFonts w:ascii="Calibri" w:hAnsi="Calibri" w:cs="Calibri"/>
        </w:rPr>
        <w:t>Do roku 2023</w:t>
      </w:r>
    </w:p>
    <w:p w14:paraId="309B99EB" w14:textId="77777777" w:rsidR="00DF01F8" w:rsidRPr="00FB4C20" w:rsidRDefault="00FA5EF2" w:rsidP="00F06821">
      <w:pPr>
        <w:pStyle w:val="Odsekzoznamu"/>
        <w:numPr>
          <w:ilvl w:val="0"/>
          <w:numId w:val="24"/>
        </w:numPr>
        <w:spacing w:before="120" w:after="0" w:line="240" w:lineRule="auto"/>
        <w:ind w:left="1134"/>
        <w:rPr>
          <w:rFonts w:ascii="Calibri" w:hAnsi="Calibri" w:cs="Calibri"/>
        </w:rPr>
      </w:pPr>
      <w:r w:rsidRPr="190F7DBA">
        <w:rPr>
          <w:rFonts w:ascii="Calibri" w:hAnsi="Calibri" w:cs="Calibri"/>
        </w:rPr>
        <w:t>v</w:t>
      </w:r>
      <w:r w:rsidR="00DF01F8" w:rsidRPr="190F7DBA">
        <w:rPr>
          <w:rFonts w:ascii="Calibri" w:hAnsi="Calibri" w:cs="Calibri"/>
        </w:rPr>
        <w:t xml:space="preserve">ytvoriť predpoklady pre znalostnú databázu vo forme podkladovej dokumentácie, </w:t>
      </w:r>
    </w:p>
    <w:p w14:paraId="5C6C8E28" w14:textId="77777777" w:rsidR="00DF01F8" w:rsidRPr="00BC198C" w:rsidRDefault="00433BD6" w:rsidP="00DF01F8">
      <w:pPr>
        <w:pStyle w:val="Odsekzoznamu"/>
        <w:rPr>
          <w:rFonts w:ascii="Calibri" w:hAnsi="Calibri" w:cs="Calibri"/>
        </w:rPr>
      </w:pPr>
      <w:r>
        <w:rPr>
          <w:rFonts w:ascii="Calibri" w:hAnsi="Calibri" w:cs="Calibri"/>
        </w:rPr>
        <w:t>Do roku 2026</w:t>
      </w:r>
    </w:p>
    <w:p w14:paraId="4B9680CD" w14:textId="77777777" w:rsidR="00DF01F8" w:rsidRDefault="00DF01F8" w:rsidP="00F06821">
      <w:pPr>
        <w:pStyle w:val="Odsekzoznamu"/>
        <w:numPr>
          <w:ilvl w:val="0"/>
          <w:numId w:val="24"/>
        </w:numPr>
        <w:spacing w:before="120" w:line="240" w:lineRule="auto"/>
        <w:ind w:left="1134" w:hanging="357"/>
        <w:rPr>
          <w:rFonts w:ascii="Calibri" w:hAnsi="Calibri" w:cs="Calibri"/>
        </w:rPr>
      </w:pPr>
      <w:r w:rsidRPr="190F7DBA">
        <w:rPr>
          <w:rFonts w:ascii="Calibri" w:hAnsi="Calibri" w:cs="Calibri"/>
        </w:rPr>
        <w:t>Vytvoríme metodiku pre hodnotenie kvality ponúk</w:t>
      </w:r>
      <w:r w:rsidR="002D7AD4">
        <w:rPr>
          <w:rFonts w:ascii="Calibri" w:hAnsi="Calibri" w:cs="Calibri"/>
        </w:rPr>
        <w:t xml:space="preserve"> </w:t>
      </w:r>
      <w:r w:rsidRPr="190F7DBA">
        <w:rPr>
          <w:rFonts w:ascii="Calibri" w:hAnsi="Calibri" w:cs="Calibri"/>
        </w:rPr>
        <w:t>a naštartujeme prvé tri obstarávania so zaradením kvalitatívnych kritérií</w:t>
      </w:r>
    </w:p>
    <w:p w14:paraId="67D8245E" w14:textId="77777777" w:rsidR="00EE3A7B" w:rsidRPr="004D73C4" w:rsidRDefault="00383D4E" w:rsidP="00E362F7">
      <w:pPr>
        <w:pStyle w:val="Nadpis3"/>
      </w:pPr>
      <w:bookmarkStart w:id="133" w:name="_Toc69297717"/>
      <w:bookmarkStart w:id="134" w:name="_Toc70369680"/>
      <w:bookmarkStart w:id="135" w:name="_Toc70711620"/>
      <w:r>
        <w:t>Ľ</w:t>
      </w:r>
      <w:r w:rsidR="00EE3A7B">
        <w:t>udsk</w:t>
      </w:r>
      <w:r>
        <w:t>é</w:t>
      </w:r>
      <w:r w:rsidR="00EE3A7B">
        <w:t xml:space="preserve"> zdroj</w:t>
      </w:r>
      <w:r>
        <w:t>e v štátnom IT</w:t>
      </w:r>
      <w:bookmarkEnd w:id="133"/>
      <w:bookmarkEnd w:id="134"/>
      <w:bookmarkEnd w:id="135"/>
    </w:p>
    <w:p w14:paraId="69F81991" w14:textId="77777777" w:rsidR="00D43092" w:rsidRPr="004D73C4" w:rsidRDefault="00D43092" w:rsidP="00D43092">
      <w:r w:rsidRPr="004D73C4">
        <w:t xml:space="preserve">Informatizácia spoločnosti a verejnej správy prináša zvýšené nároky na riadenie IT v orgánoch riadenia. Jedným z programových blokov riadenia ľudských zdrojov v oblasti IT je zrozumiteľným jazykom popísať referenčný kompetenčný model riadenia útvarov IT tak, aby sa premietli najlepšie skúsenosti mnohých štátnych orgánov a inštitúcií, ako aj komerčného sektora, ktoré sú popísané v medzinárodne používaných a uznávaných metodikách, ITIL a PRINCE2 a zároveň, aby tento referenčný kompetenčný model zahŕňal aj povinnosti, ktoré príslušným orgánom vyplývajú z legislatívy platnej v SR (napr. zákon o e-Governmente, zákon o ITVS, vykonávacie predpisy). </w:t>
      </w:r>
    </w:p>
    <w:p w14:paraId="6DF9AD55" w14:textId="77777777" w:rsidR="00D43092" w:rsidRPr="004D73C4" w:rsidRDefault="00D43092" w:rsidP="00D43092">
      <w:pPr>
        <w:rPr>
          <w:b/>
        </w:rPr>
      </w:pPr>
      <w:r w:rsidRPr="004D73C4">
        <w:t>Popísaním definície referenčného kompetenčného modelu chceme prispieť k strategickému riadeniu IT, ktoré bude reflektovať tak strategické ciele a požiadavky celej spoločnosti ako aj príslušných orgánov v oblasti verejnej správy.</w:t>
      </w:r>
    </w:p>
    <w:p w14:paraId="1E7B9808" w14:textId="77777777" w:rsidR="00D43092" w:rsidRPr="004D73C4" w:rsidRDefault="00D43092" w:rsidP="00D43092">
      <w:pPr>
        <w:rPr>
          <w:b/>
        </w:rPr>
      </w:pPr>
      <w:r w:rsidRPr="004D73C4">
        <w:rPr>
          <w:b/>
        </w:rPr>
        <w:t xml:space="preserve">Sumarizácia hlavných </w:t>
      </w:r>
      <w:r w:rsidR="00FC5596" w:rsidRPr="004D73C4">
        <w:rPr>
          <w:b/>
        </w:rPr>
        <w:t>opatrení</w:t>
      </w:r>
      <w:r w:rsidRPr="004D73C4">
        <w:rPr>
          <w:b/>
        </w:rPr>
        <w:t>:</w:t>
      </w:r>
    </w:p>
    <w:p w14:paraId="06843204" w14:textId="77777777" w:rsidR="00895E2F" w:rsidRPr="004D73C4" w:rsidRDefault="00895E2F" w:rsidP="00F06821">
      <w:pPr>
        <w:pStyle w:val="Odsekzoznamu"/>
        <w:numPr>
          <w:ilvl w:val="0"/>
          <w:numId w:val="26"/>
        </w:numPr>
        <w:rPr>
          <w:rFonts w:ascii="Calibri" w:hAnsi="Calibri" w:cs="Calibri"/>
        </w:rPr>
      </w:pPr>
      <w:r w:rsidRPr="190F7DBA">
        <w:rPr>
          <w:rFonts w:ascii="Calibri" w:hAnsi="Calibri" w:cs="Calibri"/>
        </w:rPr>
        <w:t>Zavedenie systematického postupu k získavaniu a rozvoju ľudských zdrojov v štátnom IT</w:t>
      </w:r>
    </w:p>
    <w:p w14:paraId="187F8565" w14:textId="77777777" w:rsidR="00895E2F" w:rsidRPr="004D73C4" w:rsidRDefault="00895E2F" w:rsidP="00F06821">
      <w:pPr>
        <w:pStyle w:val="Odsekzoznamu"/>
        <w:numPr>
          <w:ilvl w:val="0"/>
          <w:numId w:val="26"/>
        </w:numPr>
        <w:rPr>
          <w:rFonts w:ascii="Calibri" w:hAnsi="Calibri" w:cs="Calibri"/>
        </w:rPr>
      </w:pPr>
      <w:bookmarkStart w:id="136" w:name="_Hlk67589649"/>
      <w:r w:rsidRPr="190F7DBA">
        <w:rPr>
          <w:rFonts w:ascii="Calibri" w:hAnsi="Calibri" w:cs="Calibri"/>
        </w:rPr>
        <w:t>Prispôsobovanie kapacít ľudských zdrojov IT rozsahu služieb a systémov</w:t>
      </w:r>
      <w:bookmarkEnd w:id="136"/>
    </w:p>
    <w:p w14:paraId="2E50E7DB" w14:textId="77777777" w:rsidR="00887115" w:rsidRDefault="00887115" w:rsidP="00D43092">
      <w:pPr>
        <w:rPr>
          <w:b/>
          <w:bCs/>
        </w:rPr>
      </w:pPr>
    </w:p>
    <w:p w14:paraId="6F2D212C" w14:textId="15851A5C" w:rsidR="00D43092" w:rsidRPr="004D73C4" w:rsidRDefault="00FC5596" w:rsidP="00D43092">
      <w:r w:rsidRPr="190F7DBA">
        <w:rPr>
          <w:b/>
          <w:bCs/>
        </w:rPr>
        <w:lastRenderedPageBreak/>
        <w:t>Opatrenie</w:t>
      </w:r>
      <w:r w:rsidR="00AB1D2E" w:rsidRPr="190F7DBA">
        <w:rPr>
          <w:b/>
          <w:bCs/>
        </w:rPr>
        <w:t xml:space="preserve"> </w:t>
      </w:r>
      <w:r w:rsidR="169B87A3" w:rsidRPr="190F7DBA">
        <w:rPr>
          <w:b/>
          <w:bCs/>
        </w:rPr>
        <w:t>1</w:t>
      </w:r>
      <w:r w:rsidR="00D43092" w:rsidRPr="190F7DBA">
        <w:rPr>
          <w:b/>
          <w:bCs/>
        </w:rPr>
        <w:t xml:space="preserve"> – </w:t>
      </w:r>
      <w:r w:rsidR="00895E2F" w:rsidRPr="190F7DBA">
        <w:rPr>
          <w:b/>
          <w:bCs/>
        </w:rPr>
        <w:t>Zavedenie systematického postupu k získavaniu a rozvoju ľudských zdrojov v štátnom IT</w:t>
      </w:r>
    </w:p>
    <w:p w14:paraId="315E78A4" w14:textId="77777777" w:rsidR="00D43092" w:rsidRDefault="00D43092" w:rsidP="00D43092">
      <w:r w:rsidRPr="004D73C4">
        <w:t>Budovanie kapacít v štátnom IT čelí dvom základným faktorom, ktoré je nutné aktívne adresovať pre dosiahnutie pokroku. Prvým faktorom je vysoká konkurencia na trhu medzi súkromným a verejným sektorom. Konkurencia sa prejavuje v platových rozdieloch a v rozdieloch kariérneho rastu. Druhým faktorom je zložité a nesystémové prijímanie nových zamestnancov. To znižuje počet záujemcov na voľné pracovné miesta, čo má dopad na kvalitu a rýchlosť obsadenia voľného pracovného miesta.</w:t>
      </w:r>
    </w:p>
    <w:p w14:paraId="1046F589" w14:textId="77777777" w:rsidR="00D43092" w:rsidRPr="004D73C4" w:rsidRDefault="003F4A82" w:rsidP="00D43092">
      <w:r w:rsidRPr="004D73C4">
        <w:rPr>
          <w:i/>
          <w:iCs/>
        </w:rPr>
        <w:t>Iniciatívy:</w:t>
      </w:r>
    </w:p>
    <w:p w14:paraId="0D4646F7" w14:textId="77777777" w:rsidR="00D43092" w:rsidRPr="004D73C4" w:rsidRDefault="70903E8D" w:rsidP="00D43092">
      <w:pPr>
        <w:pStyle w:val="Odsekzoznamu"/>
        <w:rPr>
          <w:rFonts w:ascii="Calibri" w:hAnsi="Calibri" w:cs="Calibri"/>
        </w:rPr>
      </w:pPr>
      <w:r w:rsidRPr="190F7DBA">
        <w:rPr>
          <w:rFonts w:ascii="Calibri" w:hAnsi="Calibri" w:cs="Calibri"/>
        </w:rPr>
        <w:t>Do roku 2023</w:t>
      </w:r>
    </w:p>
    <w:p w14:paraId="5C1D1C10" w14:textId="77777777" w:rsidR="00D43092" w:rsidRPr="00236EBE" w:rsidRDefault="00D43092" w:rsidP="00F06821">
      <w:pPr>
        <w:pStyle w:val="Odsekzoznamu"/>
        <w:numPr>
          <w:ilvl w:val="0"/>
          <w:numId w:val="24"/>
        </w:numPr>
        <w:spacing w:before="120" w:after="0" w:line="240" w:lineRule="auto"/>
        <w:ind w:left="1134"/>
      </w:pPr>
      <w:r>
        <w:t>Kariérny systém pomocou ktorého budú komunikované voľné pracovné pozície v štátnom IT ešte pred vyhlásením výberového konania.</w:t>
      </w:r>
    </w:p>
    <w:p w14:paraId="63CA83B4" w14:textId="77777777" w:rsidR="00D43092" w:rsidRPr="00236EBE" w:rsidRDefault="70903E8D" w:rsidP="00D43092">
      <w:pPr>
        <w:pStyle w:val="Odsekzoznamu"/>
        <w:rPr>
          <w:rFonts w:ascii="Calibri" w:hAnsi="Calibri" w:cs="Calibri"/>
        </w:rPr>
      </w:pPr>
      <w:r w:rsidRPr="190F7DBA">
        <w:rPr>
          <w:rFonts w:ascii="Calibri" w:hAnsi="Calibri" w:cs="Calibri"/>
        </w:rPr>
        <w:t>Do roku 2026</w:t>
      </w:r>
    </w:p>
    <w:p w14:paraId="6B2B6DD3" w14:textId="77777777" w:rsidR="00D43092" w:rsidRPr="00236EBE" w:rsidRDefault="00D43092" w:rsidP="00F06821">
      <w:pPr>
        <w:pStyle w:val="Odsekzoznamu"/>
        <w:numPr>
          <w:ilvl w:val="0"/>
          <w:numId w:val="24"/>
        </w:numPr>
        <w:spacing w:before="120" w:after="0" w:line="240" w:lineRule="auto"/>
        <w:ind w:left="1134"/>
      </w:pPr>
      <w:r>
        <w:t>Systém pomocou ktorého bude možné riadiť kariérny rast zamestnancov a mzdové ohodnotenie v štátnom IT.</w:t>
      </w:r>
    </w:p>
    <w:p w14:paraId="7C2124E5" w14:textId="77777777" w:rsidR="00D43092" w:rsidRPr="00236EBE" w:rsidRDefault="70903E8D" w:rsidP="00D43092">
      <w:pPr>
        <w:pStyle w:val="Odsekzoznamu"/>
        <w:rPr>
          <w:rFonts w:ascii="Calibri" w:hAnsi="Calibri" w:cs="Calibri"/>
        </w:rPr>
      </w:pPr>
      <w:r w:rsidRPr="190F7DBA">
        <w:rPr>
          <w:rFonts w:ascii="Calibri" w:hAnsi="Calibri" w:cs="Calibri"/>
        </w:rPr>
        <w:t>Do roku 2030</w:t>
      </w:r>
    </w:p>
    <w:p w14:paraId="1E915F1A" w14:textId="77777777" w:rsidR="00D43092" w:rsidRPr="00236EBE" w:rsidRDefault="00D43092" w:rsidP="00F06821">
      <w:pPr>
        <w:pStyle w:val="Odsekzoznamu"/>
        <w:numPr>
          <w:ilvl w:val="0"/>
          <w:numId w:val="24"/>
        </w:numPr>
        <w:spacing w:line="240" w:lineRule="auto"/>
        <w:ind w:left="1134" w:hanging="357"/>
      </w:pPr>
      <w:r>
        <w:t>Systém zverejňovania úspešných príkladov práce v štátnom IT.</w:t>
      </w:r>
    </w:p>
    <w:p w14:paraId="49FA304D" w14:textId="77777777" w:rsidR="00D43092" w:rsidRPr="004D73C4" w:rsidRDefault="00FC5596" w:rsidP="190F7DBA">
      <w:pPr>
        <w:rPr>
          <w:b/>
          <w:bCs/>
        </w:rPr>
      </w:pPr>
      <w:r w:rsidRPr="190F7DBA">
        <w:rPr>
          <w:b/>
          <w:bCs/>
        </w:rPr>
        <w:t>Opatrenie</w:t>
      </w:r>
      <w:r w:rsidR="00AB1D2E" w:rsidRPr="190F7DBA">
        <w:rPr>
          <w:b/>
          <w:bCs/>
        </w:rPr>
        <w:t xml:space="preserve"> </w:t>
      </w:r>
      <w:r w:rsidR="088821CE" w:rsidRPr="190F7DBA">
        <w:rPr>
          <w:b/>
          <w:bCs/>
        </w:rPr>
        <w:t>2</w:t>
      </w:r>
      <w:r w:rsidR="00D43092" w:rsidRPr="190F7DBA">
        <w:rPr>
          <w:b/>
          <w:bCs/>
        </w:rPr>
        <w:t xml:space="preserve"> –</w:t>
      </w:r>
      <w:r w:rsidR="00895E2F" w:rsidRPr="190F7DBA">
        <w:rPr>
          <w:b/>
          <w:bCs/>
        </w:rPr>
        <w:t xml:space="preserve"> Prispôsobovanie kapacít ľudských zdrojov IT rozsahu služieb a systémov</w:t>
      </w:r>
    </w:p>
    <w:p w14:paraId="1E1BDB3B" w14:textId="77777777" w:rsidR="00D43092" w:rsidRPr="004D73C4" w:rsidRDefault="00D43092" w:rsidP="00D43092">
      <w:r>
        <w:t xml:space="preserve">Aktuálny stav kapacít ľudských zdrojov v štátnom IT nesaturuje nové povinnosti a príležitosti, ktoré digitálnou transformáciou prichádzajú. Stratégia organizácie a rozvojové projekty sa musia viazať na štruktúru ľudských zdrojov. </w:t>
      </w:r>
      <w:r w:rsidR="005061E0">
        <w:t xml:space="preserve">MIRRI </w:t>
      </w:r>
      <w:r>
        <w:t xml:space="preserve">SR pripravilo model referenčného kompetenčného modelu, ktorý bude reagovať na nové potreby riadenia IT, posilnenie orientácie na zákazníka, dizajn služieb a systémov, lepší manažment údajov a dôraz na agilné riadenie projektov a zavedenie produktového riadenia. Tieto role dnes na organizáciách verejnej moci chýbajú alebo sú nedostatkové. Zároveň sú nevyhnutné pre dosiahnutie lepších služieb a digitálnej transformácie do ktorej sa investujú vysoké finančné prostriedky. </w:t>
      </w:r>
    </w:p>
    <w:p w14:paraId="2DB6376F" w14:textId="77777777" w:rsidR="3501A817" w:rsidRPr="006D77C9" w:rsidRDefault="3501A817" w:rsidP="190F7DBA">
      <w:r w:rsidRPr="006D77C9">
        <w:t>Pritiahnutie schopných ľudí na projekt, ich motivovanie a nadštandardné odmeňovanie je záležitosťou manažmentu OVM. Títo pracovníci už na OVM pôsobia a dá sa očakávať, že sa to nezmení ani do budúcnosti. Požiadavka na zvyšovanie know-how na strane štátu a jeho uchovávanie by malo byť vo veľkej miere založené na týchto ľuďoch. Títo pracovníci budú po dobu projektu plniť úlohy nad rámec bežných povinností, čo im bude treba kompenzovať.</w:t>
      </w:r>
      <w:r w:rsidRPr="006D77C9">
        <w:rPr>
          <w:b/>
          <w:bCs/>
        </w:rPr>
        <w:t xml:space="preserve"> </w:t>
      </w:r>
      <w:r w:rsidRPr="006D77C9">
        <w:t xml:space="preserve">Časť zdrojov bude musieť byť alokovaná pre pracovníkov, ktorí po obmedzenú doby preberú na seba bežné úlohy za kolegov, ktorí budú vyťažení projektmi. </w:t>
      </w:r>
    </w:p>
    <w:p w14:paraId="42795E5D" w14:textId="77777777" w:rsidR="3501A817" w:rsidRPr="006D77C9" w:rsidRDefault="3501A817" w:rsidP="190F7DBA">
      <w:r w:rsidRPr="006D77C9">
        <w:t>Hovoríme o minimálne o nasledovných roliach, ktoré bude treba pokryť pracovníkmi odborných útvarov:</w:t>
      </w:r>
    </w:p>
    <w:p w14:paraId="4525E2BD" w14:textId="77777777" w:rsidR="3501A817" w:rsidRPr="006D77C9" w:rsidRDefault="3501A817" w:rsidP="190F7DBA">
      <w:r w:rsidRPr="006D77C9">
        <w:rPr>
          <w:b/>
          <w:bCs/>
        </w:rPr>
        <w:t xml:space="preserve">Vlastník procesov: </w:t>
      </w:r>
      <w:r w:rsidRPr="006D77C9">
        <w:t xml:space="preserve">mal by byť definovaný za OVM za každých okolností. Očakávame, že sa bude jednať o pracovníka s viacročnými skúsenosťami zo svojho úseku verejnej správy a znalosťami relevantnej legislatívy. </w:t>
      </w:r>
    </w:p>
    <w:p w14:paraId="5978350A" w14:textId="77777777" w:rsidR="3501A817" w:rsidRPr="006D77C9" w:rsidRDefault="3501A817" w:rsidP="190F7DBA">
      <w:r w:rsidRPr="006D77C9">
        <w:rPr>
          <w:b/>
          <w:bCs/>
        </w:rPr>
        <w:t xml:space="preserve">Kľúčový používateľ: </w:t>
      </w:r>
      <w:r w:rsidRPr="006D77C9">
        <w:t>by mal byť na OVM viacero, malo by sa jednať o pracovníkov s viacročnými skúsenosťami zo svojho úseku verejnej správy a znalosťami relevantnej legislatívy. Kľúčový používateľ by si mal pre potreby efektívneho zapájania do projektov digitálnej transformácie rozšíriť svoj odborný profil o základné znalosti z oblasti procesného modelovania a budovania informačných systémov.</w:t>
      </w:r>
    </w:p>
    <w:p w14:paraId="7397AC4D" w14:textId="77777777" w:rsidR="3501A817" w:rsidRPr="006D77C9" w:rsidRDefault="3501A817" w:rsidP="190F7DBA">
      <w:r w:rsidRPr="006D77C9">
        <w:rPr>
          <w:b/>
          <w:bCs/>
        </w:rPr>
        <w:t>IT analytik</w:t>
      </w:r>
      <w:r w:rsidR="2F1F43D5" w:rsidRPr="006D77C9">
        <w:rPr>
          <w:b/>
          <w:bCs/>
        </w:rPr>
        <w:t>: n</w:t>
      </w:r>
      <w:r w:rsidRPr="006D77C9">
        <w:t xml:space="preserve">avrhujeme používať termín Biznis analytik, aby sme demonštrovali, že sa nejedná o profil, ktorý je v prvom rade informatický. V prípade biznis analytika musíme odlišovať situáciu tých OVM, ktoré majú vybudovanú analytickú jednotku a tých, ktoré ju nemajú. OVM s funkčnou analytickou jednotkou </w:t>
      </w:r>
      <w:r w:rsidR="58A68166" w:rsidRPr="006D77C9">
        <w:t xml:space="preserve">vedia využiť </w:t>
      </w:r>
      <w:r w:rsidRPr="006D77C9">
        <w:t>pracovníka, ktorý prevezme odbornú garanciu za biznis architektúru, za optimalizáciu procesov a za dosiahnutie úspor na poskytovaní služieb. Tým OVM, ktoré nemajú vlastnú analytickú jednotku, bude poskytovať odborné služby ISBA MV SR. Partnerom na strane OVM bude vlastník proceso</w:t>
      </w:r>
      <w:r w:rsidR="5F41FA87" w:rsidRPr="006D77C9">
        <w:t>v.</w:t>
      </w:r>
    </w:p>
    <w:p w14:paraId="1CBA06DA" w14:textId="77777777" w:rsidR="00D43092" w:rsidRPr="004D73C4" w:rsidRDefault="003F4A82" w:rsidP="00D43092">
      <w:r w:rsidRPr="004D73C4">
        <w:rPr>
          <w:i/>
          <w:iCs/>
        </w:rPr>
        <w:lastRenderedPageBreak/>
        <w:t>Iniciatívy:</w:t>
      </w:r>
    </w:p>
    <w:p w14:paraId="27A59CDB" w14:textId="77777777" w:rsidR="00D43092" w:rsidRPr="009D2705" w:rsidRDefault="70903E8D" w:rsidP="00D43092">
      <w:pPr>
        <w:pStyle w:val="Odsekzoznamu"/>
        <w:rPr>
          <w:rFonts w:ascii="Calibri" w:hAnsi="Calibri" w:cs="Calibri"/>
        </w:rPr>
      </w:pPr>
      <w:r w:rsidRPr="009D2705">
        <w:rPr>
          <w:rFonts w:ascii="Calibri" w:hAnsi="Calibri" w:cs="Calibri"/>
        </w:rPr>
        <w:t>Do roku 2023</w:t>
      </w:r>
    </w:p>
    <w:p w14:paraId="177F583A" w14:textId="77777777" w:rsidR="3E39FB19" w:rsidRPr="009D2705" w:rsidRDefault="3E39FB19" w:rsidP="00F06821">
      <w:pPr>
        <w:pStyle w:val="Odsekzoznamu"/>
        <w:numPr>
          <w:ilvl w:val="0"/>
          <w:numId w:val="24"/>
        </w:numPr>
        <w:spacing w:before="120" w:after="0" w:line="240" w:lineRule="auto"/>
        <w:ind w:left="1134"/>
      </w:pPr>
      <w:r w:rsidRPr="009D2705">
        <w:t xml:space="preserve">Implementácia vyhlášky riadenia IT projektov </w:t>
      </w:r>
      <w:r w:rsidR="5B66D3F8" w:rsidRPr="009D2705">
        <w:t>na orgánoch riadenia s cieľom nastaviť vzťahy medzi IT a biznis vlastníkmi</w:t>
      </w:r>
    </w:p>
    <w:p w14:paraId="0B68544F" w14:textId="77777777" w:rsidR="00D43092" w:rsidRPr="009D2705" w:rsidRDefault="00084AF6" w:rsidP="00F06821">
      <w:pPr>
        <w:pStyle w:val="Odsekzoznamu"/>
        <w:numPr>
          <w:ilvl w:val="0"/>
          <w:numId w:val="24"/>
        </w:numPr>
        <w:spacing w:before="120" w:after="0" w:line="240" w:lineRule="auto"/>
        <w:ind w:left="1134"/>
      </w:pPr>
      <w:r w:rsidRPr="009D2705">
        <w:t>Z</w:t>
      </w:r>
      <w:r w:rsidR="00AB1D2E" w:rsidRPr="009D2705">
        <w:t xml:space="preserve">avedenie do praxe </w:t>
      </w:r>
      <w:r w:rsidR="00D43092" w:rsidRPr="009D2705">
        <w:t>referenčného kompetenčného modelu pre štátne IT s opisom rolí a požadovaných zručností a</w:t>
      </w:r>
      <w:r w:rsidR="00AB1D2E" w:rsidRPr="009D2705">
        <w:t> </w:t>
      </w:r>
      <w:r w:rsidR="00D43092" w:rsidRPr="009D2705">
        <w:t>vedomostí</w:t>
      </w:r>
      <w:r w:rsidR="00AB1D2E" w:rsidRPr="009D2705">
        <w:t xml:space="preserve"> a s diferenciáciou podľa veľkosti OVM</w:t>
      </w:r>
      <w:r w:rsidR="00D43092" w:rsidRPr="009D2705">
        <w:t>.</w:t>
      </w:r>
    </w:p>
    <w:p w14:paraId="3C7706C2" w14:textId="77777777" w:rsidR="00D43092" w:rsidRPr="009D2705" w:rsidRDefault="70903E8D" w:rsidP="00D43092">
      <w:pPr>
        <w:pStyle w:val="Odsekzoznamu"/>
        <w:rPr>
          <w:rFonts w:ascii="Calibri" w:hAnsi="Calibri" w:cs="Calibri"/>
        </w:rPr>
      </w:pPr>
      <w:r w:rsidRPr="009D2705">
        <w:rPr>
          <w:rFonts w:ascii="Calibri" w:hAnsi="Calibri" w:cs="Calibri"/>
        </w:rPr>
        <w:t>Do roku 2026</w:t>
      </w:r>
    </w:p>
    <w:p w14:paraId="3D4B12D3" w14:textId="77777777" w:rsidR="00D43092" w:rsidRPr="009D2705" w:rsidRDefault="00D43092" w:rsidP="00F06821">
      <w:pPr>
        <w:pStyle w:val="Odsekzoznamu"/>
        <w:numPr>
          <w:ilvl w:val="0"/>
          <w:numId w:val="24"/>
        </w:numPr>
        <w:spacing w:before="120" w:after="0" w:line="240" w:lineRule="auto"/>
        <w:ind w:left="1134"/>
      </w:pPr>
      <w:r w:rsidRPr="009D2705">
        <w:t>Pravidelné monitorovanie zrelosti ľudských zdrojov v štátnom IT voči referenčnému kompetenčnému modelu.</w:t>
      </w:r>
    </w:p>
    <w:p w14:paraId="041DF409" w14:textId="77777777" w:rsidR="77EE2F32" w:rsidRPr="009D2705" w:rsidRDefault="77EE2F32" w:rsidP="00F06821">
      <w:pPr>
        <w:pStyle w:val="Odsekzoznamu"/>
        <w:numPr>
          <w:ilvl w:val="0"/>
          <w:numId w:val="24"/>
        </w:numPr>
        <w:spacing w:before="120" w:after="0" w:line="240" w:lineRule="auto"/>
        <w:ind w:left="1134"/>
        <w:rPr>
          <w:rFonts w:eastAsiaTheme="minorEastAsia" w:cstheme="minorBidi"/>
          <w:szCs w:val="22"/>
        </w:rPr>
      </w:pPr>
      <w:r w:rsidRPr="009D2705">
        <w:t>Všetky OVM, ktoré chcú realizovať IT projekty v záujme transformovania svojich služieb a zlepšenie svojho fungovania, majú určených a preškolených biznis vlastníkov.</w:t>
      </w:r>
    </w:p>
    <w:p w14:paraId="0C27A669" w14:textId="77777777" w:rsidR="77EE2F32" w:rsidRPr="009D2705" w:rsidRDefault="77EE2F32" w:rsidP="00F06821">
      <w:pPr>
        <w:pStyle w:val="Odsekzoznamu"/>
        <w:numPr>
          <w:ilvl w:val="0"/>
          <w:numId w:val="24"/>
        </w:numPr>
        <w:spacing w:before="120" w:after="0" w:line="240" w:lineRule="auto"/>
        <w:ind w:left="1134"/>
        <w:rPr>
          <w:szCs w:val="22"/>
        </w:rPr>
      </w:pPr>
      <w:r w:rsidRPr="009D2705">
        <w:t>Biznis vlastníci preberajú zodpovednosť aj za náklady na IT, ktoré obsluhujú procesy v ich kompetencii.</w:t>
      </w:r>
    </w:p>
    <w:p w14:paraId="6827B2E7" w14:textId="77777777" w:rsidR="00D43092" w:rsidRPr="009D2705" w:rsidRDefault="70903E8D" w:rsidP="00D43092">
      <w:pPr>
        <w:pStyle w:val="Odsekzoznamu"/>
        <w:rPr>
          <w:rFonts w:ascii="Calibri" w:hAnsi="Calibri" w:cs="Calibri"/>
        </w:rPr>
      </w:pPr>
      <w:r w:rsidRPr="009D2705">
        <w:rPr>
          <w:rFonts w:ascii="Calibri" w:hAnsi="Calibri" w:cs="Calibri"/>
        </w:rPr>
        <w:t>Do roku 2030</w:t>
      </w:r>
    </w:p>
    <w:p w14:paraId="560740ED" w14:textId="77777777" w:rsidR="00D43092" w:rsidRPr="009D2705" w:rsidRDefault="00D43092" w:rsidP="00F06821">
      <w:pPr>
        <w:pStyle w:val="Odsekzoznamu"/>
        <w:numPr>
          <w:ilvl w:val="0"/>
          <w:numId w:val="24"/>
        </w:numPr>
        <w:spacing w:before="120" w:after="0" w:line="240" w:lineRule="auto"/>
        <w:ind w:left="1134"/>
      </w:pPr>
      <w:r w:rsidRPr="009D2705">
        <w:t>Zavedenie systému zdieľania interných IT expertov medzi štátnou správou podľa dostupnosti a potreby.</w:t>
      </w:r>
    </w:p>
    <w:p w14:paraId="6F52AB59" w14:textId="77777777" w:rsidR="29DB5114" w:rsidRPr="009D2705" w:rsidRDefault="29DB5114" w:rsidP="00F06821">
      <w:pPr>
        <w:pStyle w:val="Odsekzoznamu"/>
        <w:numPr>
          <w:ilvl w:val="0"/>
          <w:numId w:val="24"/>
        </w:numPr>
        <w:spacing w:before="120" w:after="0" w:line="240" w:lineRule="auto"/>
        <w:ind w:left="1134"/>
        <w:rPr>
          <w:rFonts w:eastAsiaTheme="minorEastAsia" w:cstheme="minorBidi"/>
          <w:szCs w:val="22"/>
        </w:rPr>
      </w:pPr>
      <w:r w:rsidRPr="009D2705">
        <w:t>Biznis vlastníci na OVM sledujú náklady na realizáciu svojich procesov na základe metodiky schválenej orgánom vedenia a prijímajú optimalizačné opatrenia.</w:t>
      </w:r>
    </w:p>
    <w:p w14:paraId="51845AB6" w14:textId="77777777" w:rsidR="00D7472A" w:rsidRPr="00236EBE" w:rsidRDefault="00383D4E" w:rsidP="00E362F7">
      <w:pPr>
        <w:pStyle w:val="Nadpis3"/>
      </w:pPr>
      <w:bookmarkStart w:id="137" w:name="_Toc69297718"/>
      <w:bookmarkStart w:id="138" w:name="_Toc70369681"/>
      <w:bookmarkStart w:id="139" w:name="_Toc70711621"/>
      <w:r>
        <w:t xml:space="preserve">Efektívne </w:t>
      </w:r>
      <w:r w:rsidR="00D7472A">
        <w:t>riadenie</w:t>
      </w:r>
      <w:bookmarkEnd w:id="137"/>
      <w:bookmarkEnd w:id="138"/>
      <w:bookmarkEnd w:id="139"/>
    </w:p>
    <w:p w14:paraId="5D98C8D0" w14:textId="77777777" w:rsidR="77193D69" w:rsidRDefault="77193D69" w:rsidP="3912845A">
      <w:r w:rsidRPr="3912845A">
        <w:rPr>
          <w:rFonts w:ascii="Calibri" w:eastAsia="Calibri" w:hAnsi="Calibri" w:cs="Calibri"/>
        </w:rPr>
        <w:t xml:space="preserve">Vynakladanie verejných zdrojov na digitálnu transformáciu by malo byť efektívne. Na úrovni jednotlivých projektov je táto efektivita reprezentovaná hodnotami z Analýzy nákladov a prínosov (ďalej len „CBA“), prípadne z celkovej ceny vlastníctva (ďalej len „TCO“), ktoré sú posudzované aj Útvarom hodnoty za peniaze Ministerstva financií SR (ďalej len „ÚHP“). </w:t>
      </w:r>
    </w:p>
    <w:p w14:paraId="495CC574" w14:textId="77777777" w:rsidR="77193D69" w:rsidRDefault="77193D69" w:rsidP="3912845A">
      <w:r w:rsidRPr="3912845A">
        <w:rPr>
          <w:rFonts w:ascii="Calibri" w:eastAsia="Calibri" w:hAnsi="Calibri" w:cs="Calibri"/>
        </w:rPr>
        <w:t xml:space="preserve">Na úrovni Enterprise architektúry verejnej správy môže podobnú úlohu tvoriť skóre v modeli vyspelosti schopností orgánov verejnej správy ako za jednotlivé orgány, tak za sektory verejnej správy a aj verejnú správu ako celok. Na základe skóre sa dajú riadiť výdavky na digitálnu transformáciu tak, aby boli efektívne z pohľadu rovnomerného rozvoja konkrétneho orgánu verejnej správy, sektoru verejnej správy ako aj z pohľadu rozvoja celej verejnej správy. </w:t>
      </w:r>
    </w:p>
    <w:p w14:paraId="070FD094" w14:textId="77777777" w:rsidR="77193D69" w:rsidRDefault="77193D69" w:rsidP="3912845A">
      <w:pPr>
        <w:rPr>
          <w:rFonts w:ascii="Calibri" w:eastAsia="Calibri" w:hAnsi="Calibri" w:cs="Calibri"/>
        </w:rPr>
      </w:pPr>
      <w:r w:rsidRPr="3912845A">
        <w:rPr>
          <w:rFonts w:ascii="Calibri" w:eastAsia="Calibri" w:hAnsi="Calibri" w:cs="Calibri"/>
        </w:rPr>
        <w:t>Okamžitým benefitom uvedeného prístupu môže byť spoznanie detailov investičného a procesného dlhu a v dlhodobejšej miere zase lepšie odhady nákladov na budúce vylepšenia.</w:t>
      </w:r>
    </w:p>
    <w:p w14:paraId="04C184A7" w14:textId="77777777" w:rsidR="007246D8" w:rsidRPr="004D73C4" w:rsidRDefault="00FC5596" w:rsidP="3912845A">
      <w:pPr>
        <w:rPr>
          <w:b/>
          <w:bCs/>
        </w:rPr>
      </w:pPr>
      <w:bookmarkStart w:id="140" w:name="_Toc59452908"/>
      <w:r w:rsidRPr="190F7DBA">
        <w:rPr>
          <w:b/>
          <w:bCs/>
        </w:rPr>
        <w:t xml:space="preserve">Opatrenie </w:t>
      </w:r>
      <w:r w:rsidR="3FB98F5D" w:rsidRPr="190F7DBA">
        <w:rPr>
          <w:b/>
          <w:bCs/>
        </w:rPr>
        <w:t>1</w:t>
      </w:r>
      <w:r w:rsidR="006D2332" w:rsidRPr="190F7DBA">
        <w:rPr>
          <w:b/>
          <w:bCs/>
        </w:rPr>
        <w:t xml:space="preserve"> –</w:t>
      </w:r>
      <w:r w:rsidR="007246D8" w:rsidRPr="190F7DBA">
        <w:rPr>
          <w:b/>
          <w:bCs/>
        </w:rPr>
        <w:t xml:space="preserve"> </w:t>
      </w:r>
      <w:r w:rsidR="00895E2F" w:rsidRPr="190F7DBA">
        <w:rPr>
          <w:b/>
          <w:bCs/>
        </w:rPr>
        <w:t>Plánovanie, realizácia a vyhodnocovanie stratégie, legislatívy a financovania ITVS</w:t>
      </w:r>
      <w:r w:rsidR="62CE704B" w:rsidRPr="190F7DBA">
        <w:rPr>
          <w:b/>
          <w:bCs/>
        </w:rPr>
        <w:t xml:space="preserve"> a aplikovanie novej vrstvy riadenia z pohľadu produktov a agilného vývoja</w:t>
      </w:r>
    </w:p>
    <w:p w14:paraId="0F0AA7B4" w14:textId="77777777" w:rsidR="007246D8" w:rsidRPr="004D73C4" w:rsidRDefault="007246D8" w:rsidP="007246D8">
      <w:r>
        <w:t xml:space="preserve">Orgán vedenia snahou o zlepšovanie stavu e-Governmentu vytvára nové požiadavky a povinnosti. Decentralizovaný systém správy a prevádzky </w:t>
      </w:r>
      <w:r w:rsidR="005061E0">
        <w:t xml:space="preserve">ITVS </w:t>
      </w:r>
      <w:r>
        <w:t>zložený z orgánov riadenia musí okrem týchto povinností reagovať na požiadavky a) svojich biznis vlastníkov, b) obnovy informačných technológií a c) riešenia incidentov a problémov prevádzky ITVS. Orgán vedenia zvyšuje komplexnosť prostredia v záujme zlepšenia e-Governmentu</w:t>
      </w:r>
      <w:r w:rsidR="005061E0">
        <w:t>,</w:t>
      </w:r>
      <w:r>
        <w:t xml:space="preserve"> ktorý nie sú orgány riadenia schopné reflektovať. Prostredie aktuálneho stavu a</w:t>
      </w:r>
      <w:r w:rsidR="005061E0">
        <w:t> </w:t>
      </w:r>
      <w:r>
        <w:t>povinností</w:t>
      </w:r>
      <w:r w:rsidR="005061E0">
        <w:t>,</w:t>
      </w:r>
      <w:r>
        <w:t xml:space="preserve"> v ktorej sa e-Government nachádza</w:t>
      </w:r>
      <w:r w:rsidR="005061E0">
        <w:t>,</w:t>
      </w:r>
      <w:r>
        <w:t xml:space="preserve"> je neprehľadné. Následne dochádza k neefektivite vynaložených personálnych a nakoniec aj finančných zdrojov, nekoordinovaným aktivitám a zdĺhavým opravám chýb a nedostatkov. </w:t>
      </w:r>
    </w:p>
    <w:p w14:paraId="26D05E3D" w14:textId="77777777" w:rsidR="6E241A8C" w:rsidRDefault="6E241A8C">
      <w:r>
        <w:t xml:space="preserve">Naviac budovanie štátneho IT sa realizuje v investičných cykloch ovplyvnených prevažne finančnými prostriedkami z EŠIF a teraz aj Plánu obnovy a odolnosti. To spôsobuje skokový prístup, ktorý je charakteristický náročnými projektmi s dlhou dobou realizácie a vysokými rozpočtom. Orgány riadenia nie sú personálne ani procesne vybavené pripraviť, realizovať a vyhodnocovať tento typ projektov. To má za následok vznik systémov, ktorých kvalita je nízka, čo spôsobuje dodatočné opravy počas prevádzky a vznikajú systémy a služby, ktoré nie sú dostatočne využívané, aby dosiahli návratnosť. </w:t>
      </w:r>
    </w:p>
    <w:p w14:paraId="22BC0654" w14:textId="77777777" w:rsidR="6E241A8C" w:rsidRDefault="6E241A8C">
      <w:r>
        <w:t xml:space="preserve">Zmeníme filozofiu návrhu elektronických služieb. Orgány riadenia dnes nemajú kreatívne kapacity s dostatočnou technickou znalosťou prinášať inovácie v oblasti informačných systémov a </w:t>
      </w:r>
      <w:r>
        <w:lastRenderedPageBreak/>
        <w:t>používateľských rozhraní pre elektronické služby verejnej správy s cieľom neustále zvyšovať používateľskú prívetivosť. Spätná väzba od používateľov dnes nevstupuje do prioritizácie požiadaviek a nevyhodnocuje sa kvalita poskytovaných služieb. Služby informačných systémov sú len formálne súčasťou životných situácií. Informačné systému sú dnes cieľom štátneho IT, nie nástrojom na zjednodušenie práce a zvyšovanie spokojnosti zákazníkov.</w:t>
      </w:r>
    </w:p>
    <w:p w14:paraId="224B98E3" w14:textId="77777777" w:rsidR="007246D8" w:rsidRPr="004D73C4" w:rsidRDefault="003F4A82" w:rsidP="007246D8">
      <w:r w:rsidRPr="004D73C4">
        <w:rPr>
          <w:i/>
          <w:iCs/>
        </w:rPr>
        <w:t>Iniciatívy:</w:t>
      </w:r>
    </w:p>
    <w:p w14:paraId="4935042C" w14:textId="77777777" w:rsidR="007246D8" w:rsidRPr="00236EBE" w:rsidRDefault="009D2705" w:rsidP="007246D8">
      <w:pPr>
        <w:pStyle w:val="Odsekzoznamu"/>
        <w:rPr>
          <w:rFonts w:ascii="Calibri" w:hAnsi="Calibri" w:cs="Calibri"/>
        </w:rPr>
      </w:pPr>
      <w:r>
        <w:rPr>
          <w:rFonts w:ascii="Calibri" w:hAnsi="Calibri" w:cs="Calibri"/>
        </w:rPr>
        <w:t>D</w:t>
      </w:r>
      <w:r w:rsidR="4C70951B" w:rsidRPr="190F7DBA">
        <w:rPr>
          <w:rFonts w:ascii="Calibri" w:hAnsi="Calibri" w:cs="Calibri"/>
        </w:rPr>
        <w:t>o roku 2023</w:t>
      </w:r>
    </w:p>
    <w:p w14:paraId="11EDDF4F" w14:textId="77777777" w:rsidR="007246D8" w:rsidRPr="009D2705" w:rsidRDefault="007246D8" w:rsidP="00F06821">
      <w:pPr>
        <w:pStyle w:val="Odsekzoznamu"/>
        <w:numPr>
          <w:ilvl w:val="0"/>
          <w:numId w:val="24"/>
        </w:numPr>
        <w:spacing w:before="120" w:after="0" w:line="240" w:lineRule="auto"/>
        <w:ind w:left="1134"/>
      </w:pPr>
      <w:r w:rsidRPr="009D2705">
        <w:t>Rozhodovanie v štátnom IT je postavené na radikálnej dostupnosti informácií o plánoch, realizácií a hodnotení stratégie, legislatívy a financovania štátneho IT</w:t>
      </w:r>
    </w:p>
    <w:p w14:paraId="6D9C8C93" w14:textId="77777777" w:rsidR="53DD2389" w:rsidRPr="009D2705" w:rsidRDefault="53DD2389" w:rsidP="00F06821">
      <w:pPr>
        <w:pStyle w:val="Odsekzoznamu"/>
        <w:numPr>
          <w:ilvl w:val="0"/>
          <w:numId w:val="24"/>
        </w:numPr>
        <w:spacing w:before="120" w:after="0" w:line="240" w:lineRule="auto"/>
        <w:ind w:left="1134"/>
        <w:rPr>
          <w:rFonts w:eastAsiaTheme="minorEastAsia" w:cstheme="minorBidi"/>
          <w:szCs w:val="22"/>
        </w:rPr>
      </w:pPr>
      <w:r w:rsidRPr="009D2705">
        <w:t>Zavedenie princípov produktového manažmentu a orientácie na používateľa na orgáne vedenia a orgánoch riadenia.</w:t>
      </w:r>
    </w:p>
    <w:p w14:paraId="29C9CA0E" w14:textId="77777777" w:rsidR="701870E0" w:rsidRPr="009D2705" w:rsidRDefault="701870E0" w:rsidP="00F06821">
      <w:pPr>
        <w:pStyle w:val="Odsekzoznamu"/>
        <w:numPr>
          <w:ilvl w:val="0"/>
          <w:numId w:val="24"/>
        </w:numPr>
        <w:spacing w:before="120" w:after="0" w:line="240" w:lineRule="auto"/>
        <w:ind w:left="1134"/>
        <w:jc w:val="left"/>
        <w:rPr>
          <w:szCs w:val="22"/>
        </w:rPr>
      </w:pPr>
      <w:r w:rsidRPr="009D2705">
        <w:rPr>
          <w:rFonts w:ascii="Calibri" w:hAnsi="Calibri"/>
        </w:rPr>
        <w:t xml:space="preserve">Vyhláška o riadení projektov podporuje agilný vývoj a preferuje ex-post hodnotenie pred ex-ante </w:t>
      </w:r>
      <w:r w:rsidR="552E1D2A" w:rsidRPr="009D2705">
        <w:rPr>
          <w:rFonts w:ascii="Calibri" w:hAnsi="Calibri"/>
        </w:rPr>
        <w:t>kontrolou</w:t>
      </w:r>
    </w:p>
    <w:p w14:paraId="3D594F3B" w14:textId="77777777" w:rsidR="101E9F7E" w:rsidRPr="009D2705" w:rsidRDefault="101E9F7E" w:rsidP="00F06821">
      <w:pPr>
        <w:pStyle w:val="Odsekzoznamu"/>
        <w:numPr>
          <w:ilvl w:val="0"/>
          <w:numId w:val="24"/>
        </w:numPr>
        <w:spacing w:before="120" w:after="0" w:line="240" w:lineRule="auto"/>
        <w:ind w:left="1134"/>
        <w:rPr>
          <w:szCs w:val="22"/>
        </w:rPr>
      </w:pPr>
      <w:r w:rsidRPr="009D2705">
        <w:rPr>
          <w:rFonts w:ascii="Calibri" w:hAnsi="Calibri"/>
        </w:rPr>
        <w:t xml:space="preserve">Nový governance model </w:t>
      </w:r>
      <w:r w:rsidR="5D45B32E" w:rsidRPr="009D2705">
        <w:rPr>
          <w:rFonts w:ascii="Calibri" w:hAnsi="Calibri"/>
        </w:rPr>
        <w:t xml:space="preserve">v zákone o ITVS </w:t>
      </w:r>
      <w:r w:rsidRPr="009D2705">
        <w:rPr>
          <w:rFonts w:ascii="Calibri" w:hAnsi="Calibri"/>
        </w:rPr>
        <w:t xml:space="preserve">zredukoval počet </w:t>
      </w:r>
      <w:r w:rsidR="0A3C3B3C" w:rsidRPr="009D2705">
        <w:rPr>
          <w:rFonts w:ascii="Calibri" w:hAnsi="Calibri"/>
        </w:rPr>
        <w:t xml:space="preserve">orgánov riadenia </w:t>
      </w:r>
      <w:r w:rsidR="7984DAFA" w:rsidRPr="009D2705">
        <w:rPr>
          <w:rFonts w:ascii="Calibri" w:hAnsi="Calibri"/>
        </w:rPr>
        <w:t>a posilnil centralizáciu a zodpovednosť rezortov za riadenie IT v PRO</w:t>
      </w:r>
    </w:p>
    <w:p w14:paraId="2641639A" w14:textId="77777777" w:rsidR="007246D8" w:rsidRPr="009D2705" w:rsidRDefault="009D2705" w:rsidP="007246D8">
      <w:pPr>
        <w:pStyle w:val="Odsekzoznamu"/>
        <w:rPr>
          <w:rFonts w:ascii="Calibri" w:hAnsi="Calibri" w:cs="Calibri"/>
        </w:rPr>
      </w:pPr>
      <w:r>
        <w:rPr>
          <w:rFonts w:ascii="Calibri" w:hAnsi="Calibri" w:cs="Calibri"/>
        </w:rPr>
        <w:t>D</w:t>
      </w:r>
      <w:r w:rsidR="4C70951B" w:rsidRPr="009D2705">
        <w:rPr>
          <w:rFonts w:ascii="Calibri" w:hAnsi="Calibri" w:cs="Calibri"/>
        </w:rPr>
        <w:t>o roku 2026</w:t>
      </w:r>
    </w:p>
    <w:p w14:paraId="3596C444" w14:textId="77777777" w:rsidR="007246D8" w:rsidRPr="009D2705" w:rsidRDefault="007246D8" w:rsidP="00F06821">
      <w:pPr>
        <w:pStyle w:val="Odsekzoznamu"/>
        <w:numPr>
          <w:ilvl w:val="0"/>
          <w:numId w:val="24"/>
        </w:numPr>
        <w:spacing w:line="240" w:lineRule="auto"/>
        <w:ind w:left="1134" w:hanging="357"/>
      </w:pPr>
      <w:r w:rsidRPr="009D2705">
        <w:t xml:space="preserve">Kultúra riadenia štátneho IT je založená na dôvere a vyhodnocovaní dosahovania cieľov a merateľných ukazovateľov na jednotlivých </w:t>
      </w:r>
      <w:r w:rsidR="000572D7" w:rsidRPr="009D2705">
        <w:t>ministerstvách</w:t>
      </w:r>
      <w:r w:rsidR="005061E0" w:rsidRPr="009D2705">
        <w:t xml:space="preserve"> a ich </w:t>
      </w:r>
      <w:r w:rsidR="12151187" w:rsidRPr="009D2705">
        <w:t xml:space="preserve">20% </w:t>
      </w:r>
      <w:r w:rsidR="005061E0" w:rsidRPr="009D2705">
        <w:t>informačných systémoch</w:t>
      </w:r>
    </w:p>
    <w:p w14:paraId="73F43CD1" w14:textId="77777777" w:rsidR="007246D8" w:rsidRPr="009D2705" w:rsidRDefault="47A2899F" w:rsidP="00F06821">
      <w:pPr>
        <w:pStyle w:val="Odsekzoznamu"/>
        <w:numPr>
          <w:ilvl w:val="0"/>
          <w:numId w:val="24"/>
        </w:numPr>
        <w:spacing w:line="240" w:lineRule="auto"/>
        <w:ind w:left="1134" w:hanging="357"/>
        <w:rPr>
          <w:rFonts w:eastAsiaTheme="minorEastAsia" w:cstheme="minorBidi"/>
          <w:szCs w:val="22"/>
        </w:rPr>
      </w:pPr>
      <w:r w:rsidRPr="009D2705">
        <w:rPr>
          <w:rFonts w:ascii="Calibri" w:eastAsia="Calibri" w:hAnsi="Calibri" w:cs="Calibri"/>
        </w:rPr>
        <w:t>Zavedenie princípov produktového manažmentu a orientácie na používateľa pre životné situácie</w:t>
      </w:r>
    </w:p>
    <w:p w14:paraId="7BCE0F24" w14:textId="77777777" w:rsidR="007246D8" w:rsidRPr="009D2705" w:rsidRDefault="179C8C4C" w:rsidP="00F06821">
      <w:pPr>
        <w:pStyle w:val="Odsekzoznamu"/>
        <w:numPr>
          <w:ilvl w:val="0"/>
          <w:numId w:val="24"/>
        </w:numPr>
        <w:spacing w:line="240" w:lineRule="auto"/>
        <w:ind w:left="1134" w:hanging="357"/>
        <w:rPr>
          <w:rFonts w:eastAsiaTheme="minorEastAsia" w:cstheme="minorBidi"/>
          <w:szCs w:val="22"/>
        </w:rPr>
      </w:pPr>
      <w:r w:rsidRPr="009D2705">
        <w:rPr>
          <w:rFonts w:ascii="Calibri" w:hAnsi="Calibri"/>
        </w:rPr>
        <w:t>Realizácia IT projektov sa skrátila z 5 až 7 ročného cyklu na 3 až 5 ročný cyklus</w:t>
      </w:r>
    </w:p>
    <w:p w14:paraId="2B27C39A" w14:textId="77777777" w:rsidR="007246D8" w:rsidRPr="009D2705" w:rsidRDefault="449D8DE2" w:rsidP="00F06821">
      <w:pPr>
        <w:pStyle w:val="Odsekzoznamu"/>
        <w:numPr>
          <w:ilvl w:val="0"/>
          <w:numId w:val="24"/>
        </w:numPr>
        <w:spacing w:line="240" w:lineRule="auto"/>
        <w:ind w:left="1134" w:hanging="357"/>
        <w:rPr>
          <w:rFonts w:eastAsiaTheme="minorEastAsia" w:cstheme="minorBidi"/>
          <w:szCs w:val="22"/>
        </w:rPr>
      </w:pPr>
      <w:r w:rsidRPr="009D2705">
        <w:t>2</w:t>
      </w:r>
      <w:r w:rsidR="7CB64613" w:rsidRPr="009D2705">
        <w:t>0% s</w:t>
      </w:r>
      <w:r w:rsidR="30E52B02" w:rsidRPr="009D2705">
        <w:t>ystém</w:t>
      </w:r>
      <w:r w:rsidR="5082E71F" w:rsidRPr="009D2705">
        <w:t>ov</w:t>
      </w:r>
      <w:r w:rsidR="525828EE" w:rsidRPr="009D2705">
        <w:t xml:space="preserve"> štátnej správy</w:t>
      </w:r>
      <w:r w:rsidR="002D7AD4" w:rsidRPr="009D2705">
        <w:t xml:space="preserve"> </w:t>
      </w:r>
      <w:r w:rsidR="26610553" w:rsidRPr="009D2705">
        <w:t>je</w:t>
      </w:r>
      <w:r w:rsidR="30E52B02" w:rsidRPr="009D2705">
        <w:t xml:space="preserve"> budovan</w:t>
      </w:r>
      <w:r w:rsidR="05526BCD" w:rsidRPr="009D2705">
        <w:t>ých</w:t>
      </w:r>
      <w:r w:rsidR="30E52B02" w:rsidRPr="009D2705">
        <w:t xml:space="preserve"> agilným spôsobom pomocou iterácií a viacerých inkrementov.</w:t>
      </w:r>
    </w:p>
    <w:p w14:paraId="2F87B799" w14:textId="40069458" w:rsidR="007246D8" w:rsidRPr="009D2705" w:rsidRDefault="54C3C78F" w:rsidP="009D2705">
      <w:pPr>
        <w:pStyle w:val="Odsekzoznamu"/>
        <w:rPr>
          <w:rFonts w:ascii="Calibri" w:hAnsi="Calibri" w:cs="Calibri"/>
        </w:rPr>
      </w:pPr>
      <w:r w:rsidRPr="009D2705">
        <w:rPr>
          <w:rFonts w:ascii="Calibri" w:hAnsi="Calibri" w:cs="Calibri"/>
        </w:rPr>
        <w:t>Do roku 2030</w:t>
      </w:r>
    </w:p>
    <w:p w14:paraId="049B3B75" w14:textId="77777777" w:rsidR="007246D8" w:rsidRPr="004D73C4" w:rsidRDefault="3EFB8F04" w:rsidP="00F06821">
      <w:pPr>
        <w:pStyle w:val="Odsekzoznamu"/>
        <w:numPr>
          <w:ilvl w:val="0"/>
          <w:numId w:val="24"/>
        </w:numPr>
        <w:spacing w:line="240" w:lineRule="auto"/>
        <w:ind w:left="1134" w:hanging="357"/>
        <w:rPr>
          <w:rFonts w:eastAsiaTheme="minorEastAsia" w:cstheme="minorBidi"/>
          <w:szCs w:val="22"/>
        </w:rPr>
      </w:pPr>
      <w:r>
        <w:t>Kultúra riadenia štátneho IT je založená na dôvere a vyhodnocovaní dosahovania cieľov a merateľných ukazovateľov na 80% ministerstvách a ich informačných systémoch</w:t>
      </w:r>
    </w:p>
    <w:p w14:paraId="5244A6EF" w14:textId="77777777" w:rsidR="007246D8" w:rsidRPr="004D73C4" w:rsidRDefault="3EFB8F04" w:rsidP="00F06821">
      <w:pPr>
        <w:pStyle w:val="Odsekzoznamu"/>
        <w:numPr>
          <w:ilvl w:val="0"/>
          <w:numId w:val="24"/>
        </w:numPr>
        <w:spacing w:line="240" w:lineRule="auto"/>
        <w:ind w:left="1134" w:hanging="357"/>
        <w:rPr>
          <w:szCs w:val="22"/>
        </w:rPr>
      </w:pPr>
      <w:r w:rsidRPr="190F7DBA">
        <w:rPr>
          <w:rFonts w:ascii="Calibri" w:hAnsi="Calibri"/>
        </w:rPr>
        <w:t xml:space="preserve">Realizácia IT projektov sa skrátila z </w:t>
      </w:r>
      <w:r w:rsidR="7D14EAFB" w:rsidRPr="190F7DBA">
        <w:rPr>
          <w:rFonts w:ascii="Calibri" w:hAnsi="Calibri"/>
        </w:rPr>
        <w:t>3</w:t>
      </w:r>
      <w:r w:rsidRPr="190F7DBA">
        <w:rPr>
          <w:rFonts w:ascii="Calibri" w:hAnsi="Calibri"/>
        </w:rPr>
        <w:t xml:space="preserve"> až </w:t>
      </w:r>
      <w:r w:rsidR="3EEE3AA1" w:rsidRPr="190F7DBA">
        <w:rPr>
          <w:rFonts w:ascii="Calibri" w:hAnsi="Calibri"/>
        </w:rPr>
        <w:t>5</w:t>
      </w:r>
      <w:r w:rsidRPr="190F7DBA">
        <w:rPr>
          <w:rFonts w:ascii="Calibri" w:hAnsi="Calibri"/>
        </w:rPr>
        <w:t xml:space="preserve"> ročného cyklu na </w:t>
      </w:r>
      <w:r w:rsidR="6FABC956" w:rsidRPr="190F7DBA">
        <w:rPr>
          <w:rFonts w:ascii="Calibri" w:hAnsi="Calibri"/>
        </w:rPr>
        <w:t>2</w:t>
      </w:r>
      <w:r w:rsidRPr="190F7DBA">
        <w:rPr>
          <w:rFonts w:ascii="Calibri" w:hAnsi="Calibri"/>
        </w:rPr>
        <w:t xml:space="preserve"> až </w:t>
      </w:r>
      <w:r w:rsidR="45C5DED9" w:rsidRPr="190F7DBA">
        <w:rPr>
          <w:rFonts w:ascii="Calibri" w:hAnsi="Calibri"/>
        </w:rPr>
        <w:t>3</w:t>
      </w:r>
      <w:r w:rsidRPr="190F7DBA">
        <w:rPr>
          <w:rFonts w:ascii="Calibri" w:hAnsi="Calibri"/>
        </w:rPr>
        <w:t xml:space="preserve"> ročný cyklus</w:t>
      </w:r>
    </w:p>
    <w:p w14:paraId="2EC4F7D7" w14:textId="77777777" w:rsidR="00FA5EF2" w:rsidRPr="00F92D31" w:rsidRDefault="4A58BF3C" w:rsidP="00F06821">
      <w:pPr>
        <w:pStyle w:val="Odsekzoznamu"/>
        <w:numPr>
          <w:ilvl w:val="0"/>
          <w:numId w:val="24"/>
        </w:numPr>
        <w:spacing w:line="240" w:lineRule="auto"/>
        <w:ind w:left="1134" w:hanging="357"/>
      </w:pPr>
      <w:r>
        <w:t>80% s</w:t>
      </w:r>
      <w:r w:rsidR="3EFB8F04">
        <w:t>ystém</w:t>
      </w:r>
      <w:r w:rsidR="358FC56F">
        <w:t>ov</w:t>
      </w:r>
      <w:r w:rsidR="2415653D">
        <w:t xml:space="preserve"> verejnej </w:t>
      </w:r>
      <w:r w:rsidR="6EA143F2">
        <w:t>správy</w:t>
      </w:r>
      <w:r w:rsidR="3EFB8F04">
        <w:t xml:space="preserve"> </w:t>
      </w:r>
      <w:r w:rsidR="3B80C14B">
        <w:t>je</w:t>
      </w:r>
      <w:r w:rsidR="3EFB8F04">
        <w:t xml:space="preserve"> </w:t>
      </w:r>
      <w:r w:rsidR="369C420E">
        <w:t>budovaných</w:t>
      </w:r>
      <w:r w:rsidR="3EFB8F04">
        <w:t xml:space="preserve"> agilným spôsobom pomocou iterácií a viacerých inkrementov.</w:t>
      </w:r>
      <w:bookmarkEnd w:id="140"/>
    </w:p>
    <w:p w14:paraId="15E0BF8E" w14:textId="49D87AEC" w:rsidR="00746A51" w:rsidRDefault="00746A51">
      <w:pPr>
        <w:spacing w:after="200" w:line="276" w:lineRule="auto"/>
        <w:jc w:val="left"/>
        <w:rPr>
          <w:rFonts w:eastAsiaTheme="majorEastAsia" w:cs="Times New Roman"/>
          <w:sz w:val="28"/>
          <w:szCs w:val="26"/>
        </w:rPr>
      </w:pPr>
      <w:r>
        <w:rPr>
          <w:rFonts w:eastAsiaTheme="majorEastAsia" w:cs="Times New Roman"/>
          <w:sz w:val="28"/>
          <w:szCs w:val="26"/>
        </w:rPr>
        <w:br w:type="page"/>
      </w:r>
    </w:p>
    <w:p w14:paraId="6A2174B0" w14:textId="77777777" w:rsidR="0AF738ED" w:rsidRDefault="0AF738ED" w:rsidP="190F7DBA">
      <w:pPr>
        <w:pStyle w:val="Nadpis2"/>
      </w:pPr>
      <w:bookmarkStart w:id="141" w:name="_Toc70711622"/>
      <w:r>
        <w:lastRenderedPageBreak/>
        <w:t>Orientačný harmonogram opatrení</w:t>
      </w:r>
      <w:bookmarkEnd w:id="141"/>
    </w:p>
    <w:p w14:paraId="2086766E" w14:textId="77777777" w:rsidR="08062131" w:rsidRDefault="08062131" w:rsidP="190F7DBA">
      <w:r>
        <w:t>V n</w:t>
      </w:r>
      <w:r w:rsidR="4538C356">
        <w:t>asledovn</w:t>
      </w:r>
      <w:r w:rsidR="75356FAD">
        <w:t>om</w:t>
      </w:r>
      <w:r w:rsidR="28AA5F60">
        <w:t xml:space="preserve"> prehľade </w:t>
      </w:r>
      <w:r w:rsidR="46602266">
        <w:t xml:space="preserve">je </w:t>
      </w:r>
      <w:r w:rsidR="25158902">
        <w:t>znázornená predpokladaná dostupnosť</w:t>
      </w:r>
      <w:r w:rsidR="1C6AB3F2">
        <w:t xml:space="preserve"> </w:t>
      </w:r>
      <w:r w:rsidR="251702BA">
        <w:t xml:space="preserve">hlavných </w:t>
      </w:r>
      <w:r w:rsidR="1C6AB3F2">
        <w:t>výsledkov</w:t>
      </w:r>
      <w:r w:rsidR="0874E9DB">
        <w:t xml:space="preserve"> </w:t>
      </w:r>
      <w:r w:rsidR="1C6AB3F2">
        <w:t>navrhnutých opatrení</w:t>
      </w:r>
      <w:r w:rsidR="4C5A219D">
        <w:t>.</w:t>
      </w:r>
    </w:p>
    <w:p w14:paraId="617A226A" w14:textId="50EB201E" w:rsidR="00CB0CBB" w:rsidRPr="00F10B43" w:rsidRDefault="00CD65E5" w:rsidP="00F10B43">
      <w:pPr>
        <w:pStyle w:val="Popis"/>
      </w:pPr>
      <w:r>
        <w:rPr>
          <w:noProof/>
          <w:lang w:eastAsia="sk-SK"/>
        </w:rPr>
        <w:drawing>
          <wp:inline distT="0" distB="0" distL="0" distR="0" wp14:anchorId="01906EB0" wp14:editId="7ABC3714">
            <wp:extent cx="5760000" cy="2649819"/>
            <wp:effectExtent l="19050" t="19050" r="12700" b="1778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649819"/>
                    </a:xfrm>
                    <a:prstGeom prst="rect">
                      <a:avLst/>
                    </a:prstGeom>
                    <a:noFill/>
                    <a:ln>
                      <a:solidFill>
                        <a:schemeClr val="tx2">
                          <a:lumMod val="60000"/>
                          <a:lumOff val="40000"/>
                        </a:schemeClr>
                      </a:solidFill>
                    </a:ln>
                  </pic:spPr>
                </pic:pic>
              </a:graphicData>
            </a:graphic>
          </wp:inline>
        </w:drawing>
      </w:r>
      <w:r w:rsidR="478FC0E1" w:rsidRPr="00F10B43">
        <w:t xml:space="preserve">Tabuľka </w:t>
      </w:r>
      <w:r>
        <w:fldChar w:fldCharType="begin"/>
      </w:r>
      <w:r>
        <w:instrText>SEQ Tabuľka \* ARABIC</w:instrText>
      </w:r>
      <w:r>
        <w:fldChar w:fldCharType="separate"/>
      </w:r>
      <w:r w:rsidR="00873A9F">
        <w:rPr>
          <w:noProof/>
        </w:rPr>
        <w:t>2</w:t>
      </w:r>
      <w:r>
        <w:fldChar w:fldCharType="end"/>
      </w:r>
      <w:r w:rsidR="478FC0E1" w:rsidRPr="00F10B43">
        <w:t xml:space="preserve">: </w:t>
      </w:r>
      <w:r>
        <w:t>Orientačný č</w:t>
      </w:r>
      <w:r w:rsidR="767BE721" w:rsidRPr="00F10B43">
        <w:t xml:space="preserve">asový plán </w:t>
      </w:r>
      <w:r>
        <w:t>dostupnosti vybraných služieb</w:t>
      </w:r>
    </w:p>
    <w:p w14:paraId="25872F26" w14:textId="77777777" w:rsidR="00D207AF" w:rsidRPr="004D73C4" w:rsidRDefault="00D207AF" w:rsidP="00D207AF">
      <w:pPr>
        <w:pStyle w:val="Nadpis1"/>
      </w:pPr>
      <w:bookmarkStart w:id="142" w:name="_Toc69297719"/>
      <w:bookmarkStart w:id="143" w:name="_Toc70369682"/>
      <w:bookmarkStart w:id="144" w:name="_Toc58697743"/>
      <w:bookmarkStart w:id="145" w:name="_Toc58861275"/>
      <w:bookmarkStart w:id="146" w:name="_Toc62481002"/>
      <w:bookmarkStart w:id="147" w:name="_Ref63583944"/>
      <w:bookmarkStart w:id="148" w:name="_Toc62481035"/>
      <w:bookmarkStart w:id="149" w:name="_Toc70711623"/>
      <w:r w:rsidRPr="004D73C4">
        <w:lastRenderedPageBreak/>
        <w:t xml:space="preserve">Architektúra verejnej </w:t>
      </w:r>
      <w:r w:rsidR="0025669C" w:rsidRPr="004D73C4">
        <w:t>správy</w:t>
      </w:r>
      <w:bookmarkEnd w:id="142"/>
      <w:bookmarkEnd w:id="143"/>
      <w:bookmarkEnd w:id="149"/>
    </w:p>
    <w:p w14:paraId="4E289B32" w14:textId="77777777" w:rsidR="00D3020E" w:rsidRDefault="00D3020E" w:rsidP="0025669C">
      <w:r>
        <w:t>Definícia strategických cieľov smeruje k transformácii verejnej správy na platformu otvorenej verejnej správy (o-government), kde organizácia práce verejnej správy využíva</w:t>
      </w:r>
      <w:r w:rsidRPr="000E2089">
        <w:t xml:space="preserve"> sieť spoločne využívaných komponentov a ich </w:t>
      </w:r>
      <w:r>
        <w:t xml:space="preserve">služieb a </w:t>
      </w:r>
      <w:r w:rsidRPr="000E2089">
        <w:t>rozhraní, otvorených štandardov, spoločne využívaných dát, aby pracovníci verejnej správy a partneri verejnej správy mohli spolupracovať pri poskytovaní radikálne lepších služieb verejnosti efektívnejšie, bezpečnejšie a zodpovednejšie.</w:t>
      </w:r>
    </w:p>
    <w:p w14:paraId="06D6B791" w14:textId="77777777" w:rsidR="00D3020E" w:rsidRDefault="00D3020E" w:rsidP="0025669C">
      <w:r>
        <w:rPr>
          <w:noProof/>
          <w:color w:val="2B579A"/>
          <w:shd w:val="clear" w:color="auto" w:fill="E6E6E6"/>
          <w:lang w:eastAsia="sk-SK"/>
        </w:rPr>
        <w:drawing>
          <wp:anchor distT="0" distB="0" distL="114300" distR="114300" simplePos="0" relativeHeight="251694080" behindDoc="0" locked="0" layoutInCell="1" allowOverlap="1" wp14:anchorId="3010D7F6" wp14:editId="1139CCA1">
            <wp:simplePos x="0" y="0"/>
            <wp:positionH relativeFrom="margin">
              <wp:align>left</wp:align>
            </wp:positionH>
            <wp:positionV relativeFrom="paragraph">
              <wp:posOffset>317500</wp:posOffset>
            </wp:positionV>
            <wp:extent cx="6219190" cy="1915795"/>
            <wp:effectExtent l="0" t="0" r="0" b="8255"/>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9190" cy="1915795"/>
                    </a:xfrm>
                    <a:prstGeom prst="rect">
                      <a:avLst/>
                    </a:prstGeom>
                    <a:noFill/>
                  </pic:spPr>
                </pic:pic>
              </a:graphicData>
            </a:graphic>
            <wp14:sizeRelH relativeFrom="page">
              <wp14:pctWidth>0</wp14:pctWidth>
            </wp14:sizeRelH>
            <wp14:sizeRelV relativeFrom="page">
              <wp14:pctHeight>0</wp14:pctHeight>
            </wp14:sizeRelV>
          </wp:anchor>
        </w:drawing>
      </w:r>
      <w:r w:rsidR="6AC2C4C5">
        <w:t>Nasledovný obrázok ilustruje vrstvy konceptu otvorenej platformy verejnej správy:</w:t>
      </w:r>
    </w:p>
    <w:p w14:paraId="764CE673" w14:textId="21A5001B" w:rsidR="0025669C" w:rsidRDefault="0025669C" w:rsidP="0025669C">
      <w:pPr>
        <w:pStyle w:val="Popis"/>
      </w:pPr>
      <w:r>
        <w:t xml:space="preserve">Obrázok </w:t>
      </w:r>
      <w:r>
        <w:fldChar w:fldCharType="begin"/>
      </w:r>
      <w:r>
        <w:instrText>SEQ Obrázok \* ARABIC</w:instrText>
      </w:r>
      <w:r>
        <w:fldChar w:fldCharType="separate"/>
      </w:r>
      <w:r w:rsidR="00873A9F">
        <w:rPr>
          <w:noProof/>
        </w:rPr>
        <w:t>3</w:t>
      </w:r>
      <w:r>
        <w:fldChar w:fldCharType="end"/>
      </w:r>
      <w:r>
        <w:t xml:space="preserve">: </w:t>
      </w:r>
      <w:r w:rsidRPr="0025669C">
        <w:t>Transformácia k otvorenej verejnej správe</w:t>
      </w:r>
    </w:p>
    <w:p w14:paraId="7F31D37E" w14:textId="77777777" w:rsidR="00D3020E" w:rsidRPr="004D73C4" w:rsidRDefault="00D3020E" w:rsidP="00D3020E">
      <w:r>
        <w:t>Zá</w:t>
      </w:r>
      <w:r w:rsidRPr="004D73C4">
        <w:t xml:space="preserve">kladnými spoločnými </w:t>
      </w:r>
      <w:r>
        <w:t xml:space="preserve">požiadavkami vyplývajúcimi z tohto smerovania </w:t>
      </w:r>
      <w:r w:rsidRPr="004D73C4">
        <w:t xml:space="preserve">verejnej správy </w:t>
      </w:r>
      <w:r>
        <w:t xml:space="preserve">na architektúru </w:t>
      </w:r>
      <w:r w:rsidRPr="004D73C4">
        <w:t>sú:</w:t>
      </w:r>
    </w:p>
    <w:p w14:paraId="358B8395" w14:textId="77777777" w:rsidR="00D3020E" w:rsidRPr="00236EBE" w:rsidRDefault="00D3020E" w:rsidP="00F06821">
      <w:pPr>
        <w:pStyle w:val="Odsekzoznamu"/>
        <w:numPr>
          <w:ilvl w:val="0"/>
          <w:numId w:val="31"/>
        </w:numPr>
      </w:pPr>
      <w:r>
        <w:t xml:space="preserve">Zvýšenie rozsahu integrácie a dosiahnutie vyššej integrácie </w:t>
      </w:r>
      <w:r w:rsidR="60207043">
        <w:t xml:space="preserve">vizuálnej, </w:t>
      </w:r>
      <w:r>
        <w:t>zážitkovej, informačnej, procesnej aj technologickej. Zabezpečenie plynulého spracovania požiadaviek od začiatku do konca. Integrácia nielen na úrovni informačných systémov ale aj zvýšenie rozsahu spolupráce orgánov verejnej správy podporenej</w:t>
      </w:r>
      <w:r w:rsidR="0025669C">
        <w:t xml:space="preserve"> aj informačnými technológiami.</w:t>
      </w:r>
    </w:p>
    <w:p w14:paraId="4443B9E1" w14:textId="77777777" w:rsidR="00D3020E" w:rsidRPr="00236EBE" w:rsidRDefault="00D3020E" w:rsidP="00F06821">
      <w:pPr>
        <w:pStyle w:val="Odsekzoznamu"/>
        <w:numPr>
          <w:ilvl w:val="0"/>
          <w:numId w:val="31"/>
        </w:numPr>
      </w:pPr>
      <w:r>
        <w:t>Zvýšenie využívania spoločných stavebných blokov architektúry, dát a IT infraštruktúry verejnej správy</w:t>
      </w:r>
      <w:r w:rsidR="3897A08D">
        <w:t xml:space="preserve"> a</w:t>
      </w:r>
      <w:r>
        <w:t xml:space="preserve"> eliminácia duplicít. </w:t>
      </w:r>
    </w:p>
    <w:p w14:paraId="753EC2E7" w14:textId="77777777" w:rsidR="00D3020E" w:rsidRPr="00236EBE" w:rsidRDefault="00D3020E" w:rsidP="00F06821">
      <w:pPr>
        <w:pStyle w:val="Odsekzoznamu"/>
        <w:numPr>
          <w:ilvl w:val="0"/>
          <w:numId w:val="31"/>
        </w:numPr>
      </w:pPr>
      <w:r>
        <w:t>Vyššie využívanie spätnej väzby, monitoringu úrovne služieb a okolia verejnej správy pre zabezpečenie transparentnosti verejnej správy a neustále zlepšovanie služieb verejnej správy</w:t>
      </w:r>
      <w:r w:rsidR="2CBD6E91">
        <w:t>.</w:t>
      </w:r>
    </w:p>
    <w:p w14:paraId="03C813C7" w14:textId="77777777" w:rsidR="00D3020E" w:rsidRPr="00236EBE" w:rsidRDefault="00D3020E" w:rsidP="00F06821">
      <w:pPr>
        <w:pStyle w:val="Odsekzoznamu"/>
        <w:numPr>
          <w:ilvl w:val="0"/>
          <w:numId w:val="31"/>
        </w:numPr>
      </w:pPr>
      <w:r w:rsidRPr="00236EBE">
        <w:t>Optimálna úroveň bezpečnosti, aby prvky bezpečnosti boli aplikované v optimálnej miere odpovedajúcej potenciálnym rizikám a zbytočne nepredražovali riešenie a neboli prekážkou brániacou širšiemu využitiu služieb.</w:t>
      </w:r>
    </w:p>
    <w:p w14:paraId="2DAB7683" w14:textId="77777777" w:rsidR="00D3020E" w:rsidRPr="00236EBE" w:rsidRDefault="00D3020E" w:rsidP="00D3020E">
      <w:r w:rsidRPr="00236EBE">
        <w:t>Výsledkom bude dosiahnutie zjednoteného vnímania verejnej správy ako jednotnej a integrovanej platformy poskytovania služieb a zefektívnenie jej vnútorného fungovania odstránením zbytočných aktivít a duplicít.</w:t>
      </w:r>
    </w:p>
    <w:p w14:paraId="25EE426E" w14:textId="77777777" w:rsidR="00D3020E" w:rsidRDefault="00387962" w:rsidP="00387962">
      <w:r w:rsidRPr="00236EBE">
        <w:t>Z</w:t>
      </w:r>
      <w:r w:rsidR="00D3020E" w:rsidRPr="00236EBE">
        <w:t>o spoločných predpokladov pre realizáciu strategických cieľov, z konceptu otvorenej platformy verejnej správy a z Európskeho rámca interoperability (EIF), ktorý poskytuje prostredníctvom série odporúčaní usmernenia orgánom verejnej správy o tom, ako zlepšiť riadenie svojich činností pre dosiahnutie interoperability boli odvodené nasledovné princípy, ktoré vyjadrujú hlavné myšlienky podporujúce ciele informatizácie verejnej správy a ktoré by mali byť stelesnené Enterprise architektúrou a architektúrou informačných systémov verejnej správy:</w:t>
      </w:r>
    </w:p>
    <w:p w14:paraId="40772A56" w14:textId="17E0C9DB" w:rsidR="00D3020E" w:rsidRDefault="0025669C" w:rsidP="0025669C">
      <w:pPr>
        <w:pStyle w:val="Popis"/>
      </w:pPr>
      <w:r>
        <w:rPr>
          <w:noProof/>
          <w:color w:val="2B579A"/>
          <w:shd w:val="clear" w:color="auto" w:fill="E6E6E6"/>
          <w:lang w:eastAsia="sk-SK"/>
        </w:rPr>
        <w:lastRenderedPageBreak/>
        <w:drawing>
          <wp:anchor distT="0" distB="0" distL="114300" distR="114300" simplePos="0" relativeHeight="251697152" behindDoc="0" locked="0" layoutInCell="1" allowOverlap="1" wp14:anchorId="716BE68F" wp14:editId="142727CD">
            <wp:simplePos x="0" y="0"/>
            <wp:positionH relativeFrom="margin">
              <wp:align>center</wp:align>
            </wp:positionH>
            <wp:positionV relativeFrom="paragraph">
              <wp:posOffset>0</wp:posOffset>
            </wp:positionV>
            <wp:extent cx="5760000" cy="2755556"/>
            <wp:effectExtent l="0" t="0" r="0" b="6985"/>
            <wp:wrapTopAndBottom/>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2755556"/>
                    </a:xfrm>
                    <a:prstGeom prst="rect">
                      <a:avLst/>
                    </a:prstGeom>
                    <a:noFill/>
                  </pic:spPr>
                </pic:pic>
              </a:graphicData>
            </a:graphic>
            <wp14:sizeRelH relativeFrom="page">
              <wp14:pctWidth>0</wp14:pctWidth>
            </wp14:sizeRelH>
            <wp14:sizeRelV relativeFrom="page">
              <wp14:pctHeight>0</wp14:pctHeight>
            </wp14:sizeRelV>
          </wp:anchor>
        </w:drawing>
      </w:r>
      <w:r w:rsidR="23E6A756">
        <w:t xml:space="preserve">Obrázok </w:t>
      </w:r>
      <w:r>
        <w:fldChar w:fldCharType="begin"/>
      </w:r>
      <w:r>
        <w:instrText>SEQ Obrázok \* ARABIC</w:instrText>
      </w:r>
      <w:r>
        <w:fldChar w:fldCharType="separate"/>
      </w:r>
      <w:r w:rsidR="00873A9F">
        <w:rPr>
          <w:noProof/>
        </w:rPr>
        <w:t>4</w:t>
      </w:r>
      <w:r>
        <w:fldChar w:fldCharType="end"/>
      </w:r>
      <w:r w:rsidR="23E6A756">
        <w:t xml:space="preserve">: </w:t>
      </w:r>
      <w:r w:rsidR="23E6A756" w:rsidRPr="0025669C">
        <w:t>Hlavné princípy pre rozvoj architektúry verejnej správy</w:t>
      </w:r>
    </w:p>
    <w:p w14:paraId="369FFDCF" w14:textId="77777777" w:rsidR="0070756E" w:rsidRDefault="0070756E" w:rsidP="0070756E">
      <w:r>
        <w:t>Detailný popis princípov je uvedený v</w:t>
      </w:r>
      <w:r w:rsidR="008E764E">
        <w:t> </w:t>
      </w:r>
      <w:r>
        <w:t>prílohe</w:t>
      </w:r>
      <w:r w:rsidR="008E764E">
        <w:t xml:space="preserve"> </w:t>
      </w:r>
      <w:r w:rsidR="008E764E" w:rsidRPr="008E764E">
        <w:t>č. 4 – Princípy pre rozvoj architektúry ITVS</w:t>
      </w:r>
      <w:r>
        <w:t xml:space="preserve">. </w:t>
      </w:r>
    </w:p>
    <w:p w14:paraId="32D8BC80" w14:textId="77777777" w:rsidR="00D3020E" w:rsidRPr="009F22E8" w:rsidRDefault="00D3020E" w:rsidP="00D3020E">
      <w:r w:rsidRPr="009F22E8">
        <w:t>Základné</w:t>
      </w:r>
      <w:r>
        <w:t xml:space="preserve"> architektonické bloky pre realizáciu transformácie architektúry verejnej správy </w:t>
      </w:r>
      <w:r w:rsidRPr="009F22E8">
        <w:t>ilustruje nasledovný obrázok a stručne popisuje nasledovný prehľad. Aplikácia transformácie v každej vrstve architektúry vyplýva z charakteristík stavebných blokov danej vrstvy a okrem toho každá vrs</w:t>
      </w:r>
      <w:r>
        <w:t>tva využíva výsledky transformácie</w:t>
      </w:r>
      <w:r w:rsidRPr="009F22E8">
        <w:t xml:space="preserve"> v ostatných vrstvách.</w:t>
      </w:r>
    </w:p>
    <w:p w14:paraId="3FC44D39" w14:textId="5B08F288" w:rsidR="00D3020E" w:rsidRPr="0070756E" w:rsidRDefault="0070756E" w:rsidP="0070756E">
      <w:pPr>
        <w:pStyle w:val="Popis"/>
      </w:pPr>
      <w:r w:rsidRPr="0070756E">
        <w:rPr>
          <w:noProof/>
          <w:color w:val="2B579A"/>
          <w:shd w:val="clear" w:color="auto" w:fill="E6E6E6"/>
          <w:lang w:eastAsia="sk-SK"/>
        </w:rPr>
        <w:drawing>
          <wp:anchor distT="0" distB="0" distL="114300" distR="114300" simplePos="0" relativeHeight="251699200" behindDoc="0" locked="0" layoutInCell="1" allowOverlap="1" wp14:anchorId="608167A4" wp14:editId="5F71E1C8">
            <wp:simplePos x="0" y="0"/>
            <wp:positionH relativeFrom="margin">
              <wp:align>center</wp:align>
            </wp:positionH>
            <wp:positionV relativeFrom="paragraph">
              <wp:posOffset>0</wp:posOffset>
            </wp:positionV>
            <wp:extent cx="4441825" cy="4679950"/>
            <wp:effectExtent l="0" t="0" r="0" b="6350"/>
            <wp:wrapTopAndBottom/>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1825" cy="4679950"/>
                    </a:xfrm>
                    <a:prstGeom prst="rect">
                      <a:avLst/>
                    </a:prstGeom>
                    <a:noFill/>
                  </pic:spPr>
                </pic:pic>
              </a:graphicData>
            </a:graphic>
            <wp14:sizeRelH relativeFrom="page">
              <wp14:pctWidth>0</wp14:pctWidth>
            </wp14:sizeRelH>
            <wp14:sizeRelV relativeFrom="page">
              <wp14:pctHeight>0</wp14:pctHeight>
            </wp14:sizeRelV>
          </wp:anchor>
        </w:drawing>
      </w:r>
      <w:r w:rsidR="1F4A7C06" w:rsidRPr="0070756E">
        <w:t xml:space="preserve">Obrázok </w:t>
      </w:r>
      <w:r>
        <w:fldChar w:fldCharType="begin"/>
      </w:r>
      <w:r>
        <w:instrText>SEQ Obrázok \* ARABIC</w:instrText>
      </w:r>
      <w:r>
        <w:fldChar w:fldCharType="separate"/>
      </w:r>
      <w:r w:rsidR="00873A9F">
        <w:rPr>
          <w:noProof/>
        </w:rPr>
        <w:t>5</w:t>
      </w:r>
      <w:r>
        <w:fldChar w:fldCharType="end"/>
      </w:r>
      <w:r w:rsidR="1F4A7C06" w:rsidRPr="0070756E">
        <w:t>: Prehľad hlavných architektonických blokov transformácie architektúry verejnej správy</w:t>
      </w:r>
    </w:p>
    <w:tbl>
      <w:tblPr>
        <w:tblStyle w:val="Mriekatabuky"/>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76"/>
        <w:gridCol w:w="5022"/>
        <w:gridCol w:w="3764"/>
      </w:tblGrid>
      <w:tr w:rsidR="00BF19B1" w:rsidRPr="00BF19B1" w14:paraId="163C3EAC" w14:textId="77777777" w:rsidTr="55E2BB36">
        <w:trPr>
          <w:tblHeader/>
        </w:trPr>
        <w:tc>
          <w:tcPr>
            <w:tcW w:w="152" w:type="pct"/>
            <w:shd w:val="clear" w:color="auto" w:fill="548DD4" w:themeFill="text2" w:themeFillTint="99"/>
          </w:tcPr>
          <w:p w14:paraId="68D34B90" w14:textId="77777777" w:rsidR="00F10E40" w:rsidRPr="00BF19B1" w:rsidRDefault="00F10E40" w:rsidP="00F10E40">
            <w:pPr>
              <w:jc w:val="center"/>
              <w:rPr>
                <w:rFonts w:cstheme="minorHAnsi"/>
                <w:b/>
                <w:bCs/>
                <w:color w:val="FFFFFF" w:themeColor="background1"/>
                <w:sz w:val="22"/>
                <w:szCs w:val="22"/>
              </w:rPr>
            </w:pPr>
          </w:p>
        </w:tc>
        <w:tc>
          <w:tcPr>
            <w:tcW w:w="2771" w:type="pct"/>
            <w:shd w:val="clear" w:color="auto" w:fill="548DD4" w:themeFill="text2" w:themeFillTint="99"/>
          </w:tcPr>
          <w:p w14:paraId="0D06B493" w14:textId="77777777" w:rsidR="00F10E40" w:rsidRPr="00BF19B1" w:rsidRDefault="00BF19B1" w:rsidP="00F10E40">
            <w:pPr>
              <w:jc w:val="center"/>
              <w:rPr>
                <w:rFonts w:cstheme="minorHAnsi"/>
                <w:b/>
                <w:bCs/>
                <w:color w:val="FFFFFF" w:themeColor="background1"/>
                <w:sz w:val="22"/>
                <w:szCs w:val="22"/>
              </w:rPr>
            </w:pPr>
            <w:r w:rsidRPr="00BF19B1">
              <w:rPr>
                <w:rFonts w:cstheme="minorHAnsi"/>
                <w:b/>
                <w:bCs/>
                <w:color w:val="FFFFFF" w:themeColor="background1"/>
                <w:sz w:val="22"/>
                <w:szCs w:val="22"/>
              </w:rPr>
              <w:t>Transformácie vo vrstve</w:t>
            </w:r>
          </w:p>
        </w:tc>
        <w:tc>
          <w:tcPr>
            <w:tcW w:w="2077" w:type="pct"/>
            <w:shd w:val="clear" w:color="auto" w:fill="548DD4" w:themeFill="text2" w:themeFillTint="99"/>
          </w:tcPr>
          <w:p w14:paraId="554A1609" w14:textId="77777777" w:rsidR="00F10E40" w:rsidRPr="00BF19B1" w:rsidRDefault="00BF19B1" w:rsidP="00F10E40">
            <w:pPr>
              <w:jc w:val="center"/>
              <w:rPr>
                <w:rFonts w:cstheme="minorHAnsi"/>
                <w:b/>
                <w:bCs/>
                <w:color w:val="FFFFFF" w:themeColor="background1"/>
                <w:sz w:val="22"/>
                <w:szCs w:val="22"/>
              </w:rPr>
            </w:pPr>
            <w:r w:rsidRPr="00BF19B1">
              <w:rPr>
                <w:rFonts w:cstheme="minorHAnsi"/>
                <w:b/>
                <w:bCs/>
                <w:color w:val="FFFFFF" w:themeColor="background1"/>
                <w:sz w:val="22"/>
                <w:szCs w:val="22"/>
              </w:rPr>
              <w:t>Využitie výsledkov transformácie z ostatných vrstiev</w:t>
            </w:r>
          </w:p>
        </w:tc>
      </w:tr>
      <w:tr w:rsidR="00AE4433" w:rsidRPr="00BF19B1" w14:paraId="6305A611" w14:textId="77777777" w:rsidTr="55E2BB36">
        <w:trPr>
          <w:trHeight w:val="170"/>
        </w:trPr>
        <w:tc>
          <w:tcPr>
            <w:tcW w:w="5000" w:type="pct"/>
            <w:gridSpan w:val="3"/>
            <w:vAlign w:val="center"/>
          </w:tcPr>
          <w:p w14:paraId="203D1970" w14:textId="77777777" w:rsidR="00F10E40" w:rsidRPr="00BF19B1" w:rsidRDefault="00F10E40" w:rsidP="003F4748">
            <w:pPr>
              <w:jc w:val="left"/>
            </w:pPr>
            <w:r w:rsidRPr="00BF19B1">
              <w:rPr>
                <w:b/>
              </w:rPr>
              <w:t>Prístupové miesta a prístupové komponenty</w:t>
            </w:r>
          </w:p>
        </w:tc>
      </w:tr>
      <w:tr w:rsidR="00BF19B1" w:rsidRPr="00BF19B1" w14:paraId="36E58E19" w14:textId="77777777" w:rsidTr="55E2BB36">
        <w:tc>
          <w:tcPr>
            <w:tcW w:w="152" w:type="pct"/>
          </w:tcPr>
          <w:p w14:paraId="6AC0C5D8" w14:textId="77777777" w:rsidR="00F10E40" w:rsidRPr="00BF19B1" w:rsidRDefault="00F10E40" w:rsidP="00F10E40"/>
        </w:tc>
        <w:tc>
          <w:tcPr>
            <w:tcW w:w="2771" w:type="pct"/>
          </w:tcPr>
          <w:p w14:paraId="0072F05A"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Aplikácia jednotného dizajnu na služby poskytované cez grafické používateľské rozhranie (ústredný portál verejnej správy, špecializované portály, mobilné aplikácie, korešpondenciu).</w:t>
            </w:r>
          </w:p>
          <w:p w14:paraId="547B49FE"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Rozšírenie portfólia poskytovaných služieb asistovane na integrovaných pracoviskách. Poskytovanie komplexných služieb, pokiaľ možno bez miestnej príslušnosti osoby, ktorej sú poskytované služby VS.</w:t>
            </w:r>
          </w:p>
          <w:p w14:paraId="18D26FF1"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Jednotné poskytovanie služieb, ich dizajn a správa cez verejnú integračnú platformu (API Gateway). Využitie služieb VS v aplikáciách partnerov VS pre poskytovanie nových služieb využívajúcich výhod takejto integrácie a zvyšovanie rozsahu využívaných služieb VS.</w:t>
            </w:r>
          </w:p>
          <w:p w14:paraId="5C1D273F"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Zjednotenie a zjednodušenie poskytovaných informácií o službách verejnej správy</w:t>
            </w:r>
            <w:r w:rsidR="00576749">
              <w:rPr>
                <w:rFonts w:cs="Arial Narrow"/>
                <w:szCs w:val="20"/>
              </w:rPr>
              <w:t xml:space="preserve"> </w:t>
            </w:r>
            <w:r w:rsidR="00576749" w:rsidRPr="00576749">
              <w:rPr>
                <w:rFonts w:cs="Arial Narrow"/>
                <w:szCs w:val="20"/>
              </w:rPr>
              <w:t>formou koordinovaného udržiavania jedného zdroja pravdy</w:t>
            </w:r>
          </w:p>
          <w:p w14:paraId="65778CA7"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Sústredenie a integrácia služieb do navigácií podľa životných situácií a eliminácia potreby používateľa komunikovať s viacerými úradmi pri riešení svojej životnej situácie.</w:t>
            </w:r>
          </w:p>
          <w:p w14:paraId="365BCAAB"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Zber a spracovanie spätnej väzby od používateľov pre zlepšovanie úrovne poskytovaných služieb.</w:t>
            </w:r>
          </w:p>
          <w:p w14:paraId="7A7AE074"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Monitoring poskytovanej úrovne služieb.</w:t>
            </w:r>
          </w:p>
          <w:p w14:paraId="5701B647"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Spoločný integrovaný a zjednodušený pôsob autentifikácie a autorizácie služieb využívajúci a podporujúci mobilné zariadenia a zohľadňujúci úroveň rizík zneužitia služby a požadovanú mieru dôvery.</w:t>
            </w:r>
          </w:p>
          <w:p w14:paraId="77BAB09C" w14:textId="77777777" w:rsidR="00F10E40" w:rsidRPr="00BF19B1" w:rsidRDefault="00F10E40" w:rsidP="00F06821">
            <w:pPr>
              <w:pStyle w:val="Odsekzoznamu"/>
              <w:numPr>
                <w:ilvl w:val="0"/>
                <w:numId w:val="18"/>
              </w:numPr>
              <w:ind w:left="455"/>
              <w:jc w:val="left"/>
              <w:rPr>
                <w:rFonts w:cs="Arial Narrow"/>
                <w:szCs w:val="20"/>
              </w:rPr>
            </w:pPr>
            <w:r w:rsidRPr="00BF19B1">
              <w:rPr>
                <w:rFonts w:cs="Arial Narrow"/>
                <w:szCs w:val="20"/>
              </w:rPr>
              <w:t>Integrovaná správa bezpečnosti služieb, správy prístupov a používateľov</w:t>
            </w:r>
          </w:p>
        </w:tc>
        <w:tc>
          <w:tcPr>
            <w:tcW w:w="2077" w:type="pct"/>
          </w:tcPr>
          <w:p w14:paraId="50164350"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Dizajn prezentačnej vrstvy prístupových komponentov do jednotiaceho dizajnu.</w:t>
            </w:r>
          </w:p>
          <w:p w14:paraId="01212A9C"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Integrácia aplikácií, dát, prístupov na počítači používateľa integrovaného pracoviska. Organizačná a procesná podpora poskytovania komplexných služieb asistovane na integrovaných pracoviskách.</w:t>
            </w:r>
          </w:p>
          <w:p w14:paraId="706C4E47"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Implementácia integračných platforiem pre správu repozitára poskytovaných služieb VS, sprístupňovanie služieb a dát, manažmentom služieb a integračných partnerov.</w:t>
            </w:r>
          </w:p>
          <w:p w14:paraId="0603EF10"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Spoločné biznis procesy správy a poskytovania informačného obsahu a nápovedy pre používanie služieb.</w:t>
            </w:r>
          </w:p>
          <w:p w14:paraId="5FF6DBCD"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Implementácia spoločného modulu pre správu informačného obsahu.</w:t>
            </w:r>
          </w:p>
          <w:p w14:paraId="1C5B4102"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Využitie integrácií dát a aplikačných služieb pre poskytovanie personalizovaných a proaktívnych služieb, aby používateľ nemusel zadávať a predkladať informácie a dokumenty, ktoré už verejná správa má.</w:t>
            </w:r>
          </w:p>
          <w:p w14:paraId="73D9B507"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Implementácia spoločného modulu pre zber, distribúciu a spracovanie spätnej väzby.</w:t>
            </w:r>
          </w:p>
          <w:p w14:paraId="0202BC71"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Aplikačná a technologická podpora zberu a spracovania monitorovacích dát.</w:t>
            </w:r>
          </w:p>
          <w:p w14:paraId="3E03E7EF" w14:textId="77777777" w:rsidR="00F10E40" w:rsidRPr="00BF19B1" w:rsidRDefault="00F10E40" w:rsidP="00F06821">
            <w:pPr>
              <w:pStyle w:val="Odsekzoznamu"/>
              <w:numPr>
                <w:ilvl w:val="0"/>
                <w:numId w:val="19"/>
              </w:numPr>
              <w:ind w:left="457"/>
              <w:jc w:val="left"/>
              <w:rPr>
                <w:rFonts w:cs="Arial Narrow"/>
                <w:szCs w:val="20"/>
              </w:rPr>
            </w:pPr>
            <w:r w:rsidRPr="00BF19B1">
              <w:rPr>
                <w:rFonts w:cs="Arial Narrow"/>
                <w:szCs w:val="20"/>
              </w:rPr>
              <w:t>Spoločný modul (ISVS) autentifikácie a autorizácie</w:t>
            </w:r>
          </w:p>
        </w:tc>
      </w:tr>
      <w:tr w:rsidR="00AE4433" w:rsidRPr="00BF19B1" w14:paraId="6D1642B0" w14:textId="77777777" w:rsidTr="55E2BB36">
        <w:trPr>
          <w:trHeight w:val="170"/>
        </w:trPr>
        <w:tc>
          <w:tcPr>
            <w:tcW w:w="5000" w:type="pct"/>
            <w:gridSpan w:val="3"/>
            <w:vAlign w:val="center"/>
          </w:tcPr>
          <w:p w14:paraId="1F89307F" w14:textId="77777777" w:rsidR="00F10E40" w:rsidRPr="00BF19B1" w:rsidRDefault="00F10E40" w:rsidP="003F4748">
            <w:pPr>
              <w:ind w:left="457"/>
              <w:jc w:val="left"/>
              <w:rPr>
                <w:b/>
              </w:rPr>
            </w:pPr>
            <w:r w:rsidRPr="00BF19B1">
              <w:rPr>
                <w:b/>
              </w:rPr>
              <w:t>Biznis architektúra</w:t>
            </w:r>
          </w:p>
        </w:tc>
      </w:tr>
      <w:tr w:rsidR="00BF19B1" w:rsidRPr="00BF19B1" w14:paraId="5BDF6E70" w14:textId="77777777" w:rsidTr="55E2BB36">
        <w:tc>
          <w:tcPr>
            <w:tcW w:w="152" w:type="pct"/>
          </w:tcPr>
          <w:p w14:paraId="0A094FE1" w14:textId="77777777" w:rsidR="00F10E40" w:rsidRPr="00BF19B1" w:rsidRDefault="00F10E40" w:rsidP="00F10E40"/>
        </w:tc>
        <w:tc>
          <w:tcPr>
            <w:tcW w:w="2771" w:type="pct"/>
          </w:tcPr>
          <w:p w14:paraId="224A1A9F" w14:textId="77777777" w:rsidR="00F10E40" w:rsidRPr="00BF19B1" w:rsidRDefault="00F10E40" w:rsidP="00F06821">
            <w:pPr>
              <w:pStyle w:val="Odsekzoznamu"/>
              <w:numPr>
                <w:ilvl w:val="0"/>
                <w:numId w:val="20"/>
              </w:numPr>
              <w:ind w:left="455"/>
              <w:jc w:val="left"/>
              <w:rPr>
                <w:rFonts w:cs="Arial Narrow"/>
                <w:szCs w:val="20"/>
              </w:rPr>
            </w:pPr>
            <w:r w:rsidRPr="00BF19B1">
              <w:rPr>
                <w:rFonts w:cs="Arial Narrow"/>
                <w:szCs w:val="20"/>
              </w:rPr>
              <w:t>Legislatívna podpora digitálnej transformácie organizácie, procesov a poskytovania služieb verejnej správy.</w:t>
            </w:r>
          </w:p>
          <w:p w14:paraId="0FEBFBDD" w14:textId="77777777" w:rsidR="00F10E40" w:rsidRPr="00BF19B1" w:rsidRDefault="00F10E40" w:rsidP="00F06821">
            <w:pPr>
              <w:pStyle w:val="Odsekzoznamu"/>
              <w:numPr>
                <w:ilvl w:val="0"/>
                <w:numId w:val="20"/>
              </w:numPr>
              <w:ind w:left="455"/>
              <w:jc w:val="left"/>
              <w:rPr>
                <w:rFonts w:cs="Arial Narrow"/>
                <w:szCs w:val="20"/>
              </w:rPr>
            </w:pPr>
            <w:r w:rsidRPr="00BF19B1">
              <w:rPr>
                <w:rFonts w:cs="Arial Narrow"/>
                <w:szCs w:val="20"/>
              </w:rPr>
              <w:t>Digitálna transformácia procesov využitím integrácie podporných ISVS a automatickej výmeny, spracovania informácií a automatickej prípravy rozhodnutí na základe dát. Zníženie podielu manuálnych aktivít a eliminácia závislosti od miestnej príslušnosti.</w:t>
            </w:r>
          </w:p>
          <w:p w14:paraId="6B2A064E" w14:textId="77777777" w:rsidR="00F10E40" w:rsidRPr="00BF19B1" w:rsidRDefault="00F10E40" w:rsidP="00F06821">
            <w:pPr>
              <w:pStyle w:val="Odsekzoznamu"/>
              <w:numPr>
                <w:ilvl w:val="0"/>
                <w:numId w:val="20"/>
              </w:numPr>
              <w:ind w:left="455"/>
              <w:jc w:val="left"/>
              <w:rPr>
                <w:rFonts w:cs="Arial Narrow"/>
                <w:szCs w:val="20"/>
              </w:rPr>
            </w:pPr>
            <w:r w:rsidRPr="00BF19B1">
              <w:rPr>
                <w:rFonts w:cs="Arial Narrow"/>
                <w:szCs w:val="20"/>
              </w:rPr>
              <w:t>Optimalizácia a racionalizácia funkcií a procesov vo verejnej správe využitím procesov a služieb, ktoré je možné vzhľadom na ich značnú zhodu a podobnosť realizovať jednotným spôsobom prostredníctvom spoločných stavebných blokov a riešení využívajúcich koncept BPaaS podporených vhodnou formou ISVS (spoločný modul alebo spoločný blok SaaS).</w:t>
            </w:r>
          </w:p>
          <w:p w14:paraId="4640C0F1" w14:textId="77777777" w:rsidR="00F10E40" w:rsidRPr="00BF19B1" w:rsidRDefault="00F10E40" w:rsidP="00F06821">
            <w:pPr>
              <w:pStyle w:val="Odsekzoznamu"/>
              <w:numPr>
                <w:ilvl w:val="0"/>
                <w:numId w:val="20"/>
              </w:numPr>
              <w:ind w:left="455"/>
              <w:jc w:val="left"/>
              <w:rPr>
                <w:rFonts w:cs="Arial Narrow"/>
                <w:szCs w:val="20"/>
              </w:rPr>
            </w:pPr>
            <w:r w:rsidRPr="00BF19B1">
              <w:rPr>
                <w:rFonts w:cs="Arial Narrow"/>
                <w:szCs w:val="20"/>
              </w:rPr>
              <w:t>Kooperácia pri správe jednotného informačného obsahu prezentovaného používateľom služieb verejnej správy</w:t>
            </w:r>
          </w:p>
          <w:p w14:paraId="3D36B8E4" w14:textId="77777777" w:rsidR="00F10E40" w:rsidRPr="00BF19B1" w:rsidRDefault="00F10E40" w:rsidP="00F06821">
            <w:pPr>
              <w:pStyle w:val="Odsekzoznamu"/>
              <w:numPr>
                <w:ilvl w:val="0"/>
                <w:numId w:val="20"/>
              </w:numPr>
              <w:ind w:left="455"/>
              <w:jc w:val="left"/>
              <w:rPr>
                <w:rFonts w:cs="Arial Narrow"/>
                <w:szCs w:val="20"/>
              </w:rPr>
            </w:pPr>
            <w:r w:rsidRPr="00BF19B1">
              <w:rPr>
                <w:rFonts w:cs="Arial Narrow"/>
                <w:szCs w:val="20"/>
              </w:rPr>
              <w:lastRenderedPageBreak/>
              <w:t>Kooperácia pri integrácii a realizácii komplexných služieb podľa životných situácií a ich zlepšovaní.</w:t>
            </w:r>
          </w:p>
          <w:p w14:paraId="775FC669" w14:textId="77777777" w:rsidR="00F10E40" w:rsidRPr="00BF19B1" w:rsidRDefault="00F10E40" w:rsidP="00F06821">
            <w:pPr>
              <w:pStyle w:val="Odsekzoznamu"/>
              <w:numPr>
                <w:ilvl w:val="0"/>
                <w:numId w:val="20"/>
              </w:numPr>
              <w:ind w:left="455"/>
              <w:jc w:val="left"/>
              <w:rPr>
                <w:rFonts w:cs="Arial Narrow"/>
                <w:szCs w:val="20"/>
              </w:rPr>
            </w:pPr>
            <w:r w:rsidRPr="00BF19B1">
              <w:rPr>
                <w:rFonts w:cs="Arial Narrow"/>
                <w:szCs w:val="20"/>
              </w:rPr>
              <w:t>Využívanie výsledkov monitoringu poskytovaných aplikačných služieb, aplikačne podporovaných procesov, zdrojov a okolia pre zlepšovanie biznis procesov, rozsahu a úrovne poskytovaných služieb.</w:t>
            </w:r>
          </w:p>
        </w:tc>
        <w:tc>
          <w:tcPr>
            <w:tcW w:w="2077" w:type="pct"/>
          </w:tcPr>
          <w:p w14:paraId="304BA434" w14:textId="77777777" w:rsidR="00F10E40" w:rsidRPr="00BF19B1" w:rsidRDefault="00F10E40" w:rsidP="00F06821">
            <w:pPr>
              <w:pStyle w:val="Odsekzoznamu"/>
              <w:numPr>
                <w:ilvl w:val="0"/>
                <w:numId w:val="20"/>
              </w:numPr>
              <w:ind w:left="457"/>
              <w:jc w:val="left"/>
              <w:rPr>
                <w:rFonts w:cs="Arial Narrow"/>
                <w:szCs w:val="20"/>
              </w:rPr>
            </w:pPr>
            <w:r w:rsidRPr="00BF19B1">
              <w:rPr>
                <w:rFonts w:cs="Arial Narrow"/>
                <w:szCs w:val="20"/>
              </w:rPr>
              <w:lastRenderedPageBreak/>
              <w:t>Využitie integrácií dát a aplikačných služieb pre digitálnu transformáciu procesov ich automatizáciu a využitie dát na podporu rozhodovania.</w:t>
            </w:r>
          </w:p>
          <w:p w14:paraId="60E734AF" w14:textId="77777777" w:rsidR="00F10E40" w:rsidRPr="00BF19B1" w:rsidRDefault="00F10E40" w:rsidP="00F06821">
            <w:pPr>
              <w:pStyle w:val="Odsekzoznamu"/>
              <w:numPr>
                <w:ilvl w:val="0"/>
                <w:numId w:val="20"/>
              </w:numPr>
              <w:ind w:left="457"/>
              <w:jc w:val="left"/>
              <w:rPr>
                <w:rFonts w:cs="Arial Narrow"/>
                <w:szCs w:val="20"/>
              </w:rPr>
            </w:pPr>
            <w:r w:rsidRPr="00BF19B1">
              <w:rPr>
                <w:rFonts w:cs="Arial Narrow"/>
                <w:szCs w:val="20"/>
              </w:rPr>
              <w:t>Využitie prístupu k dátam, rozhodnutiam a digitalizovaným dokumentom na realizáciu princípu „1 krát a dosť“</w:t>
            </w:r>
          </w:p>
          <w:p w14:paraId="20DCF697" w14:textId="77777777" w:rsidR="00F10E40" w:rsidRPr="00BF19B1" w:rsidRDefault="00F10E40" w:rsidP="00F06821">
            <w:pPr>
              <w:pStyle w:val="Odsekzoznamu"/>
              <w:numPr>
                <w:ilvl w:val="0"/>
                <w:numId w:val="20"/>
              </w:numPr>
              <w:ind w:left="457"/>
              <w:jc w:val="left"/>
              <w:rPr>
                <w:rFonts w:cs="Arial Narrow"/>
                <w:szCs w:val="20"/>
              </w:rPr>
            </w:pPr>
            <w:r w:rsidRPr="00BF19B1">
              <w:rPr>
                <w:rFonts w:cs="Arial Narrow"/>
                <w:szCs w:val="20"/>
              </w:rPr>
              <w:t>Implementácia spoločných modulov a spoločných blokov ISVS pre podporu optimalizácie a racionalizácie funkcií a procesov vo verejnej správe.</w:t>
            </w:r>
          </w:p>
          <w:p w14:paraId="57ECD09A" w14:textId="77777777" w:rsidR="00F10E40" w:rsidRPr="00BF19B1" w:rsidRDefault="00F10E40" w:rsidP="00F06821">
            <w:pPr>
              <w:pStyle w:val="Odsekzoznamu"/>
              <w:numPr>
                <w:ilvl w:val="0"/>
                <w:numId w:val="20"/>
              </w:numPr>
              <w:ind w:left="457"/>
              <w:jc w:val="left"/>
              <w:rPr>
                <w:rFonts w:cs="Arial Narrow"/>
                <w:szCs w:val="20"/>
              </w:rPr>
            </w:pPr>
            <w:r w:rsidRPr="00BF19B1">
              <w:rPr>
                <w:rFonts w:cs="Arial Narrow"/>
                <w:szCs w:val="20"/>
              </w:rPr>
              <w:t>Nasadenie spoločne využívaných nástrojov na podporu medzirezortnej spolupráce a komunikácie.</w:t>
            </w:r>
          </w:p>
          <w:p w14:paraId="330B844E" w14:textId="77777777" w:rsidR="00F10E40" w:rsidRPr="00BF19B1" w:rsidRDefault="00F10E40" w:rsidP="00F06821">
            <w:pPr>
              <w:pStyle w:val="Odsekzoznamu"/>
              <w:numPr>
                <w:ilvl w:val="0"/>
                <w:numId w:val="20"/>
              </w:numPr>
              <w:ind w:left="457"/>
              <w:jc w:val="left"/>
              <w:rPr>
                <w:rFonts w:cs="Arial Narrow"/>
                <w:szCs w:val="20"/>
              </w:rPr>
            </w:pPr>
            <w:r w:rsidRPr="00BF19B1">
              <w:rPr>
                <w:rFonts w:cs="Arial Narrow"/>
                <w:szCs w:val="20"/>
              </w:rPr>
              <w:t>Spracovanie spätnej väzby pre vylepšovanie poskytovaných služieb.</w:t>
            </w:r>
          </w:p>
        </w:tc>
      </w:tr>
      <w:tr w:rsidR="00AE4433" w:rsidRPr="00BF19B1" w14:paraId="0745FA2C" w14:textId="77777777" w:rsidTr="55E2BB36">
        <w:trPr>
          <w:trHeight w:val="170"/>
        </w:trPr>
        <w:tc>
          <w:tcPr>
            <w:tcW w:w="5000" w:type="pct"/>
            <w:gridSpan w:val="3"/>
            <w:vAlign w:val="center"/>
          </w:tcPr>
          <w:p w14:paraId="259CB12E" w14:textId="77777777" w:rsidR="00F10E40" w:rsidRPr="00BF19B1" w:rsidRDefault="00F10E40" w:rsidP="003F4748">
            <w:pPr>
              <w:jc w:val="left"/>
              <w:rPr>
                <w:b/>
              </w:rPr>
            </w:pPr>
            <w:r w:rsidRPr="00BF19B1">
              <w:rPr>
                <w:b/>
              </w:rPr>
              <w:t>Aplikačná a dátová architektúra</w:t>
            </w:r>
          </w:p>
        </w:tc>
      </w:tr>
      <w:tr w:rsidR="00BF19B1" w:rsidRPr="00BF19B1" w14:paraId="7CA5341F" w14:textId="77777777" w:rsidTr="55E2BB36">
        <w:tc>
          <w:tcPr>
            <w:tcW w:w="152" w:type="pct"/>
          </w:tcPr>
          <w:p w14:paraId="229B0FE6" w14:textId="77777777" w:rsidR="00F10E40" w:rsidRPr="00BF19B1" w:rsidRDefault="00F10E40" w:rsidP="00F10E40"/>
        </w:tc>
        <w:tc>
          <w:tcPr>
            <w:tcW w:w="2771" w:type="pct"/>
          </w:tcPr>
          <w:p w14:paraId="31BDC0F3" w14:textId="77777777" w:rsidR="00BF19B1" w:rsidRPr="00BF19B1" w:rsidRDefault="00BF19B1" w:rsidP="00F06821">
            <w:pPr>
              <w:pStyle w:val="Odsekzoznamu"/>
              <w:numPr>
                <w:ilvl w:val="0"/>
                <w:numId w:val="21"/>
              </w:numPr>
              <w:ind w:left="455"/>
              <w:jc w:val="left"/>
              <w:rPr>
                <w:rFonts w:cs="Arial Narrow"/>
                <w:szCs w:val="20"/>
              </w:rPr>
            </w:pPr>
            <w:r w:rsidRPr="00BF19B1">
              <w:rPr>
                <w:rFonts w:cs="Arial Narrow"/>
                <w:szCs w:val="20"/>
              </w:rPr>
              <w:t>ITVS budú rozvíjané a budované s cieľom prevádzky v prostredí cloudových infraštruktúrnych a platformových služieb na základe princípov natívnej cloudovej architektúry.</w:t>
            </w:r>
          </w:p>
          <w:p w14:paraId="579FEE50"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 xml:space="preserve">Sprístupnenie aplikačných rozhraní (API) </w:t>
            </w:r>
            <w:r w:rsidR="00BF19B1" w:rsidRPr="00BF19B1">
              <w:rPr>
                <w:rFonts w:cs="Arial Narrow"/>
                <w:szCs w:val="20"/>
              </w:rPr>
              <w:t xml:space="preserve">služieb </w:t>
            </w:r>
            <w:r w:rsidRPr="00BF19B1">
              <w:rPr>
                <w:rFonts w:cs="Arial Narrow"/>
                <w:szCs w:val="20"/>
              </w:rPr>
              <w:t>ISVS pre ich integráciu a automatizované využitie ich služieb pre digitálnu transformáciu procesov a poskytovanie služieb klientom a partnerom verejnej správy.</w:t>
            </w:r>
          </w:p>
          <w:p w14:paraId="2D864A35"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Rozvoj integračných platforiem pre efektívnejší manažment integrácií a integrujúcich sa poskytovateľov a konzumentov služieb. Rozvoj a rozširovanie služieb sprostredkovaných cez modul procesnej a dátovej integrácie, implementácia integračnej zbernice pre publikovanie a manažment služieb pre prístupové miesta vo forme OpenAPI.</w:t>
            </w:r>
          </w:p>
          <w:p w14:paraId="13D99040"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Implementácia funkcií a spoločných modulov pre manažment master data a zvyšovanie kvality dát.</w:t>
            </w:r>
          </w:p>
          <w:p w14:paraId="1C7F952F"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Využívanie spoločných modulov pre efektívnu realizáciu spoločných funkcií – eliminácia duplicitného riešenia rovnakej funkcie.</w:t>
            </w:r>
          </w:p>
          <w:p w14:paraId="658AECCF" w14:textId="77777777" w:rsidR="00F10E40" w:rsidRPr="00BF19B1" w:rsidRDefault="65718AB4" w:rsidP="00F06821">
            <w:pPr>
              <w:pStyle w:val="Odsekzoznamu"/>
              <w:numPr>
                <w:ilvl w:val="0"/>
                <w:numId w:val="21"/>
              </w:numPr>
              <w:ind w:left="455"/>
              <w:jc w:val="left"/>
              <w:rPr>
                <w:rFonts w:cs="Arial Narrow"/>
              </w:rPr>
            </w:pPr>
            <w:r w:rsidRPr="55E2BB36">
              <w:rPr>
                <w:rFonts w:cs="Arial Narrow"/>
              </w:rPr>
              <w:t xml:space="preserve">Zabezpečenie voľného </w:t>
            </w:r>
            <w:r w:rsidR="6C736358" w:rsidRPr="55E2BB36">
              <w:rPr>
                <w:rFonts w:cs="Arial Narrow"/>
              </w:rPr>
              <w:t xml:space="preserve">opakovaného </w:t>
            </w:r>
            <w:r w:rsidRPr="55E2BB36">
              <w:rPr>
                <w:rFonts w:cs="Arial Narrow"/>
              </w:rPr>
              <w:t>použitia dodaného zdrojového kódu aplikačných riešení aj v ďalších aplikáciách verejnej správy, zvýšenie rozsahu využívania produktov slobodného softvéru (tzv. open source softvéru).</w:t>
            </w:r>
          </w:p>
          <w:p w14:paraId="1DABBF02"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Správa a rozširovanie referenčných registrov a dátových integrácií pre realizáciu princípu 1 krát a dosť.</w:t>
            </w:r>
          </w:p>
          <w:p w14:paraId="60CB623A"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Digitalizácia papierovej dokumentácie potrebnej pre zefektívnenie biznis procesov a jej správa a poskytovanie – využitie spoločných blokov (SaaS) pre jej spoločné riešenie.</w:t>
            </w:r>
          </w:p>
          <w:p w14:paraId="7584353E"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Monitoring poskytovanej úrovne služieb.</w:t>
            </w:r>
          </w:p>
          <w:p w14:paraId="6BFB741F" w14:textId="77777777" w:rsidR="00F10E40" w:rsidRPr="00BF19B1" w:rsidRDefault="00F10E40" w:rsidP="00F06821">
            <w:pPr>
              <w:pStyle w:val="Odsekzoznamu"/>
              <w:numPr>
                <w:ilvl w:val="0"/>
                <w:numId w:val="21"/>
              </w:numPr>
              <w:ind w:left="455"/>
              <w:jc w:val="left"/>
              <w:rPr>
                <w:rFonts w:cs="Arial Narrow"/>
                <w:szCs w:val="20"/>
              </w:rPr>
            </w:pPr>
            <w:r w:rsidRPr="00BF19B1">
              <w:rPr>
                <w:rFonts w:cs="Arial Narrow"/>
                <w:szCs w:val="20"/>
              </w:rPr>
              <w:t>Integrovaná správa bezpečnosti služieb, správy prístupov a používateľov.</w:t>
            </w:r>
          </w:p>
        </w:tc>
        <w:tc>
          <w:tcPr>
            <w:tcW w:w="2077" w:type="pct"/>
          </w:tcPr>
          <w:p w14:paraId="28A2B8FB" w14:textId="77777777" w:rsidR="00F10E40" w:rsidRPr="00BF19B1" w:rsidRDefault="00F10E40" w:rsidP="00F06821">
            <w:pPr>
              <w:pStyle w:val="Odsekzoznamu"/>
              <w:numPr>
                <w:ilvl w:val="0"/>
                <w:numId w:val="22"/>
              </w:numPr>
              <w:ind w:left="457"/>
              <w:rPr>
                <w:rFonts w:cs="Arial Narrow"/>
                <w:szCs w:val="20"/>
              </w:rPr>
            </w:pPr>
            <w:r w:rsidRPr="00BF19B1">
              <w:rPr>
                <w:rFonts w:cs="Arial Narrow"/>
                <w:szCs w:val="20"/>
              </w:rPr>
              <w:t xml:space="preserve">Využitie legislatívnej a organizačno-procesnej podpory z biznis architektúry na efektívnejšiu implementáciu funkcií do ISVS. </w:t>
            </w:r>
          </w:p>
          <w:p w14:paraId="059F486F" w14:textId="77777777" w:rsidR="00F10E40" w:rsidRPr="00BF19B1" w:rsidRDefault="00F10E40" w:rsidP="00F06821">
            <w:pPr>
              <w:pStyle w:val="Odsekzoznamu"/>
              <w:numPr>
                <w:ilvl w:val="0"/>
                <w:numId w:val="22"/>
              </w:numPr>
              <w:ind w:left="457"/>
              <w:rPr>
                <w:rFonts w:cs="Arial Narrow"/>
                <w:szCs w:val="20"/>
              </w:rPr>
            </w:pPr>
            <w:r w:rsidRPr="00BF19B1">
              <w:rPr>
                <w:rFonts w:cs="Arial Narrow"/>
                <w:szCs w:val="20"/>
              </w:rPr>
              <w:t>Organizačno-procesná podpora z biznis vrstvy pre spracovanie spätnej väzby od používateľov a klientov pre neustále zlepšovanie integrácií, funkčnosti a zvýšenie využívania ITVS.</w:t>
            </w:r>
          </w:p>
          <w:p w14:paraId="4AAA763B" w14:textId="77777777" w:rsidR="00F10E40" w:rsidRPr="00BF19B1" w:rsidRDefault="00F10E40" w:rsidP="00F06821">
            <w:pPr>
              <w:pStyle w:val="Odsekzoznamu"/>
              <w:numPr>
                <w:ilvl w:val="0"/>
                <w:numId w:val="22"/>
              </w:numPr>
              <w:ind w:left="457"/>
              <w:rPr>
                <w:rFonts w:cs="Arial Narrow"/>
                <w:szCs w:val="20"/>
              </w:rPr>
            </w:pPr>
            <w:r w:rsidRPr="00BF19B1">
              <w:rPr>
                <w:rFonts w:cs="Arial Narrow"/>
                <w:szCs w:val="20"/>
              </w:rPr>
              <w:t>Organizačno-procesná podpora z biznis vrstvy pre neustále zlepšovanie kvality dát.</w:t>
            </w:r>
          </w:p>
          <w:p w14:paraId="0886A036" w14:textId="77777777" w:rsidR="00F10E40" w:rsidRPr="00BF19B1" w:rsidRDefault="00F10E40" w:rsidP="00F06821">
            <w:pPr>
              <w:pStyle w:val="Odsekzoznamu"/>
              <w:numPr>
                <w:ilvl w:val="0"/>
                <w:numId w:val="22"/>
              </w:numPr>
              <w:ind w:left="457"/>
              <w:rPr>
                <w:rFonts w:cs="Arial Narrow"/>
                <w:szCs w:val="20"/>
              </w:rPr>
            </w:pPr>
            <w:r w:rsidRPr="00BF19B1">
              <w:rPr>
                <w:rFonts w:cs="Arial Narrow"/>
                <w:szCs w:val="20"/>
              </w:rPr>
              <w:t>Zmena zaužívaných procesov a postupov smerom k štandardizovanému procesnému spracovaniu využívajúceho výhody automatizácie pre elimináciu nadbytočných a nákladných prispôsobovaní ISVS (spoločných modulov a spoločných blokov).</w:t>
            </w:r>
          </w:p>
          <w:p w14:paraId="2FBCE4E0" w14:textId="77777777" w:rsidR="00F10E40" w:rsidRPr="00BF19B1" w:rsidRDefault="00F10E40" w:rsidP="00F06821">
            <w:pPr>
              <w:pStyle w:val="Odsekzoznamu"/>
              <w:numPr>
                <w:ilvl w:val="0"/>
                <w:numId w:val="22"/>
              </w:numPr>
              <w:ind w:left="457"/>
              <w:rPr>
                <w:rFonts w:cs="Arial Narrow"/>
                <w:szCs w:val="20"/>
              </w:rPr>
            </w:pPr>
            <w:r w:rsidRPr="00BF19B1">
              <w:rPr>
                <w:rFonts w:cs="Arial Narrow"/>
                <w:szCs w:val="20"/>
              </w:rPr>
              <w:t>Využívanie výhod cloudových služieb v implementácii ISVS pre dosiahnutie vyššej flexibility a škálovateľnosti ISVS</w:t>
            </w:r>
          </w:p>
        </w:tc>
      </w:tr>
      <w:tr w:rsidR="00AE4433" w:rsidRPr="00BF19B1" w14:paraId="2F929264" w14:textId="77777777" w:rsidTr="55E2BB36">
        <w:trPr>
          <w:trHeight w:val="170"/>
        </w:trPr>
        <w:tc>
          <w:tcPr>
            <w:tcW w:w="5000" w:type="pct"/>
            <w:gridSpan w:val="3"/>
            <w:vAlign w:val="center"/>
          </w:tcPr>
          <w:p w14:paraId="68CD85CA" w14:textId="77777777" w:rsidR="00F10E40" w:rsidRPr="00BF19B1" w:rsidRDefault="00F10E40" w:rsidP="003F4748">
            <w:pPr>
              <w:jc w:val="left"/>
              <w:rPr>
                <w:b/>
              </w:rPr>
            </w:pPr>
            <w:r w:rsidRPr="00BF19B1">
              <w:rPr>
                <w:b/>
              </w:rPr>
              <w:t>Technologická architektúra verejnej správy</w:t>
            </w:r>
          </w:p>
        </w:tc>
      </w:tr>
      <w:tr w:rsidR="00BF19B1" w:rsidRPr="00BF19B1" w14:paraId="3F428F44" w14:textId="77777777" w:rsidTr="55E2BB36">
        <w:tc>
          <w:tcPr>
            <w:tcW w:w="152" w:type="pct"/>
          </w:tcPr>
          <w:p w14:paraId="2506D169" w14:textId="77777777" w:rsidR="00F10E40" w:rsidRPr="00BF19B1" w:rsidRDefault="00F10E40" w:rsidP="00F10E40"/>
        </w:tc>
        <w:tc>
          <w:tcPr>
            <w:tcW w:w="2771" w:type="pct"/>
          </w:tcPr>
          <w:p w14:paraId="119C5CC6" w14:textId="77777777" w:rsidR="00F10E40" w:rsidRPr="00BF19B1" w:rsidRDefault="00F10E40" w:rsidP="00F06821">
            <w:pPr>
              <w:pStyle w:val="Odsekzoznamu"/>
              <w:numPr>
                <w:ilvl w:val="0"/>
                <w:numId w:val="23"/>
              </w:numPr>
              <w:ind w:left="455"/>
              <w:rPr>
                <w:rFonts w:cs="Arial Narrow"/>
                <w:szCs w:val="20"/>
              </w:rPr>
            </w:pPr>
            <w:r w:rsidRPr="00BF19B1">
              <w:rPr>
                <w:rFonts w:cs="Arial Narrow"/>
                <w:szCs w:val="20"/>
              </w:rPr>
              <w:t>Zabezpečenie technologickej interoperability – softvér a hardvér vo verejnej správe musí byť v súlade s definovanými štandardmi podporujúcimi interoperabilitu údajov, aplikácií a technológií.</w:t>
            </w:r>
          </w:p>
          <w:p w14:paraId="369FD12D" w14:textId="77777777" w:rsidR="00F10E40" w:rsidRPr="00BF19B1" w:rsidRDefault="00F10E40" w:rsidP="00F06821">
            <w:pPr>
              <w:pStyle w:val="Odsekzoznamu"/>
              <w:numPr>
                <w:ilvl w:val="0"/>
                <w:numId w:val="23"/>
              </w:numPr>
              <w:ind w:left="455"/>
              <w:rPr>
                <w:rFonts w:cs="Arial Narrow"/>
                <w:szCs w:val="20"/>
              </w:rPr>
            </w:pPr>
            <w:r w:rsidRPr="00BF19B1">
              <w:rPr>
                <w:rFonts w:cs="Arial Narrow"/>
                <w:szCs w:val="20"/>
              </w:rPr>
              <w:t xml:space="preserve">Rozširovanie portfólia služieb hybridného cloudu z vyšších modelov poskytovania služieb (PaaS a SaaS) a ich certifikácia. </w:t>
            </w:r>
          </w:p>
          <w:p w14:paraId="2C287C7F" w14:textId="77777777" w:rsidR="00F10E40" w:rsidRPr="00BF19B1" w:rsidRDefault="00F10E40" w:rsidP="00F06821">
            <w:pPr>
              <w:pStyle w:val="Odsekzoznamu"/>
              <w:numPr>
                <w:ilvl w:val="0"/>
                <w:numId w:val="23"/>
              </w:numPr>
              <w:ind w:left="455"/>
              <w:rPr>
                <w:rFonts w:cs="Arial Narrow"/>
                <w:szCs w:val="20"/>
              </w:rPr>
            </w:pPr>
            <w:r w:rsidRPr="00BF19B1">
              <w:rPr>
                <w:rFonts w:cs="Arial Narrow"/>
                <w:szCs w:val="20"/>
              </w:rPr>
              <w:t xml:space="preserve">Technologická podpora prístupu „DevOps“ pre užšie prepojenie procesov vývoja a prevádzky ISVS. Zavedenie spoločne využívaných nástrojov CI/CD (kontinuálna </w:t>
            </w:r>
            <w:r w:rsidRPr="00BF19B1">
              <w:rPr>
                <w:rFonts w:cs="Arial Narrow"/>
                <w:szCs w:val="20"/>
              </w:rPr>
              <w:lastRenderedPageBreak/>
              <w:t>integrácia a dodávka) a ich prevádzkovej a používateľskej podpory.</w:t>
            </w:r>
          </w:p>
          <w:p w14:paraId="283CE31D" w14:textId="77777777" w:rsidR="00F10E40" w:rsidRPr="00BF19B1" w:rsidRDefault="00F10E40" w:rsidP="00F06821">
            <w:pPr>
              <w:pStyle w:val="Odsekzoznamu"/>
              <w:numPr>
                <w:ilvl w:val="0"/>
                <w:numId w:val="23"/>
              </w:numPr>
              <w:ind w:left="455"/>
              <w:rPr>
                <w:rFonts w:cs="Arial Narrow"/>
                <w:szCs w:val="20"/>
              </w:rPr>
            </w:pPr>
            <w:r w:rsidRPr="00BF19B1">
              <w:rPr>
                <w:rFonts w:cs="Arial Narrow"/>
                <w:szCs w:val="20"/>
              </w:rPr>
              <w:t>Implementácia komplexnejšieho monitorovania a automatizovanej pravidelnej kontroly využívania služieb a zdrojov IKT, dodržiavania úrovne služieb a ich bezpečnosti.</w:t>
            </w:r>
          </w:p>
          <w:p w14:paraId="42E1943F" w14:textId="77777777" w:rsidR="00F10E40" w:rsidRPr="00BF19B1" w:rsidRDefault="00F10E40" w:rsidP="00F06821">
            <w:pPr>
              <w:pStyle w:val="Odsekzoznamu"/>
              <w:numPr>
                <w:ilvl w:val="0"/>
                <w:numId w:val="23"/>
              </w:numPr>
              <w:ind w:left="455"/>
              <w:rPr>
                <w:rFonts w:cs="Arial Narrow"/>
                <w:szCs w:val="20"/>
              </w:rPr>
            </w:pPr>
            <w:r w:rsidRPr="00BF19B1">
              <w:rPr>
                <w:rFonts w:cs="Arial Narrow"/>
                <w:szCs w:val="20"/>
              </w:rPr>
              <w:t>Integrácie privátnej časti vládneho cloudu a poskytovateľov verejných cloudových služieb.</w:t>
            </w:r>
          </w:p>
          <w:p w14:paraId="6300FE04" w14:textId="77777777" w:rsidR="00F10E40" w:rsidRPr="00BF19B1" w:rsidRDefault="00F10E40" w:rsidP="00F06821">
            <w:pPr>
              <w:pStyle w:val="Odsekzoznamu"/>
              <w:numPr>
                <w:ilvl w:val="0"/>
                <w:numId w:val="23"/>
              </w:numPr>
              <w:ind w:left="455"/>
              <w:rPr>
                <w:rFonts w:cs="Arial Narrow"/>
                <w:szCs w:val="20"/>
              </w:rPr>
            </w:pPr>
            <w:r w:rsidRPr="00BF19B1">
              <w:rPr>
                <w:rFonts w:cs="Arial Narrow"/>
                <w:szCs w:val="20"/>
              </w:rPr>
              <w:t>Integrácia a vyššie využitie senzorov pre monitoring objektov, ktoré sú predmetom verejnej správy.</w:t>
            </w:r>
          </w:p>
        </w:tc>
        <w:tc>
          <w:tcPr>
            <w:tcW w:w="2077" w:type="pct"/>
          </w:tcPr>
          <w:p w14:paraId="381DC415" w14:textId="77777777" w:rsidR="00F10E40" w:rsidRPr="00BF19B1" w:rsidRDefault="00F10E40" w:rsidP="00F06821">
            <w:pPr>
              <w:pStyle w:val="Odsekzoznamu"/>
              <w:numPr>
                <w:ilvl w:val="0"/>
                <w:numId w:val="23"/>
              </w:numPr>
              <w:ind w:left="457"/>
              <w:rPr>
                <w:rFonts w:cs="Arial Narrow"/>
                <w:szCs w:val="20"/>
              </w:rPr>
            </w:pPr>
            <w:r w:rsidRPr="00BF19B1">
              <w:rPr>
                <w:rFonts w:cs="Arial Narrow"/>
                <w:szCs w:val="20"/>
              </w:rPr>
              <w:lastRenderedPageBreak/>
              <w:t>Migrácia ISVS do cloudového technologického prostredia pre zvýšenie využitia cloudových služieb.</w:t>
            </w:r>
          </w:p>
          <w:p w14:paraId="68F8314B" w14:textId="77777777" w:rsidR="00F10E40" w:rsidRPr="00BF19B1" w:rsidRDefault="00F10E40" w:rsidP="00F06821">
            <w:pPr>
              <w:pStyle w:val="Odsekzoznamu"/>
              <w:numPr>
                <w:ilvl w:val="0"/>
                <w:numId w:val="23"/>
              </w:numPr>
              <w:ind w:left="457"/>
              <w:rPr>
                <w:rFonts w:cs="Arial Narrow"/>
                <w:szCs w:val="20"/>
              </w:rPr>
            </w:pPr>
            <w:r w:rsidRPr="00BF19B1">
              <w:rPr>
                <w:rFonts w:cs="Arial Narrow"/>
                <w:szCs w:val="20"/>
              </w:rPr>
              <w:t>Využitie ISVS a procesov manažmentu zdrojov pre zvyšovanie efektívnosti využívania komponentov informačno-komunikačných technológií.</w:t>
            </w:r>
          </w:p>
          <w:p w14:paraId="1487F805" w14:textId="77777777" w:rsidR="00F10E40" w:rsidRPr="00BF19B1" w:rsidRDefault="00F10E40" w:rsidP="00F06821">
            <w:pPr>
              <w:pStyle w:val="Odsekzoznamu"/>
              <w:numPr>
                <w:ilvl w:val="0"/>
                <w:numId w:val="23"/>
              </w:numPr>
              <w:ind w:left="457"/>
              <w:rPr>
                <w:rFonts w:cs="Arial Narrow"/>
                <w:szCs w:val="20"/>
              </w:rPr>
            </w:pPr>
            <w:r w:rsidRPr="00BF19B1">
              <w:rPr>
                <w:rFonts w:cs="Arial Narrow"/>
                <w:szCs w:val="20"/>
              </w:rPr>
              <w:t xml:space="preserve">Organizačno-procesná podpora zavedenia princípov DevOps a CI/CD do procesov rozvoja služieb a implementácie ISVS. </w:t>
            </w:r>
          </w:p>
        </w:tc>
      </w:tr>
    </w:tbl>
    <w:p w14:paraId="777EE710" w14:textId="743583E0" w:rsidR="00D3020E" w:rsidRPr="004D73C4" w:rsidRDefault="00D3020E" w:rsidP="00D3020E">
      <w:pPr>
        <w:pStyle w:val="Popis"/>
      </w:pPr>
      <w:r w:rsidRPr="004D73C4">
        <w:t xml:space="preserve">Tabuľka </w:t>
      </w:r>
      <w:r>
        <w:fldChar w:fldCharType="begin"/>
      </w:r>
      <w:r>
        <w:instrText>SEQ Tabuľka \* ARABIC</w:instrText>
      </w:r>
      <w:r>
        <w:fldChar w:fldCharType="separate"/>
      </w:r>
      <w:r w:rsidR="00873A9F">
        <w:rPr>
          <w:noProof/>
        </w:rPr>
        <w:t>3</w:t>
      </w:r>
      <w:r>
        <w:fldChar w:fldCharType="end"/>
      </w:r>
      <w:r w:rsidRPr="004D73C4">
        <w:t>: Prehľad aplikácie stratégií a využitia ich výsledkov z iných vrstiev architektúry</w:t>
      </w:r>
    </w:p>
    <w:p w14:paraId="5A7335F7" w14:textId="77777777" w:rsidR="00D3020E" w:rsidRDefault="00D3020E" w:rsidP="00D207AF"/>
    <w:p w14:paraId="10EA26F7" w14:textId="77777777" w:rsidR="00D3020E" w:rsidRPr="004D73C4" w:rsidRDefault="00D3020E" w:rsidP="002B60D7">
      <w:pPr>
        <w:pStyle w:val="Nadpis2"/>
      </w:pPr>
      <w:bookmarkStart w:id="150" w:name="_Toc64365422"/>
      <w:bookmarkStart w:id="151" w:name="_Toc69297720"/>
      <w:bookmarkStart w:id="152" w:name="_Toc70369683"/>
      <w:bookmarkStart w:id="153" w:name="_Toc70711624"/>
      <w:r w:rsidRPr="004D73C4">
        <w:t>Manažment architektúry ITVS</w:t>
      </w:r>
      <w:bookmarkEnd w:id="150"/>
      <w:bookmarkEnd w:id="151"/>
      <w:bookmarkEnd w:id="152"/>
      <w:bookmarkEnd w:id="153"/>
    </w:p>
    <w:p w14:paraId="01E58A3B" w14:textId="77777777" w:rsidR="00D3020E" w:rsidRPr="00236EBE" w:rsidRDefault="00D3020E" w:rsidP="003F4748">
      <w:r w:rsidRPr="00236EBE">
        <w:t>Hlboké porozumenie aktuálnej architektúry verejnej správy a správne vyhodnotenie dopadov potrebných zmien architektúry, ale aj využitie možností, ktoré aktuálna architektúra ponúka, je nevyhnutné pre efektívnu transformáciu verejnej správy. V takom komplexnom systéme, akým je verejná správa, je takéto porozumenie a plánovanie zmien ťažké dosiahnuť bez potrebných nástrojov, schopností a kompetencií pre správu architektúry.</w:t>
      </w:r>
    </w:p>
    <w:p w14:paraId="5DF4AB42" w14:textId="77777777" w:rsidR="00D3020E" w:rsidRPr="00236EBE" w:rsidRDefault="00D3020E" w:rsidP="003F4748">
      <w:r w:rsidRPr="00236EBE">
        <w:t xml:space="preserve">Základným mechanizmom pre dosiahnutie efektívnej správy architektúry je spolupráca a zdieľanie vedomostí o architektúre, o činnosti jednotlivých orgánov verejnej správy a o plánovaných zmenách. </w:t>
      </w:r>
    </w:p>
    <w:p w14:paraId="0E5AFB2B" w14:textId="77777777" w:rsidR="00D3020E" w:rsidRPr="00236EBE" w:rsidRDefault="00953BB6" w:rsidP="00236EBE">
      <w:pPr>
        <w:rPr>
          <w:rFonts w:ascii="TeXGyreBonumRegular" w:hAnsi="TeXGyreBonumRegular"/>
          <w:sz w:val="20"/>
          <w:szCs w:val="20"/>
        </w:rPr>
      </w:pPr>
      <w:r w:rsidRPr="00236EBE">
        <w:t>Za riadenie správy architektúry ITVS je zodpovedný správca ITVS,</w:t>
      </w:r>
      <w:r w:rsidRPr="00236EBE">
        <w:rPr>
          <w:rStyle w:val="Odkaznapoznmkupodiarou"/>
        </w:rPr>
        <w:footnoteReference w:id="10"/>
      </w:r>
      <w:r w:rsidRPr="00236EBE">
        <w:t>) resp. orgán riadenia. Tieto architektúry orgánov riadenia ITVS, musia byť vytvorené v súlade s centrálnou a referenčnou architektúrou a ich e-Government komponenty evidované v</w:t>
      </w:r>
      <w:r w:rsidR="00EE2B3B" w:rsidRPr="00236EBE">
        <w:t> </w:t>
      </w:r>
      <w:r w:rsidRPr="00236EBE">
        <w:t>MetaIS</w:t>
      </w:r>
      <w:r w:rsidR="00EE2B3B" w:rsidRPr="00236EBE">
        <w:t xml:space="preserve"> </w:t>
      </w:r>
      <w:r w:rsidRPr="00236EBE">
        <w:t>Budovanie, riadenie a prevádzkovanie architektonickej schopnosti vyžaduje správu veľkého množstva architektonických výstupov, preto je dôležitým faktorom úspešnosti správy architektúr vytvorenie a udržiavanie spoločného architektonického repozitára integrovaného s centrálnym MetaIS ako spoločnej bázy informácii a údajov. Za týmto účelom sú k dispozícii architektonické modelovacie nástroje a architektonický repozitár, ktoré sú využívané architektmi riešení konkrétnych projektov orgánov riadenia. Uvedené mechanizmy platia rovnako pre všetky povinné osoby bez ohľadu na zdroje financovania rozvojových programov a projektov.</w:t>
      </w:r>
    </w:p>
    <w:p w14:paraId="53625239" w14:textId="77777777" w:rsidR="00D3020E" w:rsidRDefault="00D3020E" w:rsidP="003F4748">
      <w:r w:rsidRPr="00236EBE">
        <w:t>Centrálna architektúra, r</w:t>
      </w:r>
      <w:r w:rsidRPr="00236EBE" w:rsidDel="001C40BA">
        <w:t xml:space="preserve">eferenčná architektúra </w:t>
      </w:r>
      <w:r w:rsidRPr="00236EBE">
        <w:t>a tiež architektúry orgánov riadenia sú</w:t>
      </w:r>
      <w:r w:rsidRPr="00236EBE" w:rsidDel="001C40BA">
        <w:t xml:space="preserve"> </w:t>
      </w:r>
      <w:r w:rsidRPr="00236EBE">
        <w:t>priebežne</w:t>
      </w:r>
      <w:r w:rsidRPr="00236EBE" w:rsidDel="001C40BA">
        <w:t xml:space="preserve"> aktualizovan</w:t>
      </w:r>
      <w:r w:rsidRPr="00236EBE">
        <w:t>é primárne v repozitári modelu Enterprise architektúry verejnej správy a v MetaIS</w:t>
      </w:r>
      <w:r w:rsidRPr="00236EBE" w:rsidDel="001C40BA">
        <w:t>, aby zohľadňoval</w:t>
      </w:r>
      <w:r w:rsidRPr="00236EBE">
        <w:t>i</w:t>
      </w:r>
      <w:r w:rsidRPr="00236EBE" w:rsidDel="001C40BA">
        <w:t xml:space="preserve"> aktuálny stav rozvoja celkovej architektúry e-Governmentu.</w:t>
      </w:r>
      <w:r w:rsidRPr="00CB63A7">
        <w:t xml:space="preserve"> </w:t>
      </w:r>
    </w:p>
    <w:p w14:paraId="7DF937FC" w14:textId="77777777" w:rsidR="00D3020E" w:rsidRDefault="00D3020E" w:rsidP="00D3020E">
      <w:r w:rsidRPr="00F1100D">
        <w:t>Základné členenie architektúry verejnej správy</w:t>
      </w:r>
      <w:r>
        <w:t xml:space="preserve"> je detailnejšie popísané </w:t>
      </w:r>
      <w:r w:rsidR="008E764E">
        <w:t>v prílohe</w:t>
      </w:r>
      <w:r w:rsidR="008E764E" w:rsidRPr="008E764E">
        <w:t xml:space="preserve"> č. 5 – Základné členenie architektúry verejnej správy</w:t>
      </w:r>
      <w:r w:rsidR="009338DC">
        <w:t>.</w:t>
      </w:r>
    </w:p>
    <w:p w14:paraId="5CE5B23C" w14:textId="77777777" w:rsidR="00D3020E" w:rsidRDefault="00D3020E" w:rsidP="00D207AF"/>
    <w:p w14:paraId="72F39304" w14:textId="77777777" w:rsidR="004B12CF" w:rsidRPr="004D73C4" w:rsidRDefault="006824F0" w:rsidP="004B12CF">
      <w:pPr>
        <w:pStyle w:val="Nadpis1"/>
      </w:pPr>
      <w:bookmarkStart w:id="154" w:name="_Toc69297721"/>
      <w:bookmarkStart w:id="155" w:name="_Toc70369684"/>
      <w:bookmarkStart w:id="156" w:name="_Toc70711625"/>
      <w:r w:rsidRPr="004D73C4">
        <w:lastRenderedPageBreak/>
        <w:t>N</w:t>
      </w:r>
      <w:r w:rsidR="008706C9" w:rsidRPr="004D73C4">
        <w:t>ástroje pre zlepšenie</w:t>
      </w:r>
      <w:r w:rsidR="004B12CF" w:rsidRPr="004D73C4">
        <w:t xml:space="preserve"> informatizácie</w:t>
      </w:r>
      <w:bookmarkEnd w:id="144"/>
      <w:bookmarkEnd w:id="145"/>
      <w:bookmarkEnd w:id="146"/>
      <w:bookmarkEnd w:id="147"/>
      <w:r w:rsidR="008706C9" w:rsidRPr="004D73C4">
        <w:t xml:space="preserve"> verejnej správy</w:t>
      </w:r>
      <w:bookmarkEnd w:id="154"/>
      <w:bookmarkEnd w:id="155"/>
      <w:bookmarkEnd w:id="156"/>
    </w:p>
    <w:p w14:paraId="055BFDE3" w14:textId="77777777" w:rsidR="004B12CF" w:rsidRPr="004D73C4" w:rsidRDefault="004B12CF" w:rsidP="002B60D7">
      <w:pPr>
        <w:pStyle w:val="Nadpis2"/>
      </w:pPr>
      <w:bookmarkStart w:id="157" w:name="_Toc61168793"/>
      <w:bookmarkStart w:id="158" w:name="_Toc69297722"/>
      <w:bookmarkStart w:id="159" w:name="_Toc70369685"/>
      <w:bookmarkStart w:id="160" w:name="_Toc70711626"/>
      <w:r w:rsidRPr="004D73C4">
        <w:t>Legislatívna oblasť</w:t>
      </w:r>
      <w:bookmarkEnd w:id="157"/>
      <w:bookmarkEnd w:id="158"/>
      <w:bookmarkEnd w:id="159"/>
      <w:bookmarkEnd w:id="160"/>
    </w:p>
    <w:p w14:paraId="3527A3A4" w14:textId="77777777" w:rsidR="004B12CF" w:rsidRPr="004D73C4" w:rsidRDefault="004B12CF" w:rsidP="004B12CF">
      <w:r w:rsidRPr="004D73C4">
        <w:t>NKIVS vychádzala z platnej legislatívy,</w:t>
      </w:r>
      <w:r w:rsidRPr="004D73C4">
        <w:rPr>
          <w:rStyle w:val="Odkaznapoznmkupodiarou"/>
        </w:rPr>
        <w:footnoteReference w:id="11"/>
      </w:r>
      <w:r w:rsidRPr="004D73C4">
        <w:t xml:space="preserve">) pričom realizácia cieľov si vyžiadala priebežné a systémové zmeny v legislatíve. Právny rámec fungovania digitálneho priestoru (najmä e-Governmentu) musí predchádzať implementácii riešení informatizácie. V oblasti tvorby a implementácie legislatívy digitálneho priestoru by mal byť presadzovaný aj prístup realistického zhodnotenia doložky vplyvov. </w:t>
      </w:r>
    </w:p>
    <w:p w14:paraId="4CBD8A91" w14:textId="77777777" w:rsidR="004B12CF" w:rsidRPr="004D73C4" w:rsidRDefault="004B12CF" w:rsidP="004B12CF">
      <w:r w:rsidRPr="00236EBE">
        <w:t>V nadväznosti na priority bude MIRRI SR pokračovať v aktualizácii zákonov a vykonávacích predpisov na základe splnomocnení v uvedených zákonoch, napríklad vydanie vyhlášky o spôsoboch a postupoch pri elektronizácii agendy verejnej správy, vyhlášky o zabezpečení prevádzky, servisu, podpory, monitoringu a hodnotenia ITVS.</w:t>
      </w:r>
    </w:p>
    <w:p w14:paraId="1E79BB2A" w14:textId="77777777" w:rsidR="004B12CF" w:rsidRPr="004D73C4" w:rsidRDefault="004B12CF" w:rsidP="004B12CF">
      <w:r w:rsidRPr="004D73C4">
        <w:t>Nová Koncepcia vychádza aj z platnej európskej legislatívy, nadväzuje na stratégie a regulácie súvisiace s oblasťou e-Governmentu, ktorých zoznam tvorí prílohu č. 1.</w:t>
      </w:r>
    </w:p>
    <w:tbl>
      <w:tblPr>
        <w:tblStyle w:val="ListTable4-Accent1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396"/>
        <w:gridCol w:w="5666"/>
      </w:tblGrid>
      <w:tr w:rsidR="004B12CF" w:rsidRPr="004D73C4" w14:paraId="706C58BF" w14:textId="77777777" w:rsidTr="00606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top w:val="none" w:sz="0" w:space="0" w:color="auto"/>
              <w:left w:val="none" w:sz="0" w:space="0" w:color="auto"/>
              <w:bottom w:val="none" w:sz="0" w:space="0" w:color="auto"/>
            </w:tcBorders>
            <w:shd w:val="clear" w:color="auto" w:fill="548DD4" w:themeFill="text2" w:themeFillTint="99"/>
          </w:tcPr>
          <w:p w14:paraId="3F0DEF9B" w14:textId="77777777" w:rsidR="004B12CF" w:rsidRPr="004D73C4" w:rsidRDefault="004B12CF" w:rsidP="00EE548A">
            <w:pPr>
              <w:spacing w:before="120"/>
              <w:jc w:val="center"/>
              <w:rPr>
                <w:rFonts w:eastAsiaTheme="minorHAnsi"/>
                <w:color w:val="FFFFFF" w:themeColor="background1"/>
                <w:sz w:val="22"/>
                <w:szCs w:val="22"/>
                <w:lang w:val="sk-SK"/>
              </w:rPr>
            </w:pPr>
            <w:r w:rsidRPr="004D73C4">
              <w:rPr>
                <w:color w:val="FFFFFF" w:themeColor="background1"/>
                <w:sz w:val="22"/>
                <w:szCs w:val="22"/>
                <w:lang w:val="sk-SK"/>
              </w:rPr>
              <w:t>Cieľ</w:t>
            </w:r>
          </w:p>
        </w:tc>
        <w:tc>
          <w:tcPr>
            <w:tcW w:w="3126" w:type="pct"/>
            <w:tcBorders>
              <w:top w:val="none" w:sz="0" w:space="0" w:color="auto"/>
              <w:bottom w:val="none" w:sz="0" w:space="0" w:color="auto"/>
              <w:right w:val="none" w:sz="0" w:space="0" w:color="auto"/>
            </w:tcBorders>
            <w:shd w:val="clear" w:color="auto" w:fill="548DD4" w:themeFill="text2" w:themeFillTint="99"/>
          </w:tcPr>
          <w:p w14:paraId="14ADF3BD" w14:textId="77777777" w:rsidR="004B12CF" w:rsidRPr="004D73C4" w:rsidRDefault="004B12CF" w:rsidP="00EE548A">
            <w:pPr>
              <w:spacing w:before="120"/>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sz w:val="22"/>
                <w:szCs w:val="22"/>
                <w:lang w:val="sk-SK"/>
              </w:rPr>
            </w:pPr>
            <w:r w:rsidRPr="004D73C4">
              <w:rPr>
                <w:color w:val="FFFFFF" w:themeColor="background1"/>
                <w:sz w:val="22"/>
                <w:szCs w:val="22"/>
                <w:lang w:val="sk-SK"/>
              </w:rPr>
              <w:t>Legislatíva</w:t>
            </w:r>
          </w:p>
        </w:tc>
      </w:tr>
      <w:tr w:rsidR="007F4568" w:rsidRPr="004D73C4" w14:paraId="6B512D5B" w14:textId="77777777" w:rsidTr="00606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shd w:val="clear" w:color="auto" w:fill="auto"/>
          </w:tcPr>
          <w:p w14:paraId="07959558" w14:textId="77777777" w:rsidR="007F4568" w:rsidRPr="004D73C4" w:rsidRDefault="007F4568" w:rsidP="007F4568">
            <w:pPr>
              <w:rPr>
                <w:lang w:val="sk-SK"/>
              </w:rPr>
            </w:pPr>
            <w:r w:rsidRPr="004D73C4">
              <w:rPr>
                <w:lang w:val="sk-SK"/>
              </w:rPr>
              <w:t>Digitálne služby</w:t>
            </w:r>
          </w:p>
        </w:tc>
        <w:tc>
          <w:tcPr>
            <w:tcW w:w="3126" w:type="pct"/>
            <w:shd w:val="clear" w:color="auto" w:fill="auto"/>
          </w:tcPr>
          <w:p w14:paraId="108F117C" w14:textId="77777777" w:rsidR="007F4568" w:rsidRPr="004D73C4" w:rsidRDefault="007F4568" w:rsidP="007F4568">
            <w:pPr>
              <w:cnfStyle w:val="000000100000" w:firstRow="0" w:lastRow="0" w:firstColumn="0" w:lastColumn="0" w:oddVBand="0" w:evenVBand="0" w:oddHBand="1" w:evenHBand="0" w:firstRowFirstColumn="0" w:firstRowLastColumn="0" w:lastRowFirstColumn="0" w:lastRowLastColumn="0"/>
              <w:rPr>
                <w:rFonts w:cstheme="minorHAnsi"/>
                <w:lang w:val="sk-SK"/>
              </w:rPr>
            </w:pPr>
            <w:r w:rsidRPr="004D73C4">
              <w:rPr>
                <w:rFonts w:cstheme="minorHAnsi"/>
                <w:lang w:val="sk-SK"/>
              </w:rPr>
              <w:t xml:space="preserve">Zákon </w:t>
            </w:r>
            <w:r>
              <w:rPr>
                <w:rFonts w:cstheme="minorHAnsi"/>
                <w:lang w:val="sk-SK"/>
              </w:rPr>
              <w:t xml:space="preserve">č. 95/2019 Z. z. </w:t>
            </w:r>
            <w:r w:rsidRPr="004D73C4">
              <w:rPr>
                <w:rFonts w:cstheme="minorHAnsi"/>
                <w:lang w:val="sk-SK"/>
              </w:rPr>
              <w:t>o</w:t>
            </w:r>
            <w:r>
              <w:rPr>
                <w:rFonts w:cstheme="minorHAnsi"/>
                <w:lang w:val="sk-SK"/>
              </w:rPr>
              <w:t> informačných technológiách vo verejnej správe a o zmene a doplnení niektorých zákonov v znení neskorších predpisov</w:t>
            </w:r>
          </w:p>
          <w:p w14:paraId="5B9E8495" w14:textId="77777777" w:rsidR="007F4568" w:rsidRPr="004D73C4" w:rsidRDefault="007F4568" w:rsidP="007F4568">
            <w:pPr>
              <w:cnfStyle w:val="000000100000" w:firstRow="0" w:lastRow="0" w:firstColumn="0" w:lastColumn="0" w:oddVBand="0" w:evenVBand="0" w:oddHBand="1" w:evenHBand="0" w:firstRowFirstColumn="0" w:firstRowLastColumn="0" w:lastRowFirstColumn="0" w:lastRowLastColumn="0"/>
              <w:rPr>
                <w:lang w:val="sk-SK"/>
              </w:rPr>
            </w:pPr>
            <w:r w:rsidRPr="004D73C4">
              <w:rPr>
                <w:rFonts w:cstheme="minorHAnsi"/>
                <w:lang w:val="sk-SK"/>
              </w:rPr>
              <w:t xml:space="preserve">Zákon </w:t>
            </w:r>
            <w:r>
              <w:rPr>
                <w:rFonts w:cstheme="minorHAnsi"/>
                <w:lang w:val="sk-SK"/>
              </w:rPr>
              <w:t xml:space="preserve">č. 305/2013 Z. z. </w:t>
            </w:r>
            <w:r w:rsidRPr="004D73C4">
              <w:rPr>
                <w:rFonts w:cstheme="minorHAnsi"/>
                <w:lang w:val="sk-SK"/>
              </w:rPr>
              <w:t>o</w:t>
            </w:r>
            <w:r>
              <w:rPr>
                <w:rFonts w:cstheme="minorHAnsi"/>
                <w:lang w:val="sk-SK"/>
              </w:rPr>
              <w:t xml:space="preserve"> elektronickej podobe výkonu pôsobnosti orgánov verejnej správy a o zmene a doplnení niektorých zákonov (zákon o </w:t>
            </w:r>
            <w:r w:rsidRPr="004D73C4">
              <w:rPr>
                <w:rFonts w:cstheme="minorHAnsi"/>
                <w:lang w:val="sk-SK"/>
              </w:rPr>
              <w:t>e-Governmente</w:t>
            </w:r>
            <w:r>
              <w:rPr>
                <w:rFonts w:cstheme="minorHAnsi"/>
                <w:lang w:val="sk-SK"/>
              </w:rPr>
              <w:t>) v znení neskorších predpisov</w:t>
            </w:r>
          </w:p>
        </w:tc>
      </w:tr>
      <w:tr w:rsidR="007F4568" w:rsidRPr="004D73C4" w14:paraId="29488609" w14:textId="77777777" w:rsidTr="0060626D">
        <w:tc>
          <w:tcPr>
            <w:cnfStyle w:val="001000000000" w:firstRow="0" w:lastRow="0" w:firstColumn="1" w:lastColumn="0" w:oddVBand="0" w:evenVBand="0" w:oddHBand="0" w:evenHBand="0" w:firstRowFirstColumn="0" w:firstRowLastColumn="0" w:lastRowFirstColumn="0" w:lastRowLastColumn="0"/>
            <w:tcW w:w="1874" w:type="pct"/>
            <w:shd w:val="clear" w:color="auto" w:fill="auto"/>
          </w:tcPr>
          <w:p w14:paraId="2445E51C" w14:textId="77777777" w:rsidR="007F4568" w:rsidRPr="004D73C4" w:rsidRDefault="007F4568" w:rsidP="007F4568">
            <w:pPr>
              <w:rPr>
                <w:lang w:val="sk-SK"/>
              </w:rPr>
            </w:pPr>
            <w:r w:rsidRPr="004D73C4">
              <w:rPr>
                <w:lang w:val="sk-SK"/>
              </w:rPr>
              <w:t>Digitálna transformácia verejnej správy</w:t>
            </w:r>
          </w:p>
        </w:tc>
        <w:tc>
          <w:tcPr>
            <w:tcW w:w="3126" w:type="pct"/>
            <w:shd w:val="clear" w:color="auto" w:fill="auto"/>
          </w:tcPr>
          <w:p w14:paraId="28733020" w14:textId="77777777" w:rsidR="007F4568" w:rsidRPr="004D73C4" w:rsidRDefault="007F4568" w:rsidP="007F4568">
            <w:pPr>
              <w:cnfStyle w:val="000000000000" w:firstRow="0" w:lastRow="0" w:firstColumn="0" w:lastColumn="0" w:oddVBand="0" w:evenVBand="0" w:oddHBand="0" w:evenHBand="0" w:firstRowFirstColumn="0" w:firstRowLastColumn="0" w:lastRowFirstColumn="0" w:lastRowLastColumn="0"/>
              <w:rPr>
                <w:rFonts w:cstheme="minorHAnsi"/>
                <w:lang w:val="sk-SK"/>
              </w:rPr>
            </w:pPr>
            <w:r w:rsidRPr="004D73C4">
              <w:rPr>
                <w:rFonts w:cstheme="minorHAnsi"/>
                <w:lang w:val="sk-SK"/>
              </w:rPr>
              <w:t>Pripravovaný zákon o údajoch</w:t>
            </w:r>
          </w:p>
          <w:p w14:paraId="660A0401" w14:textId="77777777" w:rsidR="007F4568" w:rsidRPr="004D73C4" w:rsidRDefault="007F4568" w:rsidP="007F4568">
            <w:pPr>
              <w:cnfStyle w:val="000000000000" w:firstRow="0" w:lastRow="0" w:firstColumn="0" w:lastColumn="0" w:oddVBand="0" w:evenVBand="0" w:oddHBand="0" w:evenHBand="0" w:firstRowFirstColumn="0" w:firstRowLastColumn="0" w:lastRowFirstColumn="0" w:lastRowLastColumn="0"/>
              <w:rPr>
                <w:lang w:val="sk-SK"/>
              </w:rPr>
            </w:pPr>
            <w:r w:rsidRPr="004D73C4">
              <w:rPr>
                <w:rFonts w:cstheme="minorHAnsi"/>
                <w:lang w:val="sk-SK"/>
              </w:rPr>
              <w:t>Zákon</w:t>
            </w:r>
            <w:r>
              <w:rPr>
                <w:rFonts w:cstheme="minorHAnsi"/>
                <w:lang w:val="sk-SK"/>
              </w:rPr>
              <w:t xml:space="preserve"> č. 177/2018 Z. z. o niektorých opatreniach na znižovanie administratívnej záťaže využívaním informačných systémov verejnej správy a o zmene a doplnení niektorých zákonov (zákon</w:t>
            </w:r>
            <w:r w:rsidRPr="004D73C4">
              <w:rPr>
                <w:rFonts w:cstheme="minorHAnsi"/>
                <w:lang w:val="sk-SK"/>
              </w:rPr>
              <w:t xml:space="preserve"> proti byrokracii</w:t>
            </w:r>
            <w:r>
              <w:rPr>
                <w:rFonts w:cstheme="minorHAnsi"/>
                <w:lang w:val="sk-SK"/>
              </w:rPr>
              <w:t>) v znení neskorších predpisov</w:t>
            </w:r>
          </w:p>
        </w:tc>
      </w:tr>
      <w:tr w:rsidR="007F4568" w:rsidRPr="004D73C4" w14:paraId="4935AC9F" w14:textId="77777777" w:rsidTr="00606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shd w:val="clear" w:color="auto" w:fill="auto"/>
          </w:tcPr>
          <w:p w14:paraId="5E4AE1C8" w14:textId="77777777" w:rsidR="007F4568" w:rsidRPr="004D73C4" w:rsidRDefault="007F4568" w:rsidP="007F4568">
            <w:pPr>
              <w:rPr>
                <w:lang w:val="sk-SK"/>
              </w:rPr>
            </w:pPr>
            <w:r w:rsidRPr="004D73C4">
              <w:rPr>
                <w:lang w:val="sk-SK"/>
              </w:rPr>
              <w:t>Efektívne riadenie digitálneho štátu</w:t>
            </w:r>
          </w:p>
        </w:tc>
        <w:tc>
          <w:tcPr>
            <w:tcW w:w="3126" w:type="pct"/>
            <w:shd w:val="clear" w:color="auto" w:fill="auto"/>
          </w:tcPr>
          <w:p w14:paraId="79C49FAD" w14:textId="77777777" w:rsidR="007F4568" w:rsidRPr="004D73C4" w:rsidRDefault="007F4568" w:rsidP="007F4568">
            <w:pPr>
              <w:cnfStyle w:val="000000100000" w:firstRow="0" w:lastRow="0" w:firstColumn="0" w:lastColumn="0" w:oddVBand="0" w:evenVBand="0" w:oddHBand="1" w:evenHBand="0" w:firstRowFirstColumn="0" w:firstRowLastColumn="0" w:lastRowFirstColumn="0" w:lastRowLastColumn="0"/>
              <w:rPr>
                <w:rFonts w:cstheme="minorHAnsi"/>
                <w:lang w:val="sk-SK"/>
              </w:rPr>
            </w:pPr>
            <w:r w:rsidRPr="004D73C4">
              <w:rPr>
                <w:rFonts w:cstheme="minorHAnsi"/>
                <w:lang w:val="sk-SK"/>
              </w:rPr>
              <w:t xml:space="preserve">Zákon </w:t>
            </w:r>
            <w:r>
              <w:rPr>
                <w:rFonts w:cstheme="minorHAnsi"/>
                <w:lang w:val="sk-SK"/>
              </w:rPr>
              <w:t xml:space="preserve">č. 305/2013 Z. z. </w:t>
            </w:r>
            <w:r w:rsidRPr="004D73C4">
              <w:rPr>
                <w:rFonts w:cstheme="minorHAnsi"/>
                <w:lang w:val="sk-SK"/>
              </w:rPr>
              <w:t>o</w:t>
            </w:r>
            <w:r>
              <w:rPr>
                <w:rFonts w:cstheme="minorHAnsi"/>
                <w:lang w:val="sk-SK"/>
              </w:rPr>
              <w:t xml:space="preserve"> elektronickej podobe výkonu pôsobnosti orgánov verejnej správy a o zmene a doplnení niektorých zákonov (zákon o </w:t>
            </w:r>
            <w:r w:rsidRPr="004D73C4">
              <w:rPr>
                <w:rFonts w:cstheme="minorHAnsi"/>
                <w:lang w:val="sk-SK"/>
              </w:rPr>
              <w:t>e-Governmente</w:t>
            </w:r>
            <w:r>
              <w:rPr>
                <w:rFonts w:cstheme="minorHAnsi"/>
                <w:lang w:val="sk-SK"/>
              </w:rPr>
              <w:t>) v znení neskorších predpisov</w:t>
            </w:r>
          </w:p>
          <w:p w14:paraId="072EB0E1" w14:textId="77777777" w:rsidR="007F4568" w:rsidRPr="004D73C4" w:rsidRDefault="007F4568" w:rsidP="007F4568">
            <w:pPr>
              <w:cnfStyle w:val="000000100000" w:firstRow="0" w:lastRow="0" w:firstColumn="0" w:lastColumn="0" w:oddVBand="0" w:evenVBand="0" w:oddHBand="1" w:evenHBand="0" w:firstRowFirstColumn="0" w:firstRowLastColumn="0" w:lastRowFirstColumn="0" w:lastRowLastColumn="0"/>
              <w:rPr>
                <w:rFonts w:cstheme="minorHAnsi"/>
                <w:lang w:val="sk-SK"/>
              </w:rPr>
            </w:pPr>
            <w:r w:rsidRPr="004D73C4">
              <w:rPr>
                <w:rFonts w:cstheme="minorHAnsi"/>
                <w:lang w:val="sk-SK"/>
              </w:rPr>
              <w:t xml:space="preserve">Zákon </w:t>
            </w:r>
            <w:r>
              <w:rPr>
                <w:rFonts w:cstheme="minorHAnsi"/>
                <w:lang w:val="sk-SK"/>
              </w:rPr>
              <w:t xml:space="preserve">č. 95/2019 Z. z. </w:t>
            </w:r>
            <w:r w:rsidRPr="004D73C4">
              <w:rPr>
                <w:rFonts w:cstheme="minorHAnsi"/>
                <w:lang w:val="sk-SK"/>
              </w:rPr>
              <w:t>o</w:t>
            </w:r>
            <w:r>
              <w:rPr>
                <w:rFonts w:cstheme="minorHAnsi"/>
                <w:lang w:val="sk-SK"/>
              </w:rPr>
              <w:t> informačných technológiách vo verejnej správe a o zmene a doplnení niektorých zákonov v znení neskorších predpisov</w:t>
            </w:r>
          </w:p>
          <w:p w14:paraId="25445320" w14:textId="77777777" w:rsidR="007F4568" w:rsidRPr="004D73C4" w:rsidRDefault="007F4568" w:rsidP="007F4568">
            <w:pPr>
              <w:cnfStyle w:val="000000100000" w:firstRow="0" w:lastRow="0" w:firstColumn="0" w:lastColumn="0" w:oddVBand="0" w:evenVBand="0" w:oddHBand="1" w:evenHBand="0" w:firstRowFirstColumn="0" w:firstRowLastColumn="0" w:lastRowFirstColumn="0" w:lastRowLastColumn="0"/>
              <w:rPr>
                <w:lang w:val="sk-SK"/>
              </w:rPr>
            </w:pPr>
            <w:r w:rsidRPr="004D73C4">
              <w:rPr>
                <w:rFonts w:cstheme="minorHAnsi"/>
                <w:lang w:val="sk-SK"/>
              </w:rPr>
              <w:t xml:space="preserve">Zákon </w:t>
            </w:r>
            <w:r>
              <w:rPr>
                <w:rFonts w:cstheme="minorHAnsi"/>
                <w:lang w:val="sk-SK"/>
              </w:rPr>
              <w:t xml:space="preserve">č. 69/2018 Z. z. </w:t>
            </w:r>
            <w:r w:rsidRPr="004D73C4">
              <w:rPr>
                <w:rFonts w:cstheme="minorHAnsi"/>
                <w:lang w:val="sk-SK"/>
              </w:rPr>
              <w:t>o kybernetickej bezpečnosti</w:t>
            </w:r>
            <w:r>
              <w:rPr>
                <w:rFonts w:cstheme="minorHAnsi"/>
                <w:lang w:val="sk-SK"/>
              </w:rPr>
              <w:t xml:space="preserve"> a o zmene a doplnení niektorých zákonov v znení neskorších predpisov</w:t>
            </w:r>
          </w:p>
        </w:tc>
      </w:tr>
    </w:tbl>
    <w:p w14:paraId="2B2C19DE" w14:textId="4DC99B65" w:rsidR="004B12CF" w:rsidRPr="004D73C4" w:rsidRDefault="004B12CF" w:rsidP="004B12CF">
      <w:pPr>
        <w:pStyle w:val="Popis"/>
      </w:pPr>
      <w:r w:rsidRPr="004D73C4">
        <w:t xml:space="preserve">Tabuľka </w:t>
      </w:r>
      <w:r>
        <w:fldChar w:fldCharType="begin"/>
      </w:r>
      <w:r>
        <w:instrText>SEQ Tabuľka \* ARABIC</w:instrText>
      </w:r>
      <w:r>
        <w:fldChar w:fldCharType="separate"/>
      </w:r>
      <w:r w:rsidR="00873A9F">
        <w:rPr>
          <w:noProof/>
        </w:rPr>
        <w:t>4</w:t>
      </w:r>
      <w:r>
        <w:fldChar w:fldCharType="end"/>
      </w:r>
      <w:r w:rsidRPr="004D73C4">
        <w:t>: Legislatívny rámec pre jednotlivé iniciatívy a architektonické bloky</w:t>
      </w:r>
    </w:p>
    <w:p w14:paraId="55E925C6" w14:textId="77777777" w:rsidR="004B12CF" w:rsidRPr="004D73C4" w:rsidRDefault="004B12CF" w:rsidP="004B12CF"/>
    <w:p w14:paraId="6C5B0BBF" w14:textId="77777777" w:rsidR="004B12CF" w:rsidRPr="004D73C4" w:rsidRDefault="004B12CF" w:rsidP="002B60D7">
      <w:pPr>
        <w:pStyle w:val="Nadpis2"/>
      </w:pPr>
      <w:bookmarkStart w:id="161" w:name="_Toc58697745"/>
      <w:bookmarkStart w:id="162" w:name="_Toc61168794"/>
      <w:bookmarkStart w:id="163" w:name="_Toc69297723"/>
      <w:bookmarkStart w:id="164" w:name="_Toc70369686"/>
      <w:bookmarkStart w:id="165" w:name="_Toc70711627"/>
      <w:r w:rsidRPr="004D73C4">
        <w:t>Interoperabilita v rámci SK a EÚ</w:t>
      </w:r>
      <w:bookmarkEnd w:id="161"/>
      <w:bookmarkEnd w:id="162"/>
      <w:bookmarkEnd w:id="163"/>
      <w:bookmarkEnd w:id="164"/>
      <w:bookmarkEnd w:id="165"/>
    </w:p>
    <w:p w14:paraId="7BDE9106" w14:textId="77777777" w:rsidR="00667F6E" w:rsidRDefault="00667F6E" w:rsidP="00667F6E">
      <w:r>
        <w:t xml:space="preserve">Vzhľadom na prepojenosť všetkých oblastí verejnej správy so širším kontextom EÚ je logické počítať s postupným </w:t>
      </w:r>
      <w:r w:rsidR="568DB8A8">
        <w:t xml:space="preserve">a </w:t>
      </w:r>
      <w:r>
        <w:t xml:space="preserve">tesnejším prepájaním informačných systémov a služieb. Formálne je interoperabilita zastrešená programom Európskej komisie, tzv. Európskeho rámca interoperability (ďalej len „EIF“), skladajúceho sa z organizačnej, sémantickej, technickej a právnej interoperability. </w:t>
      </w:r>
    </w:p>
    <w:p w14:paraId="246E9016" w14:textId="77777777" w:rsidR="004B12CF" w:rsidRPr="00236EBE" w:rsidRDefault="00667F6E" w:rsidP="00667F6E">
      <w:r>
        <w:t xml:space="preserve">Koncepcia nadväzuje na uvedené priority stanovené európskymi stratégiami, napríklad oblasť štandardizácie údajov verejnej správy, tzv. Rámec pre slovenskú sémantickú interoperabilitu (dátová </w:t>
      </w:r>
      <w:r w:rsidRPr="00236EBE">
        <w:t xml:space="preserve">interoperabilita) je už plne zosúladený zo sémantickou interoperabilitou EIF. Ostatné oblasti EIF budú </w:t>
      </w:r>
      <w:r w:rsidRPr="00236EBE">
        <w:lastRenderedPageBreak/>
        <w:t>predmetom postupného zosúlaďovania v rámci cieľov Koncepcie. Aspekty interoperability na úrovni EÚ budú posudzované štandardne pri každom projekte. Prednosť budú mať riešenia, ktoré budú priamo stavať na už zavedených štandardoch EÚ (vyhnutie sa proprietárnym riešeniam), prípadne budú s nimi kompatibilné</w:t>
      </w:r>
      <w:r w:rsidR="004B12CF" w:rsidRPr="00236EBE">
        <w:t xml:space="preserve">. </w:t>
      </w:r>
    </w:p>
    <w:bookmarkEnd w:id="148"/>
    <w:p w14:paraId="409A6E0A" w14:textId="77777777" w:rsidR="00250001" w:rsidRPr="00236EBE" w:rsidRDefault="00250001" w:rsidP="004D656D"/>
    <w:p w14:paraId="7F7C4B7F" w14:textId="77777777" w:rsidR="00250001" w:rsidRPr="00236EBE" w:rsidRDefault="00250001" w:rsidP="002B60D7">
      <w:pPr>
        <w:pStyle w:val="Nadpis2"/>
      </w:pPr>
      <w:bookmarkStart w:id="166" w:name="_Toc69297724"/>
      <w:bookmarkStart w:id="167" w:name="_Toc70369687"/>
      <w:bookmarkStart w:id="168" w:name="_Toc70711628"/>
      <w:r w:rsidRPr="00236EBE">
        <w:t>Organizačné zabezpečenie</w:t>
      </w:r>
      <w:r w:rsidR="007E5AFC" w:rsidRPr="00236EBE">
        <w:t xml:space="preserve">, </w:t>
      </w:r>
      <w:r w:rsidRPr="00236EBE">
        <w:t>participácia širšej verejnosti</w:t>
      </w:r>
      <w:r w:rsidR="007E5AFC" w:rsidRPr="00236EBE">
        <w:t>, etika</w:t>
      </w:r>
      <w:bookmarkEnd w:id="166"/>
      <w:bookmarkEnd w:id="167"/>
      <w:bookmarkEnd w:id="168"/>
    </w:p>
    <w:p w14:paraId="5E694D7B" w14:textId="77777777" w:rsidR="00250001" w:rsidRPr="00236EBE" w:rsidRDefault="00250001" w:rsidP="00387C4E">
      <w:r w:rsidRPr="00236EBE">
        <w:t>Orgánom vedenia informatizácie v štáte podľa zákona o ITVS je MIRRI SR. Na základe navrhovaných cieľov a iniciatív prispôsobilo organizačnú štruktúru ministerstva a jeho organizácií tak, aby dokázalo vlastniť a tým aj adresovať navrhnuté iniciatívy na úrovni centrálnej architektúry. Odbor stratégie a vedenia ITVS zabezpečuje metodické riadenie OVM v súlade navrhnutou segmentovou architektúrou.</w:t>
      </w:r>
    </w:p>
    <w:p w14:paraId="08CE5BC0" w14:textId="77777777" w:rsidR="00250001" w:rsidRPr="00236EBE" w:rsidRDefault="00250001" w:rsidP="00F36A49">
      <w:r w:rsidRPr="00236EBE">
        <w:t xml:space="preserve">Pre zlepšenie komunikácie smerom na odbornú verejnosť a na orgány riadenia boli vytvorené pracovné skupiny k prioritám informatizácie, ako poradné orgány MIRRI SR, ktoré sa podieľajú na príprave, tvorbe, pripomienkovaní a prerokúvaní zámerov, cieľov a aktuálnych tém v oblasti informatizácie verejnej správy. </w:t>
      </w:r>
    </w:p>
    <w:p w14:paraId="6FA29616" w14:textId="77777777" w:rsidR="00250001" w:rsidRPr="00236EBE" w:rsidRDefault="00250001" w:rsidP="00F36A49">
      <w:r w:rsidRPr="00236EBE">
        <w:t>Okrem toho je dlhodobo aktívna Komisia pre štandardizáciu ITVS, ako poradný a konzultačný orgán MIRRI SR, ktorej cieľom je odborná príprava návrhov na zavedenie nových štandardov, zmenu alebo zrušenie existujúcich platných štandardov pre ITVS a jej 9 pracovných skupín na štandardizáciu technických štandardov ITVS.</w:t>
      </w:r>
      <w:r w:rsidR="00B86512">
        <w:t xml:space="preserve"> </w:t>
      </w:r>
      <w:r w:rsidR="00B86512" w:rsidRPr="00B86512">
        <w:t>Z pohľadu etických a sociálno-spoločenských aspektov inovatívnych technológií vo verejnej správe je vhodné zapojiť Stálu komisiu pre etiku a reguláciu umelej inteligencie zriadenej ako nezávislý poradný a odborný orgán pri MIRRI SR.</w:t>
      </w:r>
    </w:p>
    <w:p w14:paraId="4B64B2D1" w14:textId="77777777" w:rsidR="00250001" w:rsidRPr="00236EBE" w:rsidRDefault="00250001" w:rsidP="00F36A49">
      <w:r w:rsidRPr="00236EBE">
        <w:t>Členmi vyššie uvedených poradných orgánov sú zástupcovia orgánov riadenia, vrátane samospráv, ako aj zástupcovia súkromného sektora z oblasti IT.</w:t>
      </w:r>
    </w:p>
    <w:p w14:paraId="712CDA42" w14:textId="77777777" w:rsidR="00250001" w:rsidRPr="00236EBE" w:rsidRDefault="00250001" w:rsidP="00F36A49">
      <w:r w:rsidRPr="00236EBE">
        <w:t xml:space="preserve">MIRRI SR bude pokračovať v činnosti pracovných skupín, obojstranne hodnotenej </w:t>
      </w:r>
      <w:r w:rsidR="0011006E" w:rsidRPr="00236EBE">
        <w:t xml:space="preserve">pozitívne, čo zabezpečí vysokú </w:t>
      </w:r>
      <w:r w:rsidRPr="00236EBE">
        <w:t xml:space="preserve">participáciu odbornej verejnosti a orgánov riadenia na jednotlivých iniciatívach. </w:t>
      </w:r>
    </w:p>
    <w:p w14:paraId="60BE0A1D" w14:textId="77777777" w:rsidR="007E5AFC" w:rsidRPr="00236EBE" w:rsidRDefault="007E5AFC" w:rsidP="007E5AFC">
      <w:r w:rsidRPr="00236EBE">
        <w:t>Orgány riadenia samozrejme podporujú princípy etiky a participácie verejnej správy. Etika je dôležitým predpokladom na udržanie dôvery verejnosti vo verejnú správu ako otvorenú, spoľahlivú a čestnú.</w:t>
      </w:r>
      <w:r w:rsidR="009D1275" w:rsidRPr="00236EBE">
        <w:t xml:space="preserve"> Etické princípy musia dodržiavať zamestnanci verejnej správy i dodávatelia:</w:t>
      </w:r>
    </w:p>
    <w:p w14:paraId="7596E95A" w14:textId="77777777" w:rsidR="007E5AFC" w:rsidRPr="004D73C4" w:rsidRDefault="007E5AFC" w:rsidP="007E5AFC">
      <w:r w:rsidRPr="00236EBE">
        <w:rPr>
          <w:bCs/>
        </w:rPr>
        <w:t>Etický kódex zamestnancov verejnej správy –</w:t>
      </w:r>
      <w:r w:rsidRPr="00236EBE">
        <w:rPr>
          <w:b/>
        </w:rPr>
        <w:t xml:space="preserve"> </w:t>
      </w:r>
      <w:r w:rsidRPr="00236EBE">
        <w:t>zamestnanci verejnej správy v oblasti IKT majú vysoké osobné etické štandardy. Sú zodpovední, čestní, slušní, nestranní</w:t>
      </w:r>
      <w:r w:rsidR="009D1275" w:rsidRPr="00236EBE">
        <w:t>, bez konfliktu záujmov</w:t>
      </w:r>
      <w:r w:rsidRPr="00236EBE">
        <w:t>.</w:t>
      </w:r>
      <w:r w:rsidR="004F2A6B">
        <w:rPr>
          <w:rStyle w:val="Odkaznapoznmkupodiarou"/>
        </w:rPr>
        <w:footnoteReference w:id="12"/>
      </w:r>
      <w:r w:rsidR="007B6B8D">
        <w:t>)</w:t>
      </w:r>
    </w:p>
    <w:p w14:paraId="39831456" w14:textId="77777777" w:rsidR="007E5AFC" w:rsidRDefault="007E5AFC" w:rsidP="007E5AFC">
      <w:r>
        <w:t>Etickí dodávatelia a IT sektor –</w:t>
      </w:r>
      <w:r w:rsidRPr="3912845A">
        <w:rPr>
          <w:b/>
          <w:bCs/>
        </w:rPr>
        <w:t xml:space="preserve"> </w:t>
      </w:r>
      <w:r>
        <w:t>verejná správa vplýva na to, aby IT sektor a jeho členovia sa správali zodpovedne a čestne voči verejnej správe, a aj vo vzájomných vzťahoch s tým súvisiacich. Existuje zhoda na želanej úrovni morálnych štandardov a ich dodržiavaní.</w:t>
      </w:r>
    </w:p>
    <w:p w14:paraId="74AFFDC8" w14:textId="77777777" w:rsidR="00250001" w:rsidRPr="004D73C4" w:rsidRDefault="00250001" w:rsidP="00387C4E"/>
    <w:p w14:paraId="1EA7D9FE" w14:textId="77777777" w:rsidR="00250001" w:rsidRPr="00236EBE" w:rsidRDefault="00250001" w:rsidP="002B60D7">
      <w:pPr>
        <w:pStyle w:val="Nadpis2"/>
      </w:pPr>
      <w:bookmarkStart w:id="169" w:name="_Toc69297725"/>
      <w:bookmarkStart w:id="170" w:name="_Toc70369688"/>
      <w:bookmarkStart w:id="171" w:name="_Toc70711629"/>
      <w:r w:rsidRPr="00236EBE">
        <w:t>Riadenie financovani</w:t>
      </w:r>
      <w:bookmarkEnd w:id="128"/>
      <w:r w:rsidRPr="00236EBE">
        <w:t>a</w:t>
      </w:r>
      <w:bookmarkEnd w:id="169"/>
      <w:bookmarkEnd w:id="170"/>
      <w:bookmarkEnd w:id="171"/>
    </w:p>
    <w:p w14:paraId="2862B453" w14:textId="77777777" w:rsidR="00250001" w:rsidRPr="004D73C4" w:rsidRDefault="00250001" w:rsidP="001A28CA">
      <w:r w:rsidRPr="00236EBE">
        <w:t xml:space="preserve">Koncepcia bude aplikovaná najmä realizáciou aktivít vo verejnej správe </w:t>
      </w:r>
      <w:r w:rsidRPr="00236EBE">
        <w:rPr>
          <w:rFonts w:cs="Arial"/>
          <w:bCs/>
          <w:shd w:val="clear" w:color="auto" w:fill="FFFFFF"/>
        </w:rPr>
        <w:t>financovaných</w:t>
      </w:r>
      <w:r w:rsidRPr="00236EBE">
        <w:t xml:space="preserve"> zo štátneho rozpočtu, RRF 2021 – 2026, Operačného programu Slovensko na roky 2021 – 2027 a končiacich operačných p</w:t>
      </w:r>
      <w:r w:rsidR="00036B92" w:rsidRPr="00236EBE">
        <w:t>rogramov (2014 – 2020), a to OPII a OP</w:t>
      </w:r>
      <w:r w:rsidRPr="00236EBE">
        <w:t>EVS z fondov EÚ.</w:t>
      </w:r>
      <w:r w:rsidRPr="004D73C4">
        <w:t xml:space="preserve"> </w:t>
      </w:r>
    </w:p>
    <w:p w14:paraId="6DAC9FD4" w14:textId="77777777" w:rsidR="00250001" w:rsidRPr="004D73C4" w:rsidRDefault="00250001" w:rsidP="001A28CA">
      <w:r w:rsidRPr="004D73C4">
        <w:t>Každý zo zodpovedných subjektov v rámci systému informatizácie verejnej správy vyčlenia v rámci svojich rozpočtových kapitol dostatočné finančné prostriedky tak, aby bolo možné splniť ciele vychádzajúce z Koncepcie. Pri hľadaní finančných zdrojov je potrebné opierať sa nielen o prostriedky zo štátneho rozpočtu, ale aj zdroje z operačných programov spolufinancovaných z fondov EÚ.</w:t>
      </w:r>
    </w:p>
    <w:p w14:paraId="127C7364" w14:textId="77777777" w:rsidR="00250001" w:rsidRPr="004D73C4" w:rsidRDefault="00250001" w:rsidP="001A28CA">
      <w:r w:rsidRPr="004D73C4">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14:paraId="4B63820B" w14:textId="77777777" w:rsidR="00250001" w:rsidRPr="004D73C4" w:rsidRDefault="00250001" w:rsidP="007F6EEA">
      <w:r w:rsidRPr="004D73C4">
        <w:lastRenderedPageBreak/>
        <w:t>Materiál má strategický všeobecný dlhodobý charakter, vplyvy na rozpočet verejnej správy nie je možné kvantifikovať. Realizácia cieľov Koncepcie bude zabezpečená v rámci schválených limitov dotknutých subjektov verejnej správy ako aj z prostriedkov alokovaných v schválených programoch SR a EÚ na príslušný rozpočtový rok, bez dodatočných požiadaviek na rozpočet verejnej správy.</w:t>
      </w:r>
    </w:p>
    <w:p w14:paraId="4380BB1C" w14:textId="77777777" w:rsidR="00250001" w:rsidRPr="004D73C4" w:rsidRDefault="00250001" w:rsidP="001A28CA">
      <w:r w:rsidRPr="004D73C4">
        <w:t>V prípade, že Koncepcia, resp. konkrétne opatrenia z nej vyplývajúce, budú následne rozpracované v nadväzujúcich vykonávacích dokumentoch, pri ich predkladaní budú identifikované a vyčíslené vplyvy na relevantné oblasti.</w:t>
      </w:r>
    </w:p>
    <w:p w14:paraId="3C96F637" w14:textId="77777777" w:rsidR="00250001" w:rsidRPr="004D73C4" w:rsidRDefault="00250001" w:rsidP="007F6EEA">
      <w:r w:rsidRPr="004D73C4">
        <w:t xml:space="preserve">NKIVS sa týka zmeny prístupu k procesu informatizácie všetkých subjektov verejnej správy, pričom ide o aktivity, ktoré tieto orgány vykonávali aj doteraz. </w:t>
      </w:r>
    </w:p>
    <w:p w14:paraId="06707C0B" w14:textId="77777777" w:rsidR="00250001" w:rsidRPr="004D73C4" w:rsidRDefault="00250001" w:rsidP="007F6EEA"/>
    <w:p w14:paraId="2453603B" w14:textId="2035EAC5" w:rsidR="00250001" w:rsidRPr="004D73C4" w:rsidRDefault="00250001" w:rsidP="00FF11A2">
      <w:pPr>
        <w:pStyle w:val="Popis"/>
        <w:rPr>
          <w:rFonts w:ascii="Times" w:hAnsi="Times" w:cs="Times"/>
        </w:rPr>
      </w:pPr>
      <w:r w:rsidRPr="004D73C4">
        <w:rPr>
          <w:rFonts w:ascii="Times" w:hAnsi="Times" w:cs="Times"/>
          <w:noProof/>
          <w:color w:val="2B579A"/>
          <w:shd w:val="clear" w:color="auto" w:fill="E6E6E6"/>
          <w:lang w:eastAsia="sk-SK"/>
        </w:rPr>
        <w:drawing>
          <wp:anchor distT="0" distB="0" distL="114300" distR="114300" simplePos="0" relativeHeight="251643904" behindDoc="0" locked="0" layoutInCell="1" allowOverlap="1" wp14:anchorId="2EEFA261" wp14:editId="3A352C38">
            <wp:simplePos x="0" y="0"/>
            <wp:positionH relativeFrom="column">
              <wp:align>center</wp:align>
            </wp:positionH>
            <wp:positionV relativeFrom="paragraph">
              <wp:posOffset>0</wp:posOffset>
            </wp:positionV>
            <wp:extent cx="5742000" cy="2163600"/>
            <wp:effectExtent l="0" t="0" r="0" b="8255"/>
            <wp:wrapTopAndBottom/>
            <wp:docPr id="13"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000" cy="2163600"/>
                    </a:xfrm>
                    <a:prstGeom prst="rect">
                      <a:avLst/>
                    </a:prstGeom>
                  </pic:spPr>
                </pic:pic>
              </a:graphicData>
            </a:graphic>
            <wp14:sizeRelH relativeFrom="margin">
              <wp14:pctWidth>0</wp14:pctWidth>
            </wp14:sizeRelH>
            <wp14:sizeRelV relativeFrom="margin">
              <wp14:pctHeight>0</wp14:pctHeight>
            </wp14:sizeRelV>
          </wp:anchor>
        </w:drawing>
      </w:r>
      <w:r w:rsidR="2EB79702">
        <w:t xml:space="preserve">Obrázok </w:t>
      </w:r>
      <w:r>
        <w:fldChar w:fldCharType="begin"/>
      </w:r>
      <w:r>
        <w:instrText>SEQ Obrázok \* ARABIC</w:instrText>
      </w:r>
      <w:r>
        <w:fldChar w:fldCharType="separate"/>
      </w:r>
      <w:r w:rsidR="00873A9F">
        <w:rPr>
          <w:noProof/>
        </w:rPr>
        <w:t>6</w:t>
      </w:r>
      <w:r>
        <w:fldChar w:fldCharType="end"/>
      </w:r>
      <w:r w:rsidR="2EB79702">
        <w:t xml:space="preserve">: </w:t>
      </w:r>
      <w:r w:rsidRPr="004D73C4">
        <w:t xml:space="preserve">Finančná prognóza </w:t>
      </w:r>
      <w:r w:rsidR="00433BD6">
        <w:t>Do roku 2030</w:t>
      </w:r>
      <w:r w:rsidRPr="004D73C4">
        <w:t xml:space="preserve"> (štátny rozpočet, RRF, OP Slovensko, OPII)</w:t>
      </w:r>
    </w:p>
    <w:p w14:paraId="2D9F6DAF" w14:textId="77777777" w:rsidR="00250001" w:rsidRPr="004D73C4" w:rsidRDefault="00250001" w:rsidP="008B0E07">
      <w:pPr>
        <w:rPr>
          <w:rFonts w:ascii="Times" w:hAnsi="Times" w:cs="Times"/>
        </w:rPr>
      </w:pPr>
    </w:p>
    <w:p w14:paraId="583F9988" w14:textId="77777777" w:rsidR="00250001" w:rsidRPr="004D73C4" w:rsidRDefault="00250001" w:rsidP="002B60D7">
      <w:pPr>
        <w:pStyle w:val="Nadpis2"/>
      </w:pPr>
      <w:bookmarkStart w:id="172" w:name="_Toc69297726"/>
      <w:bookmarkStart w:id="173" w:name="_Toc70369689"/>
      <w:bookmarkStart w:id="174" w:name="_Toc70711630"/>
      <w:r w:rsidRPr="004D73C4">
        <w:t>Merateľné ukazovatele</w:t>
      </w:r>
      <w:bookmarkEnd w:id="172"/>
      <w:bookmarkEnd w:id="173"/>
      <w:bookmarkEnd w:id="174"/>
    </w:p>
    <w:p w14:paraId="1AF1D0C6" w14:textId="77777777" w:rsidR="00250001" w:rsidRPr="004D73C4" w:rsidRDefault="00250001" w:rsidP="008D1ABF">
      <w:r w:rsidRPr="00236EBE">
        <w:t>Plnenie stanovených cieľov sa bude vyhodnocovať prostredníctvom merateľných ukazovateľov špecifikovaných v</w:t>
      </w:r>
      <w:r w:rsidR="00EE2B3B" w:rsidRPr="00236EBE">
        <w:t xml:space="preserve"> samostatnej </w:t>
      </w:r>
      <w:r w:rsidRPr="00236EBE">
        <w:t>prílohe č. 2 – Merateľné ukazovatele dosahovania cieľov. Ku každému strategickému cieľu priorite sú priradené merateľné ukazovatele na sledovanie dosiahnutého pokroku, aj s východiskovými a cieľovými hodnotami, vrátane zodpovedných orgánov riadenia, ktoré zodpovedajú za dosiahnutie strategických cieľov.</w:t>
      </w:r>
      <w:r w:rsidRPr="004D73C4">
        <w:t xml:space="preserve"> </w:t>
      </w:r>
    </w:p>
    <w:p w14:paraId="49E2F1A7" w14:textId="77777777" w:rsidR="00250001" w:rsidRPr="004D73C4" w:rsidRDefault="00250001" w:rsidP="008D1ABF">
      <w:r w:rsidRPr="004D73C4">
        <w:t xml:space="preserve">Pre cieľ </w:t>
      </w:r>
      <w:r w:rsidR="00A610E3">
        <w:t xml:space="preserve">Digitálne </w:t>
      </w:r>
      <w:r w:rsidRPr="004D73C4">
        <w:t xml:space="preserve">služby bol v prvom rade kladený dôraz na výber ukazovateľov, ktoré sleduje e-Government Benchmark EK. Na meranie sa používa oficiálna, dlhodobá a jednotná metodika EK, ktorá poskytuje celkový pohľad na e-Government v členských štátoch EÚ. </w:t>
      </w:r>
    </w:p>
    <w:p w14:paraId="225D7693" w14:textId="77777777" w:rsidR="00250001" w:rsidRPr="004D73C4" w:rsidRDefault="00250001" w:rsidP="00A00C6E">
      <w:r w:rsidRPr="004D73C4">
        <w:t xml:space="preserve">Progres cieľa </w:t>
      </w:r>
      <w:r w:rsidR="00EE2B3B">
        <w:t>D</w:t>
      </w:r>
      <w:r w:rsidRPr="004D73C4">
        <w:t>igitálna transformácia je sledovaný cez európske dátové ukazovatele, DESI index a odporúčania analytických jednotiek. Iniciatíva informatizácia územnej samosprávy je meraná ukazovateľmi lepších služieb.</w:t>
      </w:r>
    </w:p>
    <w:p w14:paraId="769AB63F" w14:textId="77777777" w:rsidR="00250001" w:rsidRPr="004D73C4" w:rsidRDefault="00250001" w:rsidP="008D1ABF">
      <w:r w:rsidRPr="004D73C4">
        <w:t>Sta</w:t>
      </w:r>
      <w:r w:rsidR="00EE2B3B">
        <w:t>novené ciele a ukazovatele pre E</w:t>
      </w:r>
      <w:r w:rsidRPr="004D73C4">
        <w:t>fektívne riadenie treba chápať ako ukazovatele, ktoré idú nad rámec opatrení a ukazovateľov z Revízie výdavkov na informatizáciu 2.0, pričom sa v tomto dokumente neduplikujú, ale dopĺňajú.</w:t>
      </w:r>
    </w:p>
    <w:p w14:paraId="284E8EB7" w14:textId="59CFFDB6" w:rsidR="006B673E" w:rsidRDefault="00250001" w:rsidP="00EE2B3B">
      <w:r w:rsidRPr="004D73C4">
        <w:t xml:space="preserve">Aby bolo možné sledovať progres a možnosti zlepšenia jednotlivých iniciatív, tak ukazovatele budú odrážať pohľad na úrovni ústredných orgánov štátnej správy, samosprávy a európskeho priestoru. </w:t>
      </w:r>
    </w:p>
    <w:p w14:paraId="1B450DC1" w14:textId="432D6866" w:rsidR="0060626D" w:rsidRDefault="0060626D">
      <w:pPr>
        <w:spacing w:after="200" w:line="276" w:lineRule="auto"/>
        <w:jc w:val="left"/>
      </w:pPr>
      <w:r>
        <w:br w:type="page"/>
      </w:r>
    </w:p>
    <w:tbl>
      <w:tblPr>
        <w:tblStyle w:val="GridTable5Dark-Accent5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507"/>
        <w:gridCol w:w="1595"/>
        <w:gridCol w:w="3270"/>
        <w:gridCol w:w="1345"/>
        <w:gridCol w:w="1345"/>
      </w:tblGrid>
      <w:tr w:rsidR="004D3E9E" w:rsidRPr="00A637E7" w14:paraId="44197688" w14:textId="77777777" w:rsidTr="006062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 w:type="pct"/>
            <w:tcBorders>
              <w:top w:val="none" w:sz="0" w:space="0" w:color="auto"/>
              <w:left w:val="none" w:sz="0" w:space="0" w:color="auto"/>
              <w:right w:val="none" w:sz="0" w:space="0" w:color="auto"/>
            </w:tcBorders>
            <w:shd w:val="clear" w:color="auto" w:fill="548DD4" w:themeFill="text2" w:themeFillTint="99"/>
          </w:tcPr>
          <w:p w14:paraId="68C5D7D2" w14:textId="77777777" w:rsidR="00250001" w:rsidRPr="00A637E7" w:rsidRDefault="00BF4F03" w:rsidP="00257EBC">
            <w:pPr>
              <w:spacing w:before="120"/>
              <w:jc w:val="center"/>
              <w:rPr>
                <w:rFonts w:ascii="Arial Narrow" w:hAnsi="Arial Narrow" w:cs="Arial Narrow"/>
                <w:color w:val="FFFFFF" w:themeColor="background1"/>
                <w:sz w:val="22"/>
                <w:szCs w:val="22"/>
                <w:lang w:val="sk-SK"/>
              </w:rPr>
            </w:pPr>
            <w:r w:rsidRPr="00A637E7">
              <w:rPr>
                <w:rFonts w:ascii="Arial Narrow" w:hAnsi="Arial Narrow" w:cs="Arial Narrow"/>
                <w:color w:val="FFFFFF" w:themeColor="background1"/>
                <w:sz w:val="22"/>
                <w:szCs w:val="22"/>
                <w:lang w:val="sk-SK"/>
              </w:rPr>
              <w:lastRenderedPageBreak/>
              <w:t>Strategický c</w:t>
            </w:r>
            <w:r w:rsidR="00250001" w:rsidRPr="00A637E7">
              <w:rPr>
                <w:rFonts w:ascii="Arial Narrow" w:hAnsi="Arial Narrow" w:cs="Arial Narrow"/>
                <w:color w:val="FFFFFF" w:themeColor="background1"/>
                <w:sz w:val="22"/>
                <w:szCs w:val="22"/>
                <w:lang w:val="sk-SK"/>
              </w:rPr>
              <w:t>ieľ</w:t>
            </w:r>
          </w:p>
        </w:tc>
        <w:tc>
          <w:tcPr>
            <w:tcW w:w="880" w:type="pct"/>
            <w:tcBorders>
              <w:top w:val="none" w:sz="0" w:space="0" w:color="auto"/>
              <w:left w:val="none" w:sz="0" w:space="0" w:color="auto"/>
              <w:right w:val="none" w:sz="0" w:space="0" w:color="auto"/>
            </w:tcBorders>
            <w:shd w:val="clear" w:color="auto" w:fill="548DD4" w:themeFill="text2" w:themeFillTint="99"/>
          </w:tcPr>
          <w:p w14:paraId="08F58F39" w14:textId="77777777" w:rsidR="00250001" w:rsidRPr="00A637E7" w:rsidRDefault="007B6B8D" w:rsidP="00257EBC">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color w:val="FFFFFF" w:themeColor="background1"/>
                <w:sz w:val="22"/>
                <w:szCs w:val="22"/>
                <w:lang w:val="sk-SK"/>
              </w:rPr>
            </w:pPr>
            <w:r w:rsidRPr="00A637E7">
              <w:rPr>
                <w:rFonts w:ascii="Arial Narrow" w:hAnsi="Arial Narrow" w:cs="Arial Narrow"/>
                <w:color w:val="FFFFFF" w:themeColor="background1"/>
                <w:sz w:val="22"/>
                <w:szCs w:val="22"/>
                <w:lang w:val="sk-SK"/>
              </w:rPr>
              <w:t>Priorita</w:t>
            </w:r>
          </w:p>
        </w:tc>
        <w:tc>
          <w:tcPr>
            <w:tcW w:w="1804" w:type="pct"/>
            <w:tcBorders>
              <w:top w:val="none" w:sz="0" w:space="0" w:color="auto"/>
              <w:left w:val="none" w:sz="0" w:space="0" w:color="auto"/>
              <w:right w:val="none" w:sz="0" w:space="0" w:color="auto"/>
            </w:tcBorders>
            <w:shd w:val="clear" w:color="auto" w:fill="548DD4" w:themeFill="text2" w:themeFillTint="99"/>
          </w:tcPr>
          <w:p w14:paraId="4F8441D1" w14:textId="77777777" w:rsidR="00250001" w:rsidRPr="00A637E7" w:rsidRDefault="00250001" w:rsidP="00257EBC">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color w:val="FFFFFF" w:themeColor="background1"/>
                <w:sz w:val="22"/>
                <w:szCs w:val="22"/>
                <w:lang w:val="sk-SK"/>
              </w:rPr>
            </w:pPr>
            <w:r w:rsidRPr="00A637E7">
              <w:rPr>
                <w:rFonts w:ascii="Arial Narrow" w:hAnsi="Arial Narrow" w:cs="Arial Narrow"/>
                <w:color w:val="FFFFFF" w:themeColor="background1"/>
                <w:sz w:val="22"/>
                <w:szCs w:val="22"/>
                <w:lang w:val="sk-SK"/>
              </w:rPr>
              <w:t>Ukazovateľ</w:t>
            </w:r>
          </w:p>
        </w:tc>
        <w:tc>
          <w:tcPr>
            <w:tcW w:w="742" w:type="pct"/>
            <w:tcBorders>
              <w:top w:val="none" w:sz="0" w:space="0" w:color="auto"/>
              <w:left w:val="none" w:sz="0" w:space="0" w:color="auto"/>
              <w:right w:val="none" w:sz="0" w:space="0" w:color="auto"/>
            </w:tcBorders>
            <w:shd w:val="clear" w:color="auto" w:fill="548DD4" w:themeFill="text2" w:themeFillTint="99"/>
          </w:tcPr>
          <w:p w14:paraId="1FDDCD0A" w14:textId="77777777" w:rsidR="00250001" w:rsidRPr="00A637E7" w:rsidRDefault="00250001" w:rsidP="00257EBC">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color w:val="FFFFFF" w:themeColor="background1"/>
                <w:sz w:val="22"/>
                <w:szCs w:val="22"/>
                <w:lang w:val="sk-SK"/>
              </w:rPr>
            </w:pPr>
            <w:r w:rsidRPr="00A637E7">
              <w:rPr>
                <w:rFonts w:ascii="Arial Narrow" w:hAnsi="Arial Narrow" w:cs="Arial Narrow"/>
                <w:color w:val="FFFFFF" w:themeColor="background1"/>
                <w:sz w:val="22"/>
                <w:szCs w:val="22"/>
                <w:lang w:val="sk-SK"/>
              </w:rPr>
              <w:t>2021</w:t>
            </w:r>
          </w:p>
        </w:tc>
        <w:tc>
          <w:tcPr>
            <w:tcW w:w="742" w:type="pct"/>
            <w:tcBorders>
              <w:top w:val="none" w:sz="0" w:space="0" w:color="auto"/>
              <w:left w:val="none" w:sz="0" w:space="0" w:color="auto"/>
              <w:right w:val="none" w:sz="0" w:space="0" w:color="auto"/>
            </w:tcBorders>
            <w:shd w:val="clear" w:color="auto" w:fill="548DD4" w:themeFill="text2" w:themeFillTint="99"/>
          </w:tcPr>
          <w:p w14:paraId="1B0FB182" w14:textId="77777777" w:rsidR="00250001" w:rsidRPr="00A637E7" w:rsidRDefault="00250001" w:rsidP="00257EBC">
            <w:pPr>
              <w:spacing w:before="12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color w:val="FFFFFF" w:themeColor="background1"/>
                <w:sz w:val="22"/>
                <w:szCs w:val="22"/>
                <w:lang w:val="sk-SK"/>
              </w:rPr>
            </w:pPr>
            <w:r w:rsidRPr="00A637E7">
              <w:rPr>
                <w:rFonts w:ascii="Arial Narrow" w:hAnsi="Arial Narrow" w:cs="Arial Narrow"/>
                <w:color w:val="FFFFFF" w:themeColor="background1"/>
                <w:sz w:val="22"/>
                <w:szCs w:val="22"/>
                <w:lang w:val="sk-SK"/>
              </w:rPr>
              <w:t>2023</w:t>
            </w:r>
          </w:p>
        </w:tc>
      </w:tr>
      <w:tr w:rsidR="004D3E9E" w:rsidRPr="00A637E7" w14:paraId="0EBE922B" w14:textId="77777777" w:rsidTr="0060626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31" w:type="pct"/>
            <w:vMerge w:val="restart"/>
            <w:tcBorders>
              <w:left w:val="none" w:sz="0" w:space="0" w:color="auto"/>
            </w:tcBorders>
            <w:shd w:val="clear" w:color="auto" w:fill="auto"/>
          </w:tcPr>
          <w:p w14:paraId="1FE522FD" w14:textId="77777777" w:rsidR="00250001" w:rsidRPr="00A637E7" w:rsidRDefault="00BF4F03" w:rsidP="00257EBC">
            <w:pPr>
              <w:rPr>
                <w:rFonts w:ascii="Arial Narrow" w:eastAsiaTheme="minorEastAsia" w:hAnsi="Arial Narrow" w:cstheme="minorHAnsi"/>
                <w:color w:val="auto"/>
                <w:lang w:val="sk-SK"/>
              </w:rPr>
            </w:pPr>
            <w:r w:rsidRPr="00A637E7">
              <w:rPr>
                <w:rFonts w:ascii="Arial Narrow" w:eastAsiaTheme="minorEastAsia" w:hAnsi="Arial Narrow" w:cstheme="minorHAnsi"/>
                <w:color w:val="auto"/>
                <w:lang w:val="sk-SK"/>
              </w:rPr>
              <w:t>Digitálne</w:t>
            </w:r>
            <w:r w:rsidR="00250001" w:rsidRPr="00A637E7">
              <w:rPr>
                <w:rFonts w:ascii="Arial Narrow" w:eastAsiaTheme="minorEastAsia" w:hAnsi="Arial Narrow" w:cstheme="minorHAnsi"/>
                <w:color w:val="auto"/>
                <w:lang w:val="sk-SK"/>
              </w:rPr>
              <w:t xml:space="preserve"> </w:t>
            </w:r>
            <w:r w:rsidRPr="00A637E7">
              <w:rPr>
                <w:rFonts w:ascii="Arial Narrow" w:eastAsiaTheme="minorEastAsia" w:hAnsi="Arial Narrow" w:cstheme="minorHAnsi"/>
                <w:color w:val="auto"/>
                <w:lang w:val="sk-SK"/>
              </w:rPr>
              <w:t>s</w:t>
            </w:r>
            <w:r w:rsidR="00250001" w:rsidRPr="00A637E7">
              <w:rPr>
                <w:rFonts w:ascii="Arial Narrow" w:eastAsiaTheme="minorEastAsia" w:hAnsi="Arial Narrow" w:cstheme="minorHAnsi"/>
                <w:color w:val="auto"/>
                <w:lang w:val="sk-SK"/>
              </w:rPr>
              <w:t>lužby</w:t>
            </w:r>
          </w:p>
        </w:tc>
        <w:tc>
          <w:tcPr>
            <w:tcW w:w="880" w:type="pct"/>
            <w:vMerge w:val="restart"/>
            <w:shd w:val="clear" w:color="auto" w:fill="auto"/>
          </w:tcPr>
          <w:p w14:paraId="347C06BF" w14:textId="77777777" w:rsidR="00250001" w:rsidRPr="00A637E7" w:rsidRDefault="00250001" w:rsidP="00257EBC">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Zameranie na používateľa</w:t>
            </w:r>
          </w:p>
        </w:tc>
        <w:tc>
          <w:tcPr>
            <w:tcW w:w="1804" w:type="pct"/>
            <w:shd w:val="clear" w:color="auto" w:fill="auto"/>
          </w:tcPr>
          <w:p w14:paraId="151BA821" w14:textId="77777777" w:rsidR="00250001" w:rsidRPr="00A637E7" w:rsidRDefault="00FF273B" w:rsidP="009251B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lang w:val="sk-SK"/>
              </w:rPr>
            </w:pPr>
            <w:r w:rsidRPr="00A637E7">
              <w:rPr>
                <w:rFonts w:ascii="Arial Narrow" w:hAnsi="Arial Narrow" w:cs="Calibri"/>
                <w:color w:val="000000"/>
                <w:lang w:val="sk-SK"/>
              </w:rPr>
              <w:t>e</w:t>
            </w:r>
            <w:r w:rsidR="00A637E7">
              <w:rPr>
                <w:rFonts w:ascii="Arial Narrow" w:hAnsi="Arial Narrow" w:cs="Calibri"/>
                <w:color w:val="000000"/>
                <w:lang w:val="sk-SK"/>
              </w:rPr>
              <w:t>-</w:t>
            </w:r>
            <w:r w:rsidRPr="00A637E7">
              <w:rPr>
                <w:rFonts w:ascii="Arial Narrow" w:hAnsi="Arial Narrow" w:cs="Calibri"/>
                <w:color w:val="000000"/>
                <w:lang w:val="sk-SK"/>
              </w:rPr>
              <w:t>Government Benchmark EK - skóre Zameranie na používateľa</w:t>
            </w:r>
          </w:p>
        </w:tc>
        <w:tc>
          <w:tcPr>
            <w:tcW w:w="742" w:type="pct"/>
            <w:shd w:val="clear" w:color="auto" w:fill="auto"/>
          </w:tcPr>
          <w:p w14:paraId="610DAC30" w14:textId="77777777" w:rsidR="00250001" w:rsidRPr="00A637E7" w:rsidRDefault="00250001" w:rsidP="00FF273B">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8</w:t>
            </w:r>
            <w:r w:rsidR="00FF273B" w:rsidRPr="00A637E7">
              <w:rPr>
                <w:rFonts w:ascii="Arial Narrow" w:eastAsiaTheme="minorEastAsia" w:hAnsi="Arial Narrow" w:cstheme="minorHAnsi"/>
                <w:lang w:val="sk-SK"/>
              </w:rPr>
              <w:t>5</w:t>
            </w:r>
            <w:r w:rsidRPr="00A637E7">
              <w:rPr>
                <w:rFonts w:ascii="Arial Narrow" w:eastAsiaTheme="minorEastAsia" w:hAnsi="Arial Narrow" w:cstheme="minorHAnsi"/>
                <w:lang w:val="sk-SK"/>
              </w:rPr>
              <w:t>%</w:t>
            </w:r>
          </w:p>
        </w:tc>
        <w:tc>
          <w:tcPr>
            <w:tcW w:w="742" w:type="pct"/>
            <w:shd w:val="clear" w:color="auto" w:fill="auto"/>
          </w:tcPr>
          <w:p w14:paraId="6493A219" w14:textId="77777777" w:rsidR="00250001" w:rsidRPr="00A637E7" w:rsidRDefault="00250001" w:rsidP="00FF273B">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8</w:t>
            </w:r>
            <w:r w:rsidR="00FF273B" w:rsidRPr="00A637E7">
              <w:rPr>
                <w:rFonts w:ascii="Arial Narrow" w:eastAsiaTheme="minorEastAsia" w:hAnsi="Arial Narrow" w:cstheme="minorHAnsi"/>
                <w:lang w:val="sk-SK"/>
              </w:rPr>
              <w:t>8</w:t>
            </w:r>
            <w:r w:rsidRPr="00A637E7">
              <w:rPr>
                <w:rFonts w:ascii="Arial Narrow" w:eastAsiaTheme="minorEastAsia" w:hAnsi="Arial Narrow" w:cstheme="minorHAnsi"/>
                <w:lang w:val="sk-SK"/>
              </w:rPr>
              <w:t>%</w:t>
            </w:r>
          </w:p>
        </w:tc>
      </w:tr>
      <w:tr w:rsidR="004D3E9E" w:rsidRPr="00A637E7" w14:paraId="097B6B98" w14:textId="77777777" w:rsidTr="0060626D">
        <w:trPr>
          <w:trHeight w:val="907"/>
        </w:trPr>
        <w:tc>
          <w:tcPr>
            <w:cnfStyle w:val="001000000000" w:firstRow="0" w:lastRow="0" w:firstColumn="1" w:lastColumn="0" w:oddVBand="0" w:evenVBand="0" w:oddHBand="0" w:evenHBand="0" w:firstRowFirstColumn="0" w:firstRowLastColumn="0" w:lastRowFirstColumn="0" w:lastRowLastColumn="0"/>
            <w:tcW w:w="831" w:type="pct"/>
            <w:vMerge/>
            <w:tcBorders>
              <w:left w:val="none" w:sz="0" w:space="0" w:color="auto"/>
            </w:tcBorders>
            <w:shd w:val="clear" w:color="auto" w:fill="auto"/>
          </w:tcPr>
          <w:p w14:paraId="3FFA437A" w14:textId="77777777" w:rsidR="00250001" w:rsidRPr="00A637E7" w:rsidRDefault="00250001" w:rsidP="00257EBC">
            <w:pPr>
              <w:rPr>
                <w:rFonts w:ascii="Arial Narrow" w:eastAsiaTheme="minorEastAsia" w:hAnsi="Arial Narrow" w:cstheme="minorHAnsi"/>
                <w:color w:val="auto"/>
                <w:lang w:val="sk-SK"/>
              </w:rPr>
            </w:pPr>
          </w:p>
        </w:tc>
        <w:tc>
          <w:tcPr>
            <w:tcW w:w="880" w:type="pct"/>
            <w:vMerge/>
            <w:shd w:val="clear" w:color="auto" w:fill="auto"/>
          </w:tcPr>
          <w:p w14:paraId="7EFB8093" w14:textId="77777777" w:rsidR="00250001" w:rsidRPr="00A637E7" w:rsidRDefault="00250001" w:rsidP="00257EBC">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highlight w:val="yellow"/>
                <w:lang w:val="sk-SK"/>
              </w:rPr>
            </w:pPr>
          </w:p>
        </w:tc>
        <w:tc>
          <w:tcPr>
            <w:tcW w:w="1804" w:type="pct"/>
            <w:shd w:val="clear" w:color="auto" w:fill="auto"/>
          </w:tcPr>
          <w:p w14:paraId="11807EC4" w14:textId="77777777" w:rsidR="00250001" w:rsidRPr="00A637E7" w:rsidRDefault="00FF273B" w:rsidP="00A637E7">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lang w:val="sk-SK"/>
              </w:rPr>
            </w:pPr>
            <w:r w:rsidRPr="00A637E7">
              <w:rPr>
                <w:rFonts w:ascii="Arial Narrow" w:hAnsi="Arial Narrow" w:cs="Calibri"/>
                <w:color w:val="000000"/>
                <w:lang w:val="sk-SK"/>
              </w:rPr>
              <w:t>Podiel responzívnych a</w:t>
            </w:r>
            <w:r w:rsidRPr="00A637E7">
              <w:rPr>
                <w:rFonts w:ascii="Arial" w:hAnsi="Arial" w:cs="Arial"/>
                <w:color w:val="000000"/>
                <w:lang w:val="sk-SK"/>
              </w:rPr>
              <w:t> </w:t>
            </w:r>
            <w:r w:rsidRPr="00A637E7">
              <w:rPr>
                <w:rFonts w:ascii="Arial Narrow" w:hAnsi="Arial Narrow" w:cs="Calibri"/>
                <w:color w:val="000000"/>
                <w:lang w:val="sk-SK"/>
              </w:rPr>
              <w:t>mobilom vyu</w:t>
            </w:r>
            <w:r w:rsidRPr="00A637E7">
              <w:rPr>
                <w:rFonts w:ascii="Arial Narrow" w:hAnsi="Arial Narrow" w:cs="Arial Narrow"/>
                <w:color w:val="000000"/>
                <w:lang w:val="sk-SK"/>
              </w:rPr>
              <w:t>ž</w:t>
            </w:r>
            <w:r w:rsidRPr="00A637E7">
              <w:rPr>
                <w:rFonts w:ascii="Arial Narrow" w:hAnsi="Arial Narrow" w:cs="Calibri"/>
                <w:color w:val="000000"/>
                <w:lang w:val="sk-SK"/>
              </w:rPr>
              <w:t>ite</w:t>
            </w:r>
            <w:r w:rsidRPr="00A637E7">
              <w:rPr>
                <w:rFonts w:ascii="Arial Narrow" w:hAnsi="Arial Narrow" w:cs="Arial Narrow"/>
                <w:color w:val="000000"/>
                <w:lang w:val="sk-SK"/>
              </w:rPr>
              <w:t>ľ</w:t>
            </w:r>
            <w:r w:rsidRPr="00A637E7">
              <w:rPr>
                <w:rFonts w:ascii="Arial Narrow" w:hAnsi="Arial Narrow" w:cs="Calibri"/>
                <w:color w:val="000000"/>
                <w:lang w:val="sk-SK"/>
              </w:rPr>
              <w:t>n</w:t>
            </w:r>
            <w:r w:rsidRPr="00A637E7">
              <w:rPr>
                <w:rFonts w:ascii="Arial Narrow" w:hAnsi="Arial Narrow" w:cs="Arial Narrow"/>
                <w:color w:val="000000"/>
                <w:lang w:val="sk-SK"/>
              </w:rPr>
              <w:t>ý</w:t>
            </w:r>
            <w:r w:rsidRPr="00A637E7">
              <w:rPr>
                <w:rFonts w:ascii="Arial Narrow" w:hAnsi="Arial Narrow" w:cs="Calibri"/>
                <w:color w:val="000000"/>
                <w:lang w:val="sk-SK"/>
              </w:rPr>
              <w:t>ch prioritn</w:t>
            </w:r>
            <w:r w:rsidRPr="00A637E7">
              <w:rPr>
                <w:rFonts w:ascii="Arial Narrow" w:hAnsi="Arial Narrow" w:cs="Arial Narrow"/>
                <w:color w:val="000000"/>
                <w:lang w:val="sk-SK"/>
              </w:rPr>
              <w:t>ý</w:t>
            </w:r>
            <w:r w:rsidRPr="00A637E7">
              <w:rPr>
                <w:rFonts w:ascii="Arial Narrow" w:hAnsi="Arial Narrow" w:cs="Calibri"/>
                <w:color w:val="000000"/>
                <w:lang w:val="sk-SK"/>
              </w:rPr>
              <w:t>ch koncov</w:t>
            </w:r>
            <w:r w:rsidRPr="00A637E7">
              <w:rPr>
                <w:rFonts w:ascii="Arial Narrow" w:hAnsi="Arial Narrow" w:cs="Arial Narrow"/>
                <w:color w:val="000000"/>
                <w:lang w:val="sk-SK"/>
              </w:rPr>
              <w:t>ý</w:t>
            </w:r>
            <w:r w:rsidRPr="00A637E7">
              <w:rPr>
                <w:rFonts w:ascii="Arial Narrow" w:hAnsi="Arial Narrow" w:cs="Calibri"/>
                <w:color w:val="000000"/>
                <w:lang w:val="sk-SK"/>
              </w:rPr>
              <w:t>ch slu</w:t>
            </w:r>
            <w:r w:rsidRPr="00A637E7">
              <w:rPr>
                <w:rFonts w:ascii="Arial Narrow" w:hAnsi="Arial Narrow" w:cs="Arial Narrow"/>
                <w:color w:val="000000"/>
                <w:lang w:val="sk-SK"/>
              </w:rPr>
              <w:t>ž</w:t>
            </w:r>
            <w:r w:rsidRPr="00A637E7">
              <w:rPr>
                <w:rFonts w:ascii="Arial Narrow" w:hAnsi="Arial Narrow" w:cs="Calibri"/>
                <w:color w:val="000000"/>
                <w:lang w:val="sk-SK"/>
              </w:rPr>
              <w:t>ieb vo forme webových aplikácií</w:t>
            </w:r>
          </w:p>
        </w:tc>
        <w:tc>
          <w:tcPr>
            <w:tcW w:w="742" w:type="pct"/>
            <w:shd w:val="clear" w:color="auto" w:fill="auto"/>
          </w:tcPr>
          <w:p w14:paraId="098BE652" w14:textId="77777777" w:rsidR="00250001" w:rsidRPr="00A637E7" w:rsidRDefault="00FF273B" w:rsidP="00FF273B">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NA</w:t>
            </w:r>
          </w:p>
        </w:tc>
        <w:tc>
          <w:tcPr>
            <w:tcW w:w="742" w:type="pct"/>
            <w:shd w:val="clear" w:color="auto" w:fill="auto"/>
          </w:tcPr>
          <w:p w14:paraId="570F8558" w14:textId="77777777" w:rsidR="00250001" w:rsidRPr="00A637E7" w:rsidRDefault="00FF273B" w:rsidP="00FF273B">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5</w:t>
            </w:r>
            <w:r w:rsidR="00250001" w:rsidRPr="00A637E7">
              <w:rPr>
                <w:rFonts w:ascii="Arial Narrow" w:eastAsiaTheme="minorEastAsia" w:hAnsi="Arial Narrow" w:cstheme="minorHAnsi"/>
                <w:lang w:val="sk-SK"/>
              </w:rPr>
              <w:t>%</w:t>
            </w:r>
          </w:p>
        </w:tc>
      </w:tr>
      <w:tr w:rsidR="004D3E9E" w:rsidRPr="00A637E7" w14:paraId="265A3936" w14:textId="77777777" w:rsidTr="0060626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31" w:type="pct"/>
            <w:vMerge/>
            <w:tcBorders>
              <w:left w:val="none" w:sz="0" w:space="0" w:color="auto"/>
            </w:tcBorders>
            <w:shd w:val="clear" w:color="auto" w:fill="auto"/>
          </w:tcPr>
          <w:p w14:paraId="5EDB6BE7" w14:textId="77777777" w:rsidR="00250001" w:rsidRPr="00A637E7" w:rsidRDefault="00250001" w:rsidP="00257EBC">
            <w:pPr>
              <w:rPr>
                <w:rFonts w:ascii="Arial Narrow" w:eastAsiaTheme="minorEastAsia" w:hAnsi="Arial Narrow" w:cstheme="minorHAnsi"/>
                <w:color w:val="auto"/>
                <w:lang w:val="sk-SK"/>
              </w:rPr>
            </w:pPr>
          </w:p>
        </w:tc>
        <w:tc>
          <w:tcPr>
            <w:tcW w:w="880" w:type="pct"/>
            <w:shd w:val="clear" w:color="auto" w:fill="auto"/>
          </w:tcPr>
          <w:p w14:paraId="22C753E9" w14:textId="77777777" w:rsidR="00250001" w:rsidRPr="00A637E7" w:rsidRDefault="00250001" w:rsidP="00257EBC">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Transparentnosť</w:t>
            </w:r>
          </w:p>
        </w:tc>
        <w:tc>
          <w:tcPr>
            <w:tcW w:w="1804" w:type="pct"/>
            <w:shd w:val="clear" w:color="auto" w:fill="auto"/>
          </w:tcPr>
          <w:p w14:paraId="53EAE710" w14:textId="77777777" w:rsidR="00250001" w:rsidRPr="00A637E7" w:rsidRDefault="00A637E7" w:rsidP="00A637E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lang w:val="sk-SK"/>
              </w:rPr>
            </w:pPr>
            <w:r>
              <w:rPr>
                <w:rFonts w:ascii="Arial Narrow" w:hAnsi="Arial Narrow" w:cs="Calibri"/>
                <w:color w:val="000000"/>
                <w:lang w:val="sk-SK"/>
              </w:rPr>
              <w:t>e-</w:t>
            </w:r>
            <w:r w:rsidRPr="00A637E7">
              <w:rPr>
                <w:rFonts w:ascii="Arial Narrow" w:hAnsi="Arial Narrow" w:cs="Calibri"/>
                <w:color w:val="000000"/>
                <w:lang w:val="sk-SK"/>
              </w:rPr>
              <w:t>Government</w:t>
            </w:r>
            <w:r w:rsidR="00FF273B" w:rsidRPr="00A637E7">
              <w:rPr>
                <w:rFonts w:ascii="Arial Narrow" w:hAnsi="Arial Narrow" w:cs="Calibri"/>
                <w:color w:val="000000"/>
                <w:lang w:val="sk-SK"/>
              </w:rPr>
              <w:t xml:space="preserve"> Benchmark EK - skóre Transparentnosť</w:t>
            </w:r>
          </w:p>
        </w:tc>
        <w:tc>
          <w:tcPr>
            <w:tcW w:w="742" w:type="pct"/>
            <w:shd w:val="clear" w:color="auto" w:fill="auto"/>
          </w:tcPr>
          <w:p w14:paraId="75AF2D59" w14:textId="77777777" w:rsidR="00250001" w:rsidRPr="00A637E7" w:rsidRDefault="00250001" w:rsidP="00FF273B">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4</w:t>
            </w:r>
            <w:r w:rsidR="00FF273B" w:rsidRPr="00A637E7">
              <w:rPr>
                <w:rFonts w:ascii="Arial Narrow" w:eastAsiaTheme="minorEastAsia" w:hAnsi="Arial Narrow" w:cstheme="minorHAnsi"/>
                <w:lang w:val="sk-SK"/>
              </w:rPr>
              <w:t>7</w:t>
            </w:r>
            <w:r w:rsidRPr="00A637E7">
              <w:rPr>
                <w:rFonts w:ascii="Arial Narrow" w:eastAsiaTheme="minorEastAsia" w:hAnsi="Arial Narrow" w:cstheme="minorHAnsi"/>
                <w:lang w:val="sk-SK"/>
              </w:rPr>
              <w:t>%</w:t>
            </w:r>
          </w:p>
        </w:tc>
        <w:tc>
          <w:tcPr>
            <w:tcW w:w="742" w:type="pct"/>
            <w:shd w:val="clear" w:color="auto" w:fill="auto"/>
          </w:tcPr>
          <w:p w14:paraId="5C6B95AF" w14:textId="77777777" w:rsidR="00250001" w:rsidRPr="00A637E7" w:rsidRDefault="00250001" w:rsidP="007B6B8D">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5</w:t>
            </w:r>
            <w:r w:rsidR="007B6B8D" w:rsidRPr="00A637E7">
              <w:rPr>
                <w:rFonts w:ascii="Arial Narrow" w:eastAsiaTheme="minorEastAsia" w:hAnsi="Arial Narrow" w:cstheme="minorHAnsi"/>
                <w:lang w:val="sk-SK"/>
              </w:rPr>
              <w:t>2</w:t>
            </w:r>
            <w:r w:rsidRPr="00A637E7">
              <w:rPr>
                <w:rFonts w:ascii="Arial Narrow" w:eastAsiaTheme="minorEastAsia" w:hAnsi="Arial Narrow" w:cstheme="minorHAnsi"/>
                <w:lang w:val="sk-SK"/>
              </w:rPr>
              <w:t>%</w:t>
            </w:r>
          </w:p>
        </w:tc>
      </w:tr>
      <w:tr w:rsidR="004D3E9E" w:rsidRPr="00A637E7" w14:paraId="30C6A0B0" w14:textId="77777777" w:rsidTr="0060626D">
        <w:trPr>
          <w:trHeight w:val="680"/>
        </w:trPr>
        <w:tc>
          <w:tcPr>
            <w:cnfStyle w:val="001000000000" w:firstRow="0" w:lastRow="0" w:firstColumn="1" w:lastColumn="0" w:oddVBand="0" w:evenVBand="0" w:oddHBand="0" w:evenHBand="0" w:firstRowFirstColumn="0" w:firstRowLastColumn="0" w:lastRowFirstColumn="0" w:lastRowLastColumn="0"/>
            <w:tcW w:w="831" w:type="pct"/>
            <w:vMerge w:val="restart"/>
            <w:tcBorders>
              <w:left w:val="none" w:sz="0" w:space="0" w:color="auto"/>
            </w:tcBorders>
            <w:shd w:val="clear" w:color="auto" w:fill="auto"/>
          </w:tcPr>
          <w:p w14:paraId="6E518FE6" w14:textId="77777777" w:rsidR="00A610E3" w:rsidRPr="00A637E7" w:rsidRDefault="00A610E3" w:rsidP="00A610E3">
            <w:pPr>
              <w:rPr>
                <w:rFonts w:ascii="Arial Narrow" w:eastAsiaTheme="minorEastAsia" w:hAnsi="Arial Narrow" w:cstheme="minorHAnsi"/>
                <w:color w:val="auto"/>
                <w:lang w:val="sk-SK"/>
              </w:rPr>
            </w:pPr>
            <w:r w:rsidRPr="00A637E7">
              <w:rPr>
                <w:rFonts w:ascii="Arial Narrow" w:eastAsiaTheme="minorEastAsia" w:hAnsi="Arial Narrow" w:cstheme="minorHAnsi"/>
                <w:color w:val="auto"/>
                <w:lang w:val="sk-SK"/>
              </w:rPr>
              <w:t>Digitálna transformácia</w:t>
            </w:r>
            <w:r w:rsidR="006B673E" w:rsidRPr="00A637E7">
              <w:rPr>
                <w:rFonts w:ascii="Arial Narrow" w:eastAsiaTheme="minorEastAsia" w:hAnsi="Arial Narrow" w:cstheme="minorHAnsi"/>
                <w:color w:val="auto"/>
                <w:lang w:val="sk-SK"/>
              </w:rPr>
              <w:t xml:space="preserve"> verejnej správy</w:t>
            </w:r>
          </w:p>
        </w:tc>
        <w:tc>
          <w:tcPr>
            <w:tcW w:w="880" w:type="pct"/>
            <w:shd w:val="clear" w:color="auto" w:fill="auto"/>
          </w:tcPr>
          <w:p w14:paraId="4A0A6F1A" w14:textId="77777777" w:rsidR="00A610E3" w:rsidRPr="00A637E7" w:rsidRDefault="00A610E3" w:rsidP="00A610E3">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Zmena fungovania VS</w:t>
            </w:r>
          </w:p>
        </w:tc>
        <w:tc>
          <w:tcPr>
            <w:tcW w:w="1804" w:type="pct"/>
            <w:shd w:val="clear" w:color="auto" w:fill="auto"/>
          </w:tcPr>
          <w:p w14:paraId="0D551EBA" w14:textId="77777777" w:rsidR="00A610E3" w:rsidRPr="00A637E7" w:rsidRDefault="00A610E3" w:rsidP="00A610E3">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Počet prevádzkovaných agendových IS poskytujúcich otvorené API</w:t>
            </w:r>
          </w:p>
        </w:tc>
        <w:tc>
          <w:tcPr>
            <w:tcW w:w="742" w:type="pct"/>
            <w:shd w:val="clear" w:color="auto" w:fill="auto"/>
          </w:tcPr>
          <w:p w14:paraId="158876BA" w14:textId="77777777" w:rsidR="00A610E3" w:rsidRPr="00A637E7" w:rsidRDefault="00A610E3" w:rsidP="00A610E3">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30</w:t>
            </w:r>
          </w:p>
        </w:tc>
        <w:tc>
          <w:tcPr>
            <w:tcW w:w="742" w:type="pct"/>
            <w:shd w:val="clear" w:color="auto" w:fill="auto"/>
          </w:tcPr>
          <w:p w14:paraId="2F3F770B" w14:textId="77777777" w:rsidR="00A610E3" w:rsidRPr="00A637E7" w:rsidRDefault="00A610E3" w:rsidP="00A610E3">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40</w:t>
            </w:r>
          </w:p>
        </w:tc>
      </w:tr>
      <w:tr w:rsidR="004D3E9E" w:rsidRPr="00A637E7" w14:paraId="34ED313D" w14:textId="77777777" w:rsidTr="0060626D">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31" w:type="pct"/>
            <w:vMerge/>
            <w:tcBorders>
              <w:left w:val="none" w:sz="0" w:space="0" w:color="auto"/>
            </w:tcBorders>
            <w:shd w:val="clear" w:color="auto" w:fill="auto"/>
          </w:tcPr>
          <w:p w14:paraId="4F0F428C" w14:textId="77777777" w:rsidR="00A610E3" w:rsidRPr="00A637E7" w:rsidRDefault="00A610E3" w:rsidP="00A610E3">
            <w:pPr>
              <w:rPr>
                <w:rFonts w:ascii="Arial Narrow" w:eastAsiaTheme="minorEastAsia" w:hAnsi="Arial Narrow" w:cstheme="minorHAnsi"/>
                <w:color w:val="auto"/>
                <w:lang w:val="sk-SK"/>
              </w:rPr>
            </w:pPr>
          </w:p>
        </w:tc>
        <w:tc>
          <w:tcPr>
            <w:tcW w:w="880" w:type="pct"/>
            <w:shd w:val="clear" w:color="auto" w:fill="auto"/>
          </w:tcPr>
          <w:p w14:paraId="1778E10F" w14:textId="77777777" w:rsidR="00A610E3" w:rsidRPr="00A637E7" w:rsidRDefault="00A610E3" w:rsidP="00A610E3">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Lepšie údaje</w:t>
            </w:r>
          </w:p>
        </w:tc>
        <w:tc>
          <w:tcPr>
            <w:tcW w:w="1804" w:type="pct"/>
            <w:shd w:val="clear" w:color="auto" w:fill="auto"/>
          </w:tcPr>
          <w:p w14:paraId="135EBB04" w14:textId="77777777" w:rsidR="00A610E3" w:rsidRPr="00A637E7" w:rsidRDefault="00A610E3" w:rsidP="00A610E3">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Podiel sprístupnených kľúčových mojich údajov pre fyzické osoby a právnické osoby</w:t>
            </w:r>
          </w:p>
        </w:tc>
        <w:tc>
          <w:tcPr>
            <w:tcW w:w="742" w:type="pct"/>
            <w:shd w:val="clear" w:color="auto" w:fill="auto"/>
          </w:tcPr>
          <w:p w14:paraId="343955A1" w14:textId="77777777" w:rsidR="00A610E3" w:rsidRPr="00A637E7" w:rsidRDefault="00A610E3" w:rsidP="00A610E3">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n.a.</w:t>
            </w:r>
          </w:p>
        </w:tc>
        <w:tc>
          <w:tcPr>
            <w:tcW w:w="742" w:type="pct"/>
            <w:shd w:val="clear" w:color="auto" w:fill="auto"/>
          </w:tcPr>
          <w:p w14:paraId="1696DEC7" w14:textId="77777777" w:rsidR="00A610E3" w:rsidRPr="00A637E7" w:rsidRDefault="00A610E3" w:rsidP="00A610E3">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70%</w:t>
            </w:r>
          </w:p>
        </w:tc>
      </w:tr>
      <w:tr w:rsidR="004D3E9E" w:rsidRPr="00A637E7" w14:paraId="4B1693A6" w14:textId="77777777" w:rsidTr="0060626D">
        <w:trPr>
          <w:trHeight w:val="103"/>
        </w:trPr>
        <w:tc>
          <w:tcPr>
            <w:cnfStyle w:val="001000000000" w:firstRow="0" w:lastRow="0" w:firstColumn="1" w:lastColumn="0" w:oddVBand="0" w:evenVBand="0" w:oddHBand="0" w:evenHBand="0" w:firstRowFirstColumn="0" w:firstRowLastColumn="0" w:lastRowFirstColumn="0" w:lastRowLastColumn="0"/>
            <w:tcW w:w="831" w:type="pct"/>
            <w:vMerge w:val="restart"/>
            <w:tcBorders>
              <w:left w:val="none" w:sz="0" w:space="0" w:color="auto"/>
            </w:tcBorders>
            <w:shd w:val="clear" w:color="auto" w:fill="auto"/>
          </w:tcPr>
          <w:p w14:paraId="0A86CCCD" w14:textId="77777777" w:rsidR="00A610E3" w:rsidRPr="00A637E7" w:rsidRDefault="00A610E3" w:rsidP="00A610E3">
            <w:pPr>
              <w:rPr>
                <w:rFonts w:ascii="Arial Narrow" w:eastAsiaTheme="minorEastAsia" w:hAnsi="Arial Narrow" w:cstheme="minorHAnsi"/>
                <w:color w:val="auto"/>
                <w:lang w:val="sk-SK"/>
              </w:rPr>
            </w:pPr>
            <w:r w:rsidRPr="00A637E7">
              <w:rPr>
                <w:rFonts w:ascii="Arial Narrow" w:eastAsiaTheme="minorEastAsia" w:hAnsi="Arial Narrow" w:cstheme="minorHAnsi"/>
                <w:color w:val="auto"/>
                <w:lang w:val="sk-SK"/>
              </w:rPr>
              <w:t>Efektívne riadenie digitálneho štátu</w:t>
            </w:r>
          </w:p>
        </w:tc>
        <w:tc>
          <w:tcPr>
            <w:tcW w:w="880" w:type="pct"/>
            <w:shd w:val="clear" w:color="auto" w:fill="auto"/>
          </w:tcPr>
          <w:p w14:paraId="706B8D91" w14:textId="77777777" w:rsidR="00A610E3" w:rsidRPr="00A637E7" w:rsidRDefault="00A610E3" w:rsidP="00A610E3">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Efektívne riadenie</w:t>
            </w:r>
          </w:p>
        </w:tc>
        <w:tc>
          <w:tcPr>
            <w:tcW w:w="1804" w:type="pct"/>
            <w:shd w:val="clear" w:color="auto" w:fill="auto"/>
          </w:tcPr>
          <w:p w14:paraId="6922DD3F" w14:textId="77777777" w:rsidR="00A610E3" w:rsidRPr="00A637E7" w:rsidRDefault="00A610E3" w:rsidP="00A610E3">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Vyspelosť riadenia informatizácie</w:t>
            </w:r>
          </w:p>
        </w:tc>
        <w:tc>
          <w:tcPr>
            <w:tcW w:w="742" w:type="pct"/>
            <w:shd w:val="clear" w:color="auto" w:fill="auto"/>
          </w:tcPr>
          <w:p w14:paraId="798EB78A" w14:textId="77777777" w:rsidR="00A610E3" w:rsidRPr="00A637E7" w:rsidRDefault="00A610E3" w:rsidP="00A610E3">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n.a.</w:t>
            </w:r>
          </w:p>
        </w:tc>
        <w:tc>
          <w:tcPr>
            <w:tcW w:w="742" w:type="pct"/>
            <w:shd w:val="clear" w:color="auto" w:fill="auto"/>
          </w:tcPr>
          <w:p w14:paraId="73241A6C" w14:textId="77777777" w:rsidR="00A610E3" w:rsidRPr="00A637E7" w:rsidRDefault="00A610E3" w:rsidP="00A610E3">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sz w:val="18"/>
                <w:szCs w:val="19"/>
                <w:lang w:val="sk-SK"/>
              </w:rPr>
            </w:pPr>
            <w:r w:rsidRPr="00A637E7">
              <w:rPr>
                <w:rFonts w:ascii="Arial Narrow" w:hAnsi="Arial Narrow" w:cstheme="minorHAnsi"/>
                <w:sz w:val="18"/>
                <w:szCs w:val="19"/>
                <w:lang w:val="sk-SK"/>
              </w:rPr>
              <w:t>úroveň 5: MIRRI</w:t>
            </w:r>
            <w:r w:rsidRPr="00A637E7">
              <w:rPr>
                <w:rFonts w:ascii="Arial Narrow" w:hAnsi="Arial Narrow" w:cstheme="minorHAnsi"/>
                <w:sz w:val="18"/>
                <w:szCs w:val="19"/>
                <w:lang w:val="sk-SK"/>
              </w:rPr>
              <w:br/>
              <w:t xml:space="preserve">úroveň 3: 15% </w:t>
            </w:r>
            <w:r w:rsidRPr="00A637E7">
              <w:rPr>
                <w:rFonts w:ascii="Arial Narrow" w:hAnsi="Arial Narrow" w:cstheme="minorHAnsi"/>
                <w:sz w:val="18"/>
                <w:szCs w:val="19"/>
                <w:lang w:val="sk-SK"/>
              </w:rPr>
              <w:br/>
              <w:t>úroveň 2: 15%</w:t>
            </w:r>
          </w:p>
        </w:tc>
      </w:tr>
      <w:tr w:rsidR="004D3E9E" w:rsidRPr="00A637E7" w14:paraId="54DFF2AB" w14:textId="77777777" w:rsidTr="0060626D">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831" w:type="pct"/>
            <w:vMerge/>
            <w:tcBorders>
              <w:left w:val="none" w:sz="0" w:space="0" w:color="auto"/>
            </w:tcBorders>
            <w:shd w:val="clear" w:color="auto" w:fill="auto"/>
          </w:tcPr>
          <w:p w14:paraId="3C2B2F3B" w14:textId="77777777" w:rsidR="00A610E3" w:rsidRPr="00A637E7" w:rsidRDefault="00A610E3" w:rsidP="00A610E3">
            <w:pPr>
              <w:rPr>
                <w:rFonts w:ascii="Arial Narrow" w:eastAsiaTheme="minorEastAsia" w:hAnsi="Arial Narrow" w:cstheme="minorHAnsi"/>
                <w:color w:val="auto"/>
                <w:lang w:val="sk-SK"/>
              </w:rPr>
            </w:pPr>
          </w:p>
        </w:tc>
        <w:tc>
          <w:tcPr>
            <w:tcW w:w="880" w:type="pct"/>
            <w:vMerge w:val="restart"/>
            <w:shd w:val="clear" w:color="auto" w:fill="auto"/>
          </w:tcPr>
          <w:p w14:paraId="5FBFC1CC" w14:textId="77777777" w:rsidR="00A610E3" w:rsidRPr="00A637E7" w:rsidRDefault="00A610E3" w:rsidP="00A610E3">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Riadenie zdrojov</w:t>
            </w:r>
          </w:p>
        </w:tc>
        <w:tc>
          <w:tcPr>
            <w:tcW w:w="1804" w:type="pct"/>
            <w:shd w:val="clear" w:color="auto" w:fill="auto"/>
          </w:tcPr>
          <w:p w14:paraId="5A7AA75E" w14:textId="77777777" w:rsidR="00A610E3" w:rsidRPr="00A637E7" w:rsidRDefault="00A610E3" w:rsidP="00A610E3">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Počet ISVS prevádzkovaných agendových IS ÚOŠS realizované na infraštruktúre vládneho cloudu</w:t>
            </w:r>
          </w:p>
        </w:tc>
        <w:tc>
          <w:tcPr>
            <w:tcW w:w="742" w:type="pct"/>
            <w:shd w:val="clear" w:color="auto" w:fill="auto"/>
          </w:tcPr>
          <w:p w14:paraId="2E73AF72" w14:textId="77777777" w:rsidR="00A610E3" w:rsidRPr="00A637E7" w:rsidRDefault="00A610E3" w:rsidP="00A610E3">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25</w:t>
            </w:r>
          </w:p>
        </w:tc>
        <w:tc>
          <w:tcPr>
            <w:tcW w:w="742" w:type="pct"/>
            <w:shd w:val="clear" w:color="auto" w:fill="auto"/>
          </w:tcPr>
          <w:p w14:paraId="271E6A47" w14:textId="77777777" w:rsidR="00A610E3" w:rsidRPr="00A637E7" w:rsidRDefault="00A610E3" w:rsidP="00A610E3">
            <w:pPr>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heme="minorHAnsi"/>
                <w:strike/>
                <w:lang w:val="sk-SK"/>
              </w:rPr>
            </w:pPr>
            <w:r w:rsidRPr="00A637E7">
              <w:rPr>
                <w:rFonts w:ascii="Arial Narrow" w:eastAsiaTheme="minorEastAsia" w:hAnsi="Arial Narrow" w:cstheme="minorHAnsi"/>
                <w:lang w:val="sk-SK"/>
              </w:rPr>
              <w:t>230</w:t>
            </w:r>
          </w:p>
        </w:tc>
      </w:tr>
      <w:tr w:rsidR="004D3E9E" w:rsidRPr="00A637E7" w14:paraId="2F8AC459" w14:textId="77777777" w:rsidTr="0060626D">
        <w:trPr>
          <w:trHeight w:val="454"/>
        </w:trPr>
        <w:tc>
          <w:tcPr>
            <w:cnfStyle w:val="001000000000" w:firstRow="0" w:lastRow="0" w:firstColumn="1" w:lastColumn="0" w:oddVBand="0" w:evenVBand="0" w:oddHBand="0" w:evenHBand="0" w:firstRowFirstColumn="0" w:firstRowLastColumn="0" w:lastRowFirstColumn="0" w:lastRowLastColumn="0"/>
            <w:tcW w:w="831" w:type="pct"/>
            <w:vMerge/>
            <w:tcBorders>
              <w:left w:val="none" w:sz="0" w:space="0" w:color="auto"/>
              <w:bottom w:val="none" w:sz="0" w:space="0" w:color="auto"/>
            </w:tcBorders>
            <w:shd w:val="clear" w:color="auto" w:fill="auto"/>
          </w:tcPr>
          <w:p w14:paraId="2E6D71E6" w14:textId="77777777" w:rsidR="00A610E3" w:rsidRPr="00A637E7" w:rsidRDefault="00A610E3" w:rsidP="00A610E3">
            <w:pPr>
              <w:rPr>
                <w:rFonts w:ascii="Arial Narrow" w:eastAsiaTheme="minorEastAsia" w:hAnsi="Arial Narrow" w:cstheme="minorHAnsi"/>
                <w:color w:val="auto"/>
                <w:lang w:val="sk-SK"/>
              </w:rPr>
            </w:pPr>
          </w:p>
        </w:tc>
        <w:tc>
          <w:tcPr>
            <w:tcW w:w="880" w:type="pct"/>
            <w:vMerge/>
            <w:shd w:val="clear" w:color="auto" w:fill="auto"/>
          </w:tcPr>
          <w:p w14:paraId="37B74DFC" w14:textId="77777777" w:rsidR="00A610E3" w:rsidRPr="00A637E7" w:rsidRDefault="00A610E3" w:rsidP="00A610E3">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p>
        </w:tc>
        <w:tc>
          <w:tcPr>
            <w:tcW w:w="1804" w:type="pct"/>
            <w:shd w:val="clear" w:color="auto" w:fill="auto"/>
          </w:tcPr>
          <w:p w14:paraId="0E3796B0" w14:textId="77777777" w:rsidR="00A610E3" w:rsidRPr="00A637E7" w:rsidRDefault="007B6B8D" w:rsidP="00A610E3">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IT fitness test štátnych zamestnancov</w:t>
            </w:r>
          </w:p>
        </w:tc>
        <w:tc>
          <w:tcPr>
            <w:tcW w:w="742" w:type="pct"/>
            <w:shd w:val="clear" w:color="auto" w:fill="auto"/>
          </w:tcPr>
          <w:p w14:paraId="059CA520" w14:textId="77777777" w:rsidR="00A610E3" w:rsidRPr="00A637E7" w:rsidRDefault="00A610E3" w:rsidP="00A610E3">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54%</w:t>
            </w:r>
          </w:p>
        </w:tc>
        <w:tc>
          <w:tcPr>
            <w:tcW w:w="742" w:type="pct"/>
            <w:shd w:val="clear" w:color="auto" w:fill="auto"/>
          </w:tcPr>
          <w:p w14:paraId="65775F2A" w14:textId="77777777" w:rsidR="00A610E3" w:rsidRPr="00A637E7" w:rsidRDefault="00A610E3" w:rsidP="00A610E3">
            <w:pPr>
              <w:jc w:val="cente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heme="minorHAnsi"/>
                <w:lang w:val="sk-SK"/>
              </w:rPr>
            </w:pPr>
            <w:r w:rsidRPr="00A637E7">
              <w:rPr>
                <w:rFonts w:ascii="Arial Narrow" w:eastAsiaTheme="minorEastAsia" w:hAnsi="Arial Narrow" w:cstheme="minorHAnsi"/>
                <w:lang w:val="sk-SK"/>
              </w:rPr>
              <w:t>57%</w:t>
            </w:r>
          </w:p>
        </w:tc>
      </w:tr>
    </w:tbl>
    <w:p w14:paraId="799B47FF" w14:textId="6A104E7C" w:rsidR="00250001" w:rsidRPr="004D73C4" w:rsidRDefault="00250001" w:rsidP="009D1A06">
      <w:pPr>
        <w:pStyle w:val="Popis"/>
        <w:rPr>
          <w:rFonts w:eastAsiaTheme="minorEastAsia"/>
        </w:rPr>
      </w:pPr>
      <w:r w:rsidRPr="004D73C4">
        <w:t xml:space="preserve">Tabuľka </w:t>
      </w:r>
      <w:r>
        <w:fldChar w:fldCharType="begin"/>
      </w:r>
      <w:r>
        <w:instrText>SEQ Tabuľka \* ARABIC</w:instrText>
      </w:r>
      <w:r>
        <w:fldChar w:fldCharType="separate"/>
      </w:r>
      <w:r w:rsidR="00873A9F">
        <w:rPr>
          <w:noProof/>
        </w:rPr>
        <w:t>5</w:t>
      </w:r>
      <w:r>
        <w:fldChar w:fldCharType="end"/>
      </w:r>
      <w:r w:rsidRPr="004D73C4">
        <w:t>: Tabuľka s kľúčovými ukazovateľmi</w:t>
      </w:r>
    </w:p>
    <w:p w14:paraId="5525EE48" w14:textId="77777777" w:rsidR="00250001" w:rsidRPr="004D73C4" w:rsidRDefault="00250001" w:rsidP="004D656D">
      <w:r w:rsidRPr="004D73C4">
        <w:t xml:space="preserve">Jednotlivé krajiny sledujú v rámci svojich štatistických úradov ďalšie ukazovatele pre oblasť IT a e-Governmentu, ktorých meranie sa vykonáva podľa stabilnej jednotnej metodiky. Výsledky zverejňuje EUROSTAT, pričom relevantné ukazovatele budú použité na meranie dosahovania cieľov NKIVS. </w:t>
      </w:r>
    </w:p>
    <w:p w14:paraId="2B3328AF" w14:textId="77777777" w:rsidR="00250001" w:rsidRPr="004D73C4" w:rsidRDefault="00250001" w:rsidP="004D656D">
      <w:r w:rsidRPr="004D73C4">
        <w:t>Pri meraní dosiahnutých hodnôt ukazovateľov budú použité nasledujúce metódy merania:</w:t>
      </w:r>
    </w:p>
    <w:p w14:paraId="64AC83F5" w14:textId="77777777" w:rsidR="00250001" w:rsidRPr="004D73C4" w:rsidRDefault="00250001" w:rsidP="008D1ABF">
      <w:pPr>
        <w:pStyle w:val="Odsekzoznamu"/>
        <w:rPr>
          <w:rFonts w:eastAsiaTheme="minorEastAsia"/>
        </w:rPr>
      </w:pPr>
      <w:r w:rsidRPr="190F7DBA">
        <w:rPr>
          <w:rFonts w:eastAsia="Calibri"/>
        </w:rPr>
        <w:t>prieskumy, ktoré sú vykonané zberom a spracovaním údajov od reprezentatívnej vzorky účastníkov, prípadne od všetkých používateľov, najmä online formulármi alebo spätnou väzbou,</w:t>
      </w:r>
    </w:p>
    <w:p w14:paraId="494F4BA9" w14:textId="77777777" w:rsidR="00250001" w:rsidRPr="004D73C4" w:rsidRDefault="00250001" w:rsidP="004D656D">
      <w:pPr>
        <w:pStyle w:val="Odsekzoznamu"/>
        <w:rPr>
          <w:rFonts w:eastAsiaTheme="minorEastAsia"/>
        </w:rPr>
      </w:pPr>
      <w:r w:rsidRPr="190F7DBA">
        <w:rPr>
          <w:rFonts w:eastAsia="Calibri"/>
        </w:rPr>
        <w:t>automatické generovanie ukazovateľov nástrojmi MetaIS alebo nástrojmi implementovanými orgánmi riadenia, ktoré využívajú automatický zber údajov pre ukazovateľ,</w:t>
      </w:r>
    </w:p>
    <w:p w14:paraId="02165D54" w14:textId="77777777" w:rsidR="00250001" w:rsidRPr="004D73C4" w:rsidRDefault="00250001" w:rsidP="004D656D">
      <w:pPr>
        <w:pStyle w:val="Odsekzoznamu"/>
        <w:rPr>
          <w:rFonts w:eastAsiaTheme="minorEastAsia"/>
        </w:rPr>
      </w:pPr>
      <w:r w:rsidRPr="190F7DBA">
        <w:rPr>
          <w:rFonts w:eastAsia="Calibri"/>
        </w:rPr>
        <w:t xml:space="preserve">Mystery Shopping, počas ktorého vyškolení a dobre informovaní nakupujúci pozorujú a vyhodnocujú na základe vlastnej skúsenosti pokrok v poskytovaní služieb a fungovaní </w:t>
      </w:r>
      <w:r w:rsidR="62F6F478" w:rsidRPr="190F7DBA">
        <w:rPr>
          <w:rFonts w:eastAsia="Calibri"/>
        </w:rPr>
        <w:t>VS</w:t>
      </w:r>
      <w:r w:rsidRPr="190F7DBA">
        <w:rPr>
          <w:rFonts w:eastAsia="Calibri"/>
        </w:rPr>
        <w:t>,</w:t>
      </w:r>
    </w:p>
    <w:p w14:paraId="2F070535" w14:textId="77777777" w:rsidR="00250001" w:rsidRPr="004D73C4" w:rsidRDefault="00250001" w:rsidP="00A00C6E">
      <w:pPr>
        <w:pStyle w:val="Odsekzoznamu"/>
        <w:rPr>
          <w:rFonts w:eastAsiaTheme="minorEastAsia"/>
        </w:rPr>
      </w:pPr>
      <w:r w:rsidRPr="190F7DBA">
        <w:rPr>
          <w:rFonts w:eastAsia="Calibri"/>
        </w:rPr>
        <w:t>Správy a hlásenia orgánov riadenia a ich analytických jednotiek, ktoré vykazujú dosiahnuté výsledky, vynaložené zdroje a efektivitu práce alebo vykonávajú štúdie na analýzu dopadov.</w:t>
      </w:r>
    </w:p>
    <w:p w14:paraId="3B5F83BF" w14:textId="77777777" w:rsidR="00250001" w:rsidRPr="004D73C4" w:rsidRDefault="00250001" w:rsidP="008D1ABF">
      <w:r>
        <w:t>Hodnota ukazovateľa lepšie služby je vypočítaná ako aritmetický priemer hodnôt za ústredné orgány štátne správy, samosprávy (DEUS, 10 miest, 20 obcí nezapojených do DEUS) a E</w:t>
      </w:r>
      <w:r w:rsidR="2013A178">
        <w:t>Ú</w:t>
      </w:r>
      <w:r>
        <w:t>.</w:t>
      </w:r>
    </w:p>
    <w:p w14:paraId="5A4DF76C" w14:textId="77777777" w:rsidR="00250001" w:rsidRPr="004D73C4" w:rsidRDefault="00250001" w:rsidP="004D656D">
      <w:pPr>
        <w:rPr>
          <w:rFonts w:eastAsiaTheme="minorEastAsia"/>
        </w:rPr>
      </w:pPr>
    </w:p>
    <w:p w14:paraId="7C19DD8C" w14:textId="77777777" w:rsidR="001E7BB4" w:rsidRPr="004D73C4" w:rsidRDefault="001E7BB4" w:rsidP="002B60D7">
      <w:pPr>
        <w:pStyle w:val="Nadpis2"/>
      </w:pPr>
      <w:bookmarkStart w:id="175" w:name="_Toc69297727"/>
      <w:bookmarkStart w:id="176" w:name="_Toc70369690"/>
      <w:bookmarkStart w:id="177" w:name="_Toc460261200"/>
      <w:bookmarkStart w:id="178" w:name="_Toc462253981"/>
      <w:bookmarkStart w:id="179" w:name="_Toc58697746"/>
      <w:bookmarkStart w:id="180" w:name="_Toc70711631"/>
      <w:r>
        <w:t>Inovačné aktivity</w:t>
      </w:r>
      <w:bookmarkEnd w:id="175"/>
      <w:bookmarkEnd w:id="176"/>
      <w:bookmarkEnd w:id="180"/>
    </w:p>
    <w:p w14:paraId="0755329B" w14:textId="77777777" w:rsidR="001E7BB4" w:rsidRPr="004D73C4" w:rsidRDefault="001E7BB4" w:rsidP="001E7BB4">
      <w:r w:rsidRPr="00236EBE">
        <w:t>Aby bolo možné podporiť výraznú transformáciu spoločnosti a budovanie modernej verejnej správy na Slovensku, je potrebné spojiť koncepčné myslenie a dlhodobú víziu s realizáciu experimentov tak, aby sme dosiahli optimálnu mieru inovácie verejných politík. Len agilná a inováciám otvorená verejná správa</w:t>
      </w:r>
      <w:r w:rsidRPr="004D73C4">
        <w:t xml:space="preserve"> dokáže držať krok s technologickým vývojom a rastúcimi požiadavkami občanov a podnikov na správu veci verejných. Koncept aktívneho testovania a experimentovania vo verejnej správe podporuje </w:t>
      </w:r>
      <w:r w:rsidRPr="004D73C4">
        <w:lastRenderedPageBreak/>
        <w:t>tak Európska komisia, medzinárodné organizácie ako OECD</w:t>
      </w:r>
      <w:r w:rsidRPr="004D73C4">
        <w:rPr>
          <w:vertAlign w:val="superscript"/>
        </w:rPr>
        <w:footnoteReference w:id="13"/>
      </w:r>
      <w:r w:rsidRPr="004D73C4">
        <w:t>) ako aj úspešné krajiny v digitálnych politikách, tzv. digital frontrunners.</w:t>
      </w:r>
    </w:p>
    <w:p w14:paraId="6A8329C4" w14:textId="77777777" w:rsidR="001E7BB4" w:rsidRPr="004D73C4" w:rsidRDefault="001E7BB4" w:rsidP="001E7BB4">
      <w:r w:rsidRPr="004D73C4">
        <w:t xml:space="preserve">Na podporu inovácií je potrebné </w:t>
      </w:r>
      <w:r w:rsidRPr="004D73C4">
        <w:rPr>
          <w:b/>
          <w:bCs/>
        </w:rPr>
        <w:t xml:space="preserve">zjednodušenie a odstraňovanie súčasných regulácií </w:t>
      </w:r>
      <w:r w:rsidRPr="004D73C4">
        <w:t xml:space="preserve">všade tam, kde je to možné. Jednotný digitálny trh vnímame ako príležitosť prispôsobiť regulačné rámce digitálnej dobe a eliminovať nepotrebné a duplicitné pravidlá. Dôraz sa bude klásť na ochranu osobných údajov a čo najširšie využívanie údajov verejnej správy. Súčasťou zmeny prístupu je zavádzanie </w:t>
      </w:r>
      <w:r w:rsidRPr="004D73C4">
        <w:rPr>
          <w:b/>
          <w:bCs/>
        </w:rPr>
        <w:t>dynamických regulácií</w:t>
      </w:r>
      <w:r w:rsidRPr="004D73C4">
        <w:t xml:space="preserve">, ktoré umožňujú dotknutým subjektom experimentovať a inovovať postupy tak, aby dosiahli očakávaný cieľ regulácie. Dynamická regulácia nepredpisuje presný postup ako ju dodržať, a ponecháva verejnému sektoru väčšiu voľnosť. </w:t>
      </w:r>
    </w:p>
    <w:p w14:paraId="44E62CA7" w14:textId="77777777" w:rsidR="001E7BB4" w:rsidRPr="004D73C4" w:rsidRDefault="001E7BB4" w:rsidP="001E7BB4">
      <w:r w:rsidRPr="004D73C4">
        <w:t xml:space="preserve">Na testovanie nových regulačných opatrení pred ich plošným zavedením do praxe sa odporúča využiť experimentálny regulačný koncept, tzv. </w:t>
      </w:r>
      <w:r w:rsidRPr="004D73C4">
        <w:rPr>
          <w:b/>
          <w:bCs/>
        </w:rPr>
        <w:t>regulačný sandbox</w:t>
      </w:r>
      <w:r w:rsidRPr="004D73C4">
        <w:t>. V rámci neho štát navrhne kontrolovaný experiment, kde môžu firmy fungovať novým spôsobom legálne, kým zamestnanci štátnej správy neustále vyhodnocujú výsledky, konzultujú so spotrebiteľmi a účastníkmi trhu a získavajú tak znalosti pre širšie iniciatívy.</w:t>
      </w:r>
    </w:p>
    <w:p w14:paraId="4D4BE473" w14:textId="77777777" w:rsidR="001E7BB4" w:rsidRPr="004D73C4" w:rsidRDefault="001E7BB4" w:rsidP="001E7BB4">
      <w:r w:rsidRPr="004D73C4">
        <w:t xml:space="preserve">Osvedčeným spôsobom, akým bude možné dosiahnuť výrazné zmeny v tvorbe politík, je </w:t>
      </w:r>
      <w:r w:rsidRPr="6CAFDB33">
        <w:rPr>
          <w:b/>
          <w:bCs/>
        </w:rPr>
        <w:t xml:space="preserve">zavedenie inovačných útvarov pre rôzne sektory verejnej správy </w:t>
      </w:r>
      <w:r w:rsidRPr="004D73C4">
        <w:t xml:space="preserve">(napr. Smart Mobility, Smart Cities, </w:t>
      </w:r>
      <w:r w:rsidRPr="004D73C4">
        <w:br/>
        <w:t>Fintech).</w:t>
      </w:r>
      <w:r w:rsidRPr="004D73C4">
        <w:rPr>
          <w:vertAlign w:val="superscript"/>
        </w:rPr>
        <w:footnoteReference w:id="14"/>
      </w:r>
      <w:r w:rsidRPr="004D73C4">
        <w:t xml:space="preserve">) Uvedené útvary by mali okrem navrhovania zmien a politík a odporúčaní v danom sektore (napríklad na úpravu legislatívy) zároveň navrhovať nové koncepty, pilotné projekty a experimenty inovatívnych technológií vo verejnej správe vrátane experimentálneho overenia regulácií. Dôležitá je ich spolupráca a zároveň aj stanovenie medzirezortnej komunikácie v príbuzných politikách. Inovačné útvary prinesú výsledky v experimentovaní a overovaní myšlienok, ktoré budú následne pripravené na implementáciu. </w:t>
      </w:r>
    </w:p>
    <w:p w14:paraId="7387EB30" w14:textId="77777777" w:rsidR="001E7BB4" w:rsidRPr="004D73C4" w:rsidRDefault="001E7BB4" w:rsidP="001E7BB4">
      <w:r w:rsidRPr="004D73C4">
        <w:t>Nevyhnutným predpokladom pre je spustenie konceptu „</w:t>
      </w:r>
      <w:r w:rsidRPr="004D73C4">
        <w:rPr>
          <w:b/>
        </w:rPr>
        <w:t>data-driven state</w:t>
      </w:r>
      <w:r w:rsidRPr="004D73C4">
        <w:t>“, ktorý si vyžaduje výrazné zlepšenie využívania a spracovania údajov na analytické účely inštitúciami verejnej správy, aby verejná správa dokázala poskytovať kvalitné služby a štát mohol prijímať rozhodnutia na základe najlepších znalostí, ktoré sú k dispozícii. Dobuduje sa konsolidovaná analytická vrstva a sprístupnenia dôležité analytické nástroje pre potreby inštitúcií verejnej správy na tvorbu verejných politík na základe údajov.</w:t>
      </w:r>
    </w:p>
    <w:p w14:paraId="4056815B" w14:textId="7E88DD5C" w:rsidR="001E7BB4" w:rsidRPr="004D73C4" w:rsidRDefault="001E7BB4" w:rsidP="001E7BB4">
      <w:r w:rsidRPr="004D73C4">
        <w:t>Experimentovanie, organizovanie súťaží a zapájanie podnikov sa stane štandardom pre fungovanie inštitúcií verejnej správy, preto je potrebné zreformovať a zjednodušiť princípy partnerstva s akademickým, súkromným a občianskym sektorom. Pre agilný štát musí byť blízke start-up</w:t>
      </w:r>
      <w:r w:rsidR="0060626D">
        <w:t>-</w:t>
      </w:r>
      <w:r w:rsidRPr="004D73C4">
        <w:t>ové myslenie či presadenie konceptu „</w:t>
      </w:r>
      <w:r w:rsidRPr="004D73C4">
        <w:rPr>
          <w:b/>
        </w:rPr>
        <w:t>e-Government ako platforma</w:t>
      </w:r>
      <w:r w:rsidRPr="004D73C4">
        <w:t>“ do praxe. Zároveň je potrebné podporiť tvorbu konceptu inovačného verejno-súkromného partnerstva postavenom na „future proof“ princípe.</w:t>
      </w:r>
    </w:p>
    <w:p w14:paraId="51AD4FB5" w14:textId="77777777" w:rsidR="001E7BB4" w:rsidRPr="004D73C4" w:rsidRDefault="001E7BB4" w:rsidP="001E7BB4">
      <w:r w:rsidRPr="004D73C4">
        <w:t>Medzi navrhnuté inovatívne postupy je možné ďalej zaradiť organizovanie trhového dialógu medzi obstarávateľmi a dodávateľmi o používaní digitálnych technológií pre riešenie problémov a výziev verejného sektora,</w:t>
      </w:r>
      <w:r w:rsidRPr="004D73C4">
        <w:rPr>
          <w:vertAlign w:val="superscript"/>
        </w:rPr>
        <w:footnoteReference w:id="15"/>
      </w:r>
      <w:r w:rsidRPr="004D73C4">
        <w:t xml:space="preserve">) hackatony na demonštráciu Proof of concept riešení a efektívnejšiu identifikáciu vhodných aplikácií ako aj vzdelávacie programy pre skupiny obstarávateľov, ktorí chcú obstarať podobné aplikácie, na základe sektorálnej klasifikácie. </w:t>
      </w:r>
    </w:p>
    <w:p w14:paraId="00D7AFD2" w14:textId="77777777" w:rsidR="001E7BB4" w:rsidRPr="004D73C4" w:rsidRDefault="001E7BB4" w:rsidP="001E7BB4">
      <w:r w:rsidRPr="6CAFDB33">
        <w:rPr>
          <w:b/>
          <w:bCs/>
        </w:rPr>
        <w:t>Umelá inteligencia</w:t>
      </w:r>
      <w:r w:rsidRPr="004D73C4">
        <w:t xml:space="preserve"> môže pre procesy a služby verejnej správy priniesť nespočetné množstvo aplikačného využitia od analýzy veľkého množstva údajov, efektívnu spoluprácu orgánov verejnej správy, dostupnú komunikáciu s občanmi až po pomoc pri tvorbe verejných politík. Predpokladmi sú kvalitné údaje, robustná infraštruktúra a expertné ľudské zdroje v službách verejnej správy. Napriek vysokému potenciálu umelej inteligencie, výsledky experimentovania niektorých členských štátov </w:t>
      </w:r>
      <w:r w:rsidRPr="004D73C4">
        <w:lastRenderedPageBreak/>
        <w:t>EÚ</w:t>
      </w:r>
      <w:r w:rsidRPr="004D73C4">
        <w:rPr>
          <w:vertAlign w:val="superscript"/>
        </w:rPr>
        <w:footnoteReference w:id="16"/>
      </w:r>
      <w:r w:rsidRPr="004D73C4">
        <w:t>) s nástrojmi umelej inteligencie vo verejnej správe odkryli niektoré slabiny tohto procesu a to napr. nedostatočná technologická schopnosť škálovať pilotné projekty, vysoké náklady (údržba, HW, SW) ako aj možná kolízia s existujúcou legislatívou v oblasti ochrany práv dotknutých osôb napr. prostredníctvom netransparentných „black box“ riešení, možnej diskriminácie v rozhodovaní alebo problematickosti prisúdenia zodpovednosti za škodu. Reakciou na túto fragmentáciu sa javí myšlienka spoločného európskeho prístupu adopcie politík voči umelej inteligencii vo verejnom sektore, čoho by malo byť Slovensko súčasťou a zdieľanie „Best practice“. Súčasťou tohto postupu sa ako významný prvok predchádzania možným negatívnym dopadom pri využití umelej inteligencie javí využitie nástrojov na posúdenie etických dopadov a dopadov na ľudské práva (ethics assessments, fundamental rights assessments). Tak ako aj pri iných technológiách kľúčová je spolupráca so súkromný a akademickým sektorom a občianskou spoločnosťou. Rovnako bude veľmi dôležité prepojiť vzdelanie na úrovni technologických zručností a spoločenského, hodnotovo orientovane prístupu k životu.</w:t>
      </w:r>
    </w:p>
    <w:p w14:paraId="6D80AF54" w14:textId="77777777" w:rsidR="001E7BB4" w:rsidRPr="004D73C4" w:rsidRDefault="001E7BB4" w:rsidP="001E7BB4">
      <w:r w:rsidRPr="004D73C4">
        <w:t>Z pohľadu Slovenská je vhodné pokračovať v spolupráci s </w:t>
      </w:r>
      <w:r w:rsidRPr="6CAFDB33">
        <w:rPr>
          <w:b/>
          <w:bCs/>
        </w:rPr>
        <w:t>Národným superpočítačovým centrom</w:t>
      </w:r>
      <w:r w:rsidRPr="007F3D61">
        <w:rPr>
          <w:vertAlign w:val="superscript"/>
        </w:rPr>
        <w:footnoteReference w:id="17"/>
      </w:r>
      <w:r w:rsidRPr="007F3D61">
        <w:t>)</w:t>
      </w:r>
      <w:r w:rsidRPr="004D73C4">
        <w:t xml:space="preserve"> (NSCC), prostredníctvom ktorého orgány verejnej správy budú môcť pre svoje účely využívať vysokovýkonnú výpočtovú kapacitu (HPC). Vysokovýkonné výpočty je možné využiť napríklad pri predikcii a modelovaní rôznych situácií ako krízový manažment, plánovanie rozpočtu či lepšie plánovanie v sektoroch ako doprava, energetika, zdravotníctvo či pôdohospodárstvo. Ďalším príkladom je budovanie</w:t>
      </w:r>
      <w:r w:rsidRPr="6CAFDB33">
        <w:rPr>
          <w:b/>
          <w:bCs/>
        </w:rPr>
        <w:t xml:space="preserve"> kvantových komunikačných uzlov</w:t>
      </w:r>
      <w:r w:rsidRPr="004D73C4">
        <w:t xml:space="preserve"> (iniciatíva EuroQCI,</w:t>
      </w:r>
      <w:r w:rsidRPr="004D73C4">
        <w:rPr>
          <w:vertAlign w:val="superscript"/>
        </w:rPr>
        <w:footnoteReference w:id="18"/>
      </w:r>
      <w:r w:rsidRPr="004D73C4">
        <w:t>) ktoré bude slúžiť najmä pre kritickú infraštruktúru, bezpečnostné a spravodajské služby. Výhodou tejto komunikačnej infraštruktúry je vysoko bezpečný prenos dát, ktorý je takmer nemožné prelomiť. Tým sa obmedzí únik citlivých informácií a utajovaných skutočností. V neposlednom rade v oblasti technológi</w:t>
      </w:r>
      <w:r>
        <w:t>í</w:t>
      </w:r>
      <w:r w:rsidRPr="004D73C4">
        <w:t xml:space="preserve"> distribuovaných záznamov sprístupnenie</w:t>
      </w:r>
      <w:r w:rsidRPr="6CAFDB33">
        <w:rPr>
          <w:b/>
          <w:bCs/>
        </w:rPr>
        <w:t xml:space="preserve"> európskej blockchainovej infraštruktúry</w:t>
      </w:r>
      <w:r w:rsidRPr="004D73C4">
        <w:t xml:space="preserve"> (EBSI)</w:t>
      </w:r>
      <w:r w:rsidRPr="004D73C4">
        <w:rPr>
          <w:vertAlign w:val="superscript"/>
        </w:rPr>
        <w:footnoteReference w:id="19"/>
      </w:r>
      <w:r w:rsidRPr="004D73C4">
        <w:t xml:space="preserve">) umožní slovenským občanom a podnikateľom využívať cezhraničné služby a potvrdenia na európskej úrovni ako napríklad overovanie vysokoškolských diplomov či notárske služby. </w:t>
      </w:r>
    </w:p>
    <w:p w14:paraId="7CD31184" w14:textId="77777777" w:rsidR="001E7BB4" w:rsidRDefault="001E7BB4" w:rsidP="001E7BB4">
      <w:r w:rsidRPr="004D73C4">
        <w:t>Slovenská verejná správa postupne získava skúsenosti s uvedenými digitálnymi technológiami, pričom ich výpočet nie je možné považovať za konečný, práve naopak. Ale pre ich úspešné zavedenie do praxe je pri každom testovaní a experimentovaní digitálnych inovácií potrebné – vzhľadom na ich komplexnosť a možný široký dopad – zodpovedne posúdiť sociálne, environmentálne a ekonomické vplyvy s cieľom prijať inovácie rešpektujúce základe ľudské práva, európske hodnoty a požiadavky na ich udržateľnosť. Inovácie vo verejnej správe by mali mať za cieľ nielen zvýšiť kvalitu, dostupnosť a efektivitu verejných služieb ale aj podporiť dôveru v demokratický a právny štát a budovanie aktívneho vzťahu medzi občanmi, podnikateľmi a štátom.</w:t>
      </w:r>
    </w:p>
    <w:p w14:paraId="4853DED4" w14:textId="77777777" w:rsidR="001E7BB4" w:rsidRPr="004D73C4" w:rsidRDefault="001E7BB4" w:rsidP="001E7BB4"/>
    <w:p w14:paraId="549837D1" w14:textId="77777777" w:rsidR="00250001" w:rsidRPr="004D73C4" w:rsidRDefault="00250001" w:rsidP="002B60D7">
      <w:pPr>
        <w:pStyle w:val="Nadpis2"/>
      </w:pPr>
      <w:bookmarkStart w:id="181" w:name="_Toc69297728"/>
      <w:bookmarkStart w:id="182" w:name="_Toc70369691"/>
      <w:bookmarkStart w:id="183" w:name="_Toc70711632"/>
      <w:r w:rsidRPr="004D73C4">
        <w:t>Ri</w:t>
      </w:r>
      <w:bookmarkEnd w:id="177"/>
      <w:bookmarkEnd w:id="178"/>
      <w:bookmarkEnd w:id="179"/>
      <w:r w:rsidRPr="004D73C4">
        <w:t>adenie rizík</w:t>
      </w:r>
      <w:bookmarkEnd w:id="181"/>
      <w:bookmarkEnd w:id="182"/>
      <w:bookmarkEnd w:id="183"/>
    </w:p>
    <w:p w14:paraId="6EA22DBB" w14:textId="77777777" w:rsidR="00250001" w:rsidRPr="004D73C4" w:rsidRDefault="00250001" w:rsidP="00EE2B3B">
      <w:r w:rsidRPr="004D73C4">
        <w:t>Implementácia NKIVS nebude jednoduchá, a je preto dôležité dostatočne v predstihu chápať kľúčové riziká a mať pripravenú stratégiu, ako sa s nimi vysporiadať.</w:t>
      </w:r>
    </w:p>
    <w:p w14:paraId="5EC152D9" w14:textId="77777777" w:rsidR="00250001" w:rsidRPr="004D73C4" w:rsidRDefault="00036B92" w:rsidP="00EE2B3B">
      <w:r w:rsidRPr="004D73C4">
        <w:t>Skúsenosti s priebehom OP</w:t>
      </w:r>
      <w:r w:rsidR="00250001" w:rsidRPr="004D73C4">
        <w:t>II</w:t>
      </w:r>
      <w:r w:rsidR="00B56941" w:rsidRPr="004D73C4">
        <w:t>,</w:t>
      </w:r>
      <w:r w:rsidR="00250001" w:rsidRPr="004D73C4">
        <w:t xml:space="preserve"> prioritnou osou 7</w:t>
      </w:r>
      <w:r w:rsidR="00B56941" w:rsidRPr="004D73C4">
        <w:t>,</w:t>
      </w:r>
      <w:r w:rsidR="00250001" w:rsidRPr="004D73C4">
        <w:t xml:space="preserve"> doplňujú praktické riziká:</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A0" w:firstRow="1" w:lastRow="0" w:firstColumn="1" w:lastColumn="0" w:noHBand="0" w:noVBand="0"/>
      </w:tblPr>
      <w:tblGrid>
        <w:gridCol w:w="449"/>
        <w:gridCol w:w="2059"/>
        <w:gridCol w:w="6554"/>
      </w:tblGrid>
      <w:tr w:rsidR="00250001" w:rsidRPr="004D73C4" w14:paraId="218377EC" w14:textId="77777777" w:rsidTr="00584C20">
        <w:trPr>
          <w:trHeight w:val="397"/>
          <w:tblHeader/>
        </w:trPr>
        <w:tc>
          <w:tcPr>
            <w:tcW w:w="1383" w:type="pct"/>
            <w:gridSpan w:val="2"/>
            <w:shd w:val="clear" w:color="auto" w:fill="548DD4" w:themeFill="text2" w:themeFillTint="99"/>
            <w:vAlign w:val="center"/>
            <w:hideMark/>
          </w:tcPr>
          <w:p w14:paraId="399428AC" w14:textId="77777777" w:rsidR="00250001" w:rsidRPr="004D73C4" w:rsidRDefault="00250001" w:rsidP="00A031CE">
            <w:pPr>
              <w:spacing w:before="120"/>
              <w:jc w:val="center"/>
              <w:rPr>
                <w:rFonts w:ascii="Arial Narrow" w:hAnsi="Arial Narrow" w:cstheme="minorHAnsi"/>
                <w:b/>
                <w:bCs/>
                <w:color w:val="FFFFFF" w:themeColor="background1"/>
                <w:szCs w:val="20"/>
              </w:rPr>
            </w:pPr>
            <w:r w:rsidRPr="004D73C4">
              <w:rPr>
                <w:rFonts w:ascii="Arial Narrow" w:hAnsi="Arial Narrow" w:cstheme="minorHAnsi"/>
                <w:b/>
                <w:bCs/>
                <w:color w:val="FFFFFF" w:themeColor="background1"/>
                <w:szCs w:val="20"/>
              </w:rPr>
              <w:t>Riziko</w:t>
            </w:r>
          </w:p>
        </w:tc>
        <w:tc>
          <w:tcPr>
            <w:tcW w:w="3617" w:type="pct"/>
            <w:shd w:val="clear" w:color="auto" w:fill="548DD4" w:themeFill="text2" w:themeFillTint="99"/>
            <w:vAlign w:val="center"/>
            <w:hideMark/>
          </w:tcPr>
          <w:p w14:paraId="03E92029" w14:textId="77777777" w:rsidR="00250001" w:rsidRPr="004D73C4" w:rsidRDefault="00250001" w:rsidP="00A031CE">
            <w:pPr>
              <w:spacing w:before="120"/>
              <w:jc w:val="center"/>
              <w:rPr>
                <w:rFonts w:ascii="Arial Narrow" w:hAnsi="Arial Narrow" w:cstheme="minorHAnsi"/>
                <w:b/>
                <w:bCs/>
                <w:color w:val="FFFFFF" w:themeColor="background1"/>
                <w:szCs w:val="20"/>
              </w:rPr>
            </w:pPr>
            <w:r w:rsidRPr="004D73C4">
              <w:rPr>
                <w:rFonts w:ascii="Arial Narrow" w:hAnsi="Arial Narrow" w:cstheme="minorHAnsi"/>
                <w:b/>
                <w:bCs/>
                <w:color w:val="FFFFFF" w:themeColor="background1"/>
                <w:szCs w:val="20"/>
              </w:rPr>
              <w:t>Zmiernenie a eliminácia rizík</w:t>
            </w:r>
          </w:p>
        </w:tc>
      </w:tr>
      <w:tr w:rsidR="00250001" w:rsidRPr="004D73C4" w14:paraId="5DF6B835" w14:textId="77777777" w:rsidTr="004D0125">
        <w:tc>
          <w:tcPr>
            <w:tcW w:w="248" w:type="pct"/>
            <w:shd w:val="clear" w:color="auto" w:fill="FFFFFF" w:themeFill="background1"/>
            <w:hideMark/>
          </w:tcPr>
          <w:p w14:paraId="4B9C66F6"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1</w:t>
            </w:r>
          </w:p>
        </w:tc>
        <w:tc>
          <w:tcPr>
            <w:tcW w:w="1136" w:type="pct"/>
            <w:shd w:val="clear" w:color="auto" w:fill="FFFFFF" w:themeFill="background1"/>
            <w:hideMark/>
          </w:tcPr>
          <w:p w14:paraId="4A26B71F"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Optimalizácia procesov verejnej správy neprinesie očakávané výsledky.</w:t>
            </w:r>
          </w:p>
        </w:tc>
        <w:tc>
          <w:tcPr>
            <w:tcW w:w="3617" w:type="pct"/>
            <w:shd w:val="clear" w:color="auto" w:fill="FFFFFF" w:themeFill="background1"/>
            <w:hideMark/>
          </w:tcPr>
          <w:p w14:paraId="4A4BEC3D" w14:textId="77777777" w:rsidR="00250001" w:rsidRPr="004D73C4" w:rsidRDefault="00250001" w:rsidP="00A031CE">
            <w:pPr>
              <w:rPr>
                <w:rFonts w:ascii="Arial Narrow" w:hAnsi="Arial Narrow"/>
                <w:sz w:val="20"/>
              </w:rPr>
            </w:pPr>
            <w:r w:rsidRPr="004D73C4">
              <w:rPr>
                <w:rFonts w:ascii="Arial Narrow" w:hAnsi="Arial Narrow"/>
                <w:sz w:val="20"/>
              </w:rPr>
              <w:t>Úzka koordinácia tímu pripravujúceho IT riešenie s tímom realizujúcim reformu danej oblasti verejnej správy, vrátane formulácie jasných požiadaviek na výstupy z reformy už od okamihu prípravy KRIT.</w:t>
            </w:r>
          </w:p>
          <w:p w14:paraId="5DB2C10A" w14:textId="77777777" w:rsidR="00250001" w:rsidRPr="004D73C4" w:rsidRDefault="00250001" w:rsidP="00A031CE">
            <w:pPr>
              <w:rPr>
                <w:rFonts w:ascii="Arial Narrow" w:hAnsi="Arial Narrow"/>
                <w:sz w:val="20"/>
              </w:rPr>
            </w:pPr>
            <w:r w:rsidRPr="004D73C4">
              <w:rPr>
                <w:rFonts w:ascii="Arial Narrow" w:hAnsi="Arial Narrow"/>
                <w:sz w:val="20"/>
              </w:rPr>
              <w:t>Zvážiť zlúčenie myšlienok z KRIT do projektu IT.</w:t>
            </w:r>
          </w:p>
          <w:p w14:paraId="2DA49784" w14:textId="77777777" w:rsidR="00250001" w:rsidRPr="004D73C4" w:rsidRDefault="00250001" w:rsidP="00A031CE">
            <w:pPr>
              <w:rPr>
                <w:rFonts w:ascii="Arial Narrow" w:hAnsi="Arial Narrow"/>
                <w:sz w:val="20"/>
              </w:rPr>
            </w:pPr>
            <w:r w:rsidRPr="004D73C4">
              <w:rPr>
                <w:rFonts w:ascii="Arial Narrow" w:hAnsi="Arial Narrow"/>
                <w:sz w:val="20"/>
              </w:rPr>
              <w:lastRenderedPageBreak/>
              <w:t xml:space="preserve">Plánovanie projektov by v časti legislatívnych úprav súvisiacich s reformou malo zohľadňovať také účinnosti legislatívy, aby sa legislatíva aplikovala </w:t>
            </w:r>
            <w:r w:rsidRPr="004D73C4">
              <w:rPr>
                <w:rFonts w:ascii="Arial Narrow" w:eastAsia="Cambria" w:hAnsi="Arial Narrow"/>
                <w:sz w:val="20"/>
              </w:rPr>
              <w:t>vo vzťahu až k reálne dodaným ITVS, v ktorých sú implementované reformované procesy. Nevyhnutnosť reálnej promptnej a efektívnej spolupráce dotknutých gestorov príslušnej právnej úpravy pri navrhovaní jej zmien s cieľom odbúrania prekážok aktuálnej, či pripravovanej právnej úpravy v oblasti IT vrátane komplexnej súvisiacej právnej analýzy nimi vypracovanej.</w:t>
            </w:r>
          </w:p>
          <w:p w14:paraId="1E557899" w14:textId="77777777" w:rsidR="00250001" w:rsidRPr="004D73C4" w:rsidRDefault="00250001" w:rsidP="00A031CE">
            <w:pPr>
              <w:rPr>
                <w:rFonts w:ascii="Arial Narrow" w:hAnsi="Arial Narrow"/>
                <w:sz w:val="20"/>
              </w:rPr>
            </w:pPr>
            <w:r w:rsidRPr="004D73C4">
              <w:rPr>
                <w:rFonts w:ascii="Arial Narrow" w:hAnsi="Arial Narrow"/>
                <w:sz w:val="20"/>
              </w:rPr>
              <w:t>Pri plánovaní projektov zohľadniť kvalitný legislatívny proces v oblasti reformy procesov, špecificky dôkladne rozpracovanú doložku vplyvov, ktorá bude vstupom pre finančné odhady IT projektu a súvisiacej reformy.</w:t>
            </w:r>
          </w:p>
          <w:p w14:paraId="500050A9" w14:textId="77777777" w:rsidR="00250001" w:rsidRPr="004D73C4" w:rsidRDefault="00250001" w:rsidP="00A031CE">
            <w:pPr>
              <w:rPr>
                <w:rFonts w:ascii="Arial Narrow" w:hAnsi="Arial Narrow"/>
                <w:sz w:val="20"/>
              </w:rPr>
            </w:pPr>
            <w:r w:rsidRPr="004D73C4">
              <w:rPr>
                <w:rFonts w:ascii="Arial Narrow" w:hAnsi="Arial Narrow"/>
                <w:sz w:val="20"/>
              </w:rPr>
              <w:t>Komunikácia možností, ktoré prináša IT pre lepšie fungovanie verejnej správy, najmä v podobe vysvetlenie konceptu digitalizácie a jej aplikácie v oblasti verejnej správy smerom ku kľúčovým rolám OVM.</w:t>
            </w:r>
          </w:p>
          <w:p w14:paraId="37233D62" w14:textId="77777777" w:rsidR="00250001" w:rsidRPr="004D73C4" w:rsidRDefault="00250001" w:rsidP="00A031CE">
            <w:pPr>
              <w:rPr>
                <w:rFonts w:ascii="Arial Narrow" w:hAnsi="Arial Narrow"/>
                <w:sz w:val="20"/>
              </w:rPr>
            </w:pPr>
            <w:r w:rsidRPr="004D73C4">
              <w:rPr>
                <w:rFonts w:ascii="Arial Narrow" w:hAnsi="Arial Narrow"/>
                <w:sz w:val="20"/>
              </w:rPr>
              <w:t>Keďže väčšina očakávaných výsledkov reformy verejnej správy je viazaných na využívanie elektronických služieb občanmi a podnikateľmi posilniť aktivity smerujúce k zníženiu bariéry v podobe používania eID v prospech mID.</w:t>
            </w:r>
          </w:p>
        </w:tc>
      </w:tr>
      <w:tr w:rsidR="00250001" w:rsidRPr="004D73C4" w14:paraId="465A436A" w14:textId="77777777" w:rsidTr="004D0125">
        <w:tc>
          <w:tcPr>
            <w:tcW w:w="248" w:type="pct"/>
            <w:shd w:val="clear" w:color="auto" w:fill="FFFFFF" w:themeFill="background1"/>
          </w:tcPr>
          <w:p w14:paraId="5D05C0C3"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lastRenderedPageBreak/>
              <w:t>2</w:t>
            </w:r>
          </w:p>
        </w:tc>
        <w:tc>
          <w:tcPr>
            <w:tcW w:w="1136" w:type="pct"/>
            <w:shd w:val="clear" w:color="auto" w:fill="FFFFFF" w:themeFill="background1"/>
          </w:tcPr>
          <w:p w14:paraId="40C0EE2E"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Projekty sa budú realizovať s nízkou až žiadnou podporou a pozornosťou politických vedení OVM</w:t>
            </w:r>
          </w:p>
        </w:tc>
        <w:tc>
          <w:tcPr>
            <w:tcW w:w="3617" w:type="pct"/>
            <w:shd w:val="clear" w:color="auto" w:fill="FFFFFF" w:themeFill="background1"/>
          </w:tcPr>
          <w:p w14:paraId="447E1F6C" w14:textId="77777777" w:rsidR="00250001" w:rsidRPr="004D73C4" w:rsidRDefault="00250001" w:rsidP="00A031CE">
            <w:pPr>
              <w:rPr>
                <w:rFonts w:ascii="Arial Narrow" w:hAnsi="Arial Narrow"/>
                <w:sz w:val="20"/>
              </w:rPr>
            </w:pPr>
            <w:r w:rsidRPr="004D73C4">
              <w:rPr>
                <w:rFonts w:ascii="Arial Narrow" w:hAnsi="Arial Narrow"/>
                <w:sz w:val="20"/>
              </w:rPr>
              <w:t>Vedenia rezortov sa prihlásia k realizácii transformačných projektov a s nimi súvisiacich IT projektov vrátane harmonogramu konkrétnych legislatívnych, a organizačných krokov a IT aktivít.</w:t>
            </w:r>
          </w:p>
          <w:p w14:paraId="35883B5E" w14:textId="77777777" w:rsidR="00250001" w:rsidRPr="004D73C4" w:rsidRDefault="00250001" w:rsidP="00A031CE">
            <w:pPr>
              <w:rPr>
                <w:rFonts w:ascii="Arial Narrow" w:hAnsi="Arial Narrow"/>
                <w:sz w:val="20"/>
              </w:rPr>
            </w:pPr>
            <w:r w:rsidRPr="004D73C4">
              <w:rPr>
                <w:rFonts w:ascii="Arial Narrow" w:hAnsi="Arial Narrow"/>
                <w:sz w:val="20"/>
              </w:rPr>
              <w:t>Budú implementované eskalačné mechanizmy siahajúce z projektovej úrovne až na úroveň vedení rezortov (napr. Rada vlády pre digitalizáciu) a politických reprezentantov.</w:t>
            </w:r>
          </w:p>
        </w:tc>
      </w:tr>
      <w:tr w:rsidR="00250001" w:rsidRPr="004D73C4" w14:paraId="7F70A642" w14:textId="77777777" w:rsidTr="004D0125">
        <w:tc>
          <w:tcPr>
            <w:tcW w:w="248" w:type="pct"/>
            <w:shd w:val="clear" w:color="auto" w:fill="FFFFFF" w:themeFill="background1"/>
          </w:tcPr>
          <w:p w14:paraId="0FD9112D"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3</w:t>
            </w:r>
          </w:p>
        </w:tc>
        <w:tc>
          <w:tcPr>
            <w:tcW w:w="1136" w:type="pct"/>
            <w:shd w:val="clear" w:color="auto" w:fill="FFFFFF" w:themeFill="background1"/>
          </w:tcPr>
          <w:p w14:paraId="1574B2C2"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Obstarávanie zostane nepredvídateľným a neriaditeľným prvkom systému</w:t>
            </w:r>
          </w:p>
        </w:tc>
        <w:tc>
          <w:tcPr>
            <w:tcW w:w="3617" w:type="pct"/>
            <w:shd w:val="clear" w:color="auto" w:fill="FFFFFF" w:themeFill="background1"/>
          </w:tcPr>
          <w:p w14:paraId="38FA73ED" w14:textId="77777777" w:rsidR="00250001" w:rsidRPr="004D73C4" w:rsidRDefault="00250001" w:rsidP="00A031CE">
            <w:pPr>
              <w:rPr>
                <w:rFonts w:ascii="Arial Narrow" w:hAnsi="Arial Narrow"/>
                <w:sz w:val="20"/>
              </w:rPr>
            </w:pPr>
            <w:r w:rsidRPr="004D73C4">
              <w:rPr>
                <w:rFonts w:ascii="Arial Narrow" w:hAnsi="Arial Narrow"/>
                <w:sz w:val="20"/>
              </w:rPr>
              <w:t xml:space="preserve">Vykonajú sa zmeny v pravidlách verejného obstarávania, ktoré z neho odstránia nepredvídateľnosť z hľadiska dodržiavania lehôt a kvalitatívnych parametrov a eliminovania formalizmu (redukcia časti krokov kontroly). </w:t>
            </w:r>
          </w:p>
          <w:p w14:paraId="7B3E0E74" w14:textId="77777777" w:rsidR="00250001" w:rsidRPr="004D73C4" w:rsidRDefault="00250001" w:rsidP="00A031CE">
            <w:pPr>
              <w:rPr>
                <w:rFonts w:ascii="Arial Narrow" w:hAnsi="Arial Narrow"/>
                <w:sz w:val="20"/>
              </w:rPr>
            </w:pPr>
            <w:r w:rsidRPr="004D73C4">
              <w:rPr>
                <w:rFonts w:ascii="Arial Narrow" w:hAnsi="Arial Narrow"/>
                <w:sz w:val="20"/>
              </w:rPr>
              <w:t>Doplnenie a vzdelanie personálu zabezpečujúceho realizáciu VO a kontrolu VO.</w:t>
            </w:r>
          </w:p>
          <w:p w14:paraId="16BD83A9" w14:textId="77777777" w:rsidR="00250001" w:rsidRPr="004D73C4" w:rsidRDefault="006B673E" w:rsidP="00A031CE">
            <w:pPr>
              <w:rPr>
                <w:rFonts w:ascii="Arial Narrow" w:hAnsi="Arial Narrow"/>
                <w:sz w:val="20"/>
              </w:rPr>
            </w:pPr>
            <w:r>
              <w:rPr>
                <w:rFonts w:ascii="Arial Narrow" w:hAnsi="Arial Narrow"/>
                <w:sz w:val="20"/>
              </w:rPr>
              <w:t>P</w:t>
            </w:r>
            <w:r w:rsidR="00250001" w:rsidRPr="004D73C4">
              <w:rPr>
                <w:rFonts w:ascii="Arial Narrow" w:hAnsi="Arial Narrow"/>
                <w:sz w:val="20"/>
              </w:rPr>
              <w:t xml:space="preserve">ravidlá </w:t>
            </w:r>
            <w:r>
              <w:rPr>
                <w:rFonts w:ascii="Arial Narrow" w:hAnsi="Arial Narrow"/>
                <w:sz w:val="20"/>
              </w:rPr>
              <w:t>VO</w:t>
            </w:r>
            <w:r w:rsidR="00250001" w:rsidRPr="004D73C4">
              <w:rPr>
                <w:rFonts w:ascii="Arial Narrow" w:hAnsi="Arial Narrow"/>
                <w:sz w:val="20"/>
              </w:rPr>
              <w:t>, ktoré nezohľadňujú unikátne charakteristiky odvetvia a znemožňujú využitie skúseností a profesionálnych znalostí a argumentov zo strany IT expertov na OVM</w:t>
            </w:r>
            <w:r>
              <w:rPr>
                <w:rFonts w:ascii="Arial Narrow" w:hAnsi="Arial Narrow"/>
                <w:sz w:val="20"/>
              </w:rPr>
              <w:t>,</w:t>
            </w:r>
            <w:r w:rsidR="00250001" w:rsidRPr="004D73C4">
              <w:rPr>
                <w:rFonts w:ascii="Arial Narrow" w:hAnsi="Arial Narrow"/>
                <w:sz w:val="20"/>
              </w:rPr>
              <w:t xml:space="preserve"> budú eliminované alebo nahradené novými, ktoré budú postavené na best practices z privátneho sektora, napr. podpora Pay-as-you-Go, obstaranie agilného prístupu k vývoju, nemožnosť používať ekvivalent po prvom obstaraní.</w:t>
            </w:r>
          </w:p>
        </w:tc>
      </w:tr>
      <w:tr w:rsidR="00250001" w:rsidRPr="004D73C4" w14:paraId="28A8EE13" w14:textId="77777777" w:rsidTr="004D0125">
        <w:tc>
          <w:tcPr>
            <w:tcW w:w="248" w:type="pct"/>
            <w:shd w:val="clear" w:color="auto" w:fill="FFFFFF" w:themeFill="background1"/>
          </w:tcPr>
          <w:p w14:paraId="1FA73734"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4</w:t>
            </w:r>
          </w:p>
        </w:tc>
        <w:tc>
          <w:tcPr>
            <w:tcW w:w="1136" w:type="pct"/>
            <w:shd w:val="clear" w:color="auto" w:fill="FFFFFF" w:themeFill="background1"/>
          </w:tcPr>
          <w:p w14:paraId="6CFD77DE"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Administratívna záťaž vyplývajúca z právnej úpravy a požiadaviek rôznych orgánov znemožní OVM koncentrovať sa na kvalitnú prípravu a realizáciu projektov</w:t>
            </w:r>
          </w:p>
        </w:tc>
        <w:tc>
          <w:tcPr>
            <w:tcW w:w="3617" w:type="pct"/>
            <w:shd w:val="clear" w:color="auto" w:fill="FFFFFF" w:themeFill="background1"/>
          </w:tcPr>
          <w:p w14:paraId="52EC5F68" w14:textId="77777777" w:rsidR="00250001" w:rsidRPr="004D73C4" w:rsidRDefault="00250001" w:rsidP="00A031CE">
            <w:pPr>
              <w:rPr>
                <w:rFonts w:ascii="Arial Narrow" w:hAnsi="Arial Narrow"/>
                <w:sz w:val="20"/>
              </w:rPr>
            </w:pPr>
            <w:r w:rsidRPr="004D73C4">
              <w:rPr>
                <w:rFonts w:ascii="Arial Narrow" w:hAnsi="Arial Narrow"/>
                <w:sz w:val="20"/>
              </w:rPr>
              <w:t>V nadväznosti na komplexné a dôsledné vstupy od príslušných gestorov (orgánov riadenia) sa vypracuje analýza prípadov, v ktorých sa súčasnosti nedodržiavajú relevantné zákony a podzákonné všeobecne záväzné právne normy. Súčasťou bude identifikovanie toho, či sú na OVM vôbec splnené materiálne a kapacitné predpoklady pre ich dodržiavanie, známe ako tzv. „Capability maturity model“.</w:t>
            </w:r>
          </w:p>
          <w:p w14:paraId="5114F804" w14:textId="77777777" w:rsidR="00250001" w:rsidRPr="004D73C4" w:rsidRDefault="00250001" w:rsidP="00A031CE">
            <w:pPr>
              <w:rPr>
                <w:rFonts w:ascii="Arial Narrow" w:hAnsi="Arial Narrow"/>
                <w:sz w:val="20"/>
              </w:rPr>
            </w:pPr>
            <w:r w:rsidRPr="004D73C4">
              <w:rPr>
                <w:rFonts w:ascii="Arial Narrow" w:hAnsi="Arial Narrow"/>
                <w:sz w:val="20"/>
              </w:rPr>
              <w:t>V prípade novej legislatívy alebo jej zmien dôrazne realisticky posudzovať doložku vplyvov v oblasti finančných a personálnych vplyvov, pričom dotknuté rezorty poskytnú relevantné a exaktné podklady na jej vypracovanie.</w:t>
            </w:r>
          </w:p>
          <w:p w14:paraId="2C7B8620" w14:textId="77777777" w:rsidR="00250001" w:rsidRPr="004D73C4" w:rsidRDefault="00250001" w:rsidP="00A031CE">
            <w:pPr>
              <w:rPr>
                <w:rFonts w:ascii="Arial Narrow" w:hAnsi="Arial Narrow"/>
                <w:sz w:val="20"/>
              </w:rPr>
            </w:pPr>
            <w:r w:rsidRPr="004D73C4">
              <w:rPr>
                <w:rFonts w:ascii="Arial Narrow" w:hAnsi="Arial Narrow"/>
                <w:sz w:val="20"/>
              </w:rPr>
              <w:t>Na základe zistení sa navrhne zoznam povinností, ktoré nie je nutné plniť pre potreby úspešnej realizácie projektov.</w:t>
            </w:r>
          </w:p>
          <w:p w14:paraId="19D536D8" w14:textId="77777777" w:rsidR="00250001" w:rsidRPr="004D73C4" w:rsidRDefault="00250001" w:rsidP="00A031CE">
            <w:pPr>
              <w:rPr>
                <w:rFonts w:ascii="Arial Narrow" w:hAnsi="Arial Narrow"/>
                <w:sz w:val="20"/>
              </w:rPr>
            </w:pPr>
            <w:r w:rsidRPr="004D73C4">
              <w:rPr>
                <w:rFonts w:ascii="Arial Narrow" w:hAnsi="Arial Narrow"/>
                <w:sz w:val="20"/>
              </w:rPr>
              <w:t>Pri povinnostiach, ktoré zostanú sa bude dôsledne vymáhať ich napĺňanie, vrátane uplatňovania sankcií.</w:t>
            </w:r>
          </w:p>
          <w:p w14:paraId="23A5BF4F" w14:textId="77777777" w:rsidR="00250001" w:rsidRPr="004D73C4" w:rsidRDefault="00250001" w:rsidP="00A031CE">
            <w:pPr>
              <w:rPr>
                <w:rFonts w:ascii="Arial Narrow" w:hAnsi="Arial Narrow"/>
                <w:sz w:val="20"/>
              </w:rPr>
            </w:pPr>
            <w:r w:rsidRPr="004D73C4">
              <w:rPr>
                <w:rFonts w:ascii="Arial Narrow" w:hAnsi="Arial Narrow"/>
                <w:sz w:val="20"/>
              </w:rPr>
              <w:t>Zjednoduš</w:t>
            </w:r>
            <w:r w:rsidR="006B673E">
              <w:rPr>
                <w:rFonts w:ascii="Arial Narrow" w:hAnsi="Arial Narrow"/>
                <w:sz w:val="20"/>
              </w:rPr>
              <w:t>enie</w:t>
            </w:r>
            <w:r w:rsidRPr="004D73C4">
              <w:rPr>
                <w:rFonts w:ascii="Arial Narrow" w:hAnsi="Arial Narrow"/>
                <w:sz w:val="20"/>
              </w:rPr>
              <w:t xml:space="preserve"> a automatiz</w:t>
            </w:r>
            <w:r w:rsidR="006B673E">
              <w:rPr>
                <w:rFonts w:ascii="Arial Narrow" w:hAnsi="Arial Narrow"/>
                <w:sz w:val="20"/>
              </w:rPr>
              <w:t>ácia</w:t>
            </w:r>
            <w:r w:rsidRPr="004D73C4">
              <w:rPr>
                <w:rFonts w:ascii="Arial Narrow" w:hAnsi="Arial Narrow"/>
                <w:sz w:val="20"/>
              </w:rPr>
              <w:t xml:space="preserve"> vykazovania a výstupov projektov finan</w:t>
            </w:r>
            <w:r w:rsidR="006B673E">
              <w:rPr>
                <w:rFonts w:ascii="Arial Narrow" w:hAnsi="Arial Narrow"/>
                <w:sz w:val="20"/>
              </w:rPr>
              <w:t>c.</w:t>
            </w:r>
            <w:r w:rsidRPr="004D73C4">
              <w:rPr>
                <w:rFonts w:ascii="Arial Narrow" w:hAnsi="Arial Narrow"/>
                <w:sz w:val="20"/>
              </w:rPr>
              <w:t xml:space="preserve"> z fondov EÚ.</w:t>
            </w:r>
          </w:p>
        </w:tc>
      </w:tr>
      <w:tr w:rsidR="00250001" w:rsidRPr="004D73C4" w14:paraId="2B25C7BF" w14:textId="77777777" w:rsidTr="004D0125">
        <w:tc>
          <w:tcPr>
            <w:tcW w:w="248" w:type="pct"/>
            <w:shd w:val="clear" w:color="auto" w:fill="FFFFFF" w:themeFill="background1"/>
          </w:tcPr>
          <w:p w14:paraId="73C22777"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5</w:t>
            </w:r>
          </w:p>
        </w:tc>
        <w:tc>
          <w:tcPr>
            <w:tcW w:w="1136" w:type="pct"/>
            <w:shd w:val="clear" w:color="auto" w:fill="FFFFFF" w:themeFill="background1"/>
          </w:tcPr>
          <w:p w14:paraId="7A70F4E4"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 xml:space="preserve">Dlhá príprava podkladov pre VO na OVM, </w:t>
            </w:r>
            <w:r w:rsidRPr="004D73C4">
              <w:rPr>
                <w:rFonts w:ascii="Arial Narrow" w:hAnsi="Arial Narrow" w:cstheme="minorHAnsi"/>
                <w:sz w:val="20"/>
                <w:szCs w:val="20"/>
              </w:rPr>
              <w:lastRenderedPageBreak/>
              <w:t>prípadne nízka kvalita týchto podkladov.</w:t>
            </w:r>
          </w:p>
        </w:tc>
        <w:tc>
          <w:tcPr>
            <w:tcW w:w="3617" w:type="pct"/>
            <w:shd w:val="clear" w:color="auto" w:fill="FFFFFF" w:themeFill="background1"/>
          </w:tcPr>
          <w:p w14:paraId="5A6FC7FC" w14:textId="77777777" w:rsidR="00250001" w:rsidRPr="004D73C4" w:rsidRDefault="00250001" w:rsidP="00A031CE">
            <w:pPr>
              <w:rPr>
                <w:rFonts w:ascii="Arial Narrow" w:hAnsi="Arial Narrow"/>
                <w:sz w:val="20"/>
              </w:rPr>
            </w:pPr>
            <w:r w:rsidRPr="004D73C4">
              <w:rPr>
                <w:rFonts w:ascii="Arial Narrow" w:hAnsi="Arial Narrow"/>
                <w:sz w:val="20"/>
              </w:rPr>
              <w:lastRenderedPageBreak/>
              <w:t>Doplnenie a vzdelanie personálu zabezpečujúceho prípravu a realizáciu VO.</w:t>
            </w:r>
          </w:p>
          <w:p w14:paraId="0D5803D0" w14:textId="77777777" w:rsidR="00250001" w:rsidRPr="004D73C4" w:rsidRDefault="00250001" w:rsidP="00A031CE">
            <w:pPr>
              <w:rPr>
                <w:rFonts w:ascii="Arial Narrow" w:hAnsi="Arial Narrow"/>
                <w:sz w:val="20"/>
              </w:rPr>
            </w:pPr>
            <w:r w:rsidRPr="004D73C4">
              <w:rPr>
                <w:rFonts w:ascii="Arial Narrow" w:hAnsi="Arial Narrow"/>
                <w:sz w:val="20"/>
              </w:rPr>
              <w:t>Včasná spolupráca vo forme konzultácií s UVO pri príprave formálnej stránky podkladov.</w:t>
            </w:r>
          </w:p>
          <w:p w14:paraId="0497004F" w14:textId="77777777" w:rsidR="00250001" w:rsidRPr="004D73C4" w:rsidRDefault="00250001" w:rsidP="00A031CE">
            <w:pPr>
              <w:rPr>
                <w:rFonts w:ascii="Arial Narrow" w:hAnsi="Arial Narrow"/>
                <w:sz w:val="20"/>
              </w:rPr>
            </w:pPr>
            <w:r w:rsidRPr="004D73C4">
              <w:rPr>
                <w:rFonts w:ascii="Arial Narrow" w:hAnsi="Arial Narrow"/>
                <w:sz w:val="20"/>
              </w:rPr>
              <w:lastRenderedPageBreak/>
              <w:t>Včasná spolupráca vo forme konzultácií s MIRRI SR pri príprave vecnej/obsahovej stránky podkladov.</w:t>
            </w:r>
          </w:p>
          <w:p w14:paraId="2FF37D97" w14:textId="77777777" w:rsidR="00250001" w:rsidRPr="004D73C4" w:rsidRDefault="00250001" w:rsidP="00A031CE">
            <w:pPr>
              <w:rPr>
                <w:rFonts w:ascii="Arial Narrow" w:hAnsi="Arial Narrow"/>
                <w:sz w:val="20"/>
              </w:rPr>
            </w:pPr>
            <w:r w:rsidRPr="004D73C4">
              <w:rPr>
                <w:rFonts w:ascii="Arial Narrow" w:hAnsi="Arial Narrow"/>
                <w:sz w:val="20"/>
              </w:rPr>
              <w:t>Identifikácia biznis vlastníka na strane OVM a jeho silné vlastníctvo agendy v rámci OVM.</w:t>
            </w:r>
          </w:p>
        </w:tc>
      </w:tr>
      <w:tr w:rsidR="00250001" w:rsidRPr="004D73C4" w14:paraId="35635F3A" w14:textId="77777777" w:rsidTr="004D0125">
        <w:tc>
          <w:tcPr>
            <w:tcW w:w="248" w:type="pct"/>
            <w:shd w:val="clear" w:color="auto" w:fill="FFFFFF" w:themeFill="background1"/>
            <w:hideMark/>
          </w:tcPr>
          <w:p w14:paraId="636CC593" w14:textId="77777777" w:rsidR="00250001" w:rsidRPr="004D73C4" w:rsidRDefault="00250001" w:rsidP="00A031CE">
            <w:pPr>
              <w:jc w:val="left"/>
              <w:rPr>
                <w:rFonts w:ascii="Arial Narrow" w:hAnsi="Arial Narrow" w:cstheme="minorHAnsi"/>
                <w:b/>
                <w:bCs/>
                <w:sz w:val="20"/>
                <w:szCs w:val="20"/>
              </w:rPr>
            </w:pPr>
            <w:r w:rsidRPr="004D73C4">
              <w:rPr>
                <w:rFonts w:ascii="Arial Narrow" w:hAnsi="Arial Narrow" w:cstheme="minorHAnsi"/>
                <w:sz w:val="20"/>
                <w:szCs w:val="20"/>
              </w:rPr>
              <w:lastRenderedPageBreak/>
              <w:t>6</w:t>
            </w:r>
          </w:p>
        </w:tc>
        <w:tc>
          <w:tcPr>
            <w:tcW w:w="1136" w:type="pct"/>
            <w:shd w:val="clear" w:color="auto" w:fill="FFFFFF" w:themeFill="background1"/>
            <w:hideMark/>
          </w:tcPr>
          <w:p w14:paraId="5EE4746A"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Kapacita inštitúcii verejnej správy realizovať navrhované riešenia nebude dostatočná</w:t>
            </w:r>
          </w:p>
        </w:tc>
        <w:tc>
          <w:tcPr>
            <w:tcW w:w="3617" w:type="pct"/>
            <w:shd w:val="clear" w:color="auto" w:fill="FFFFFF" w:themeFill="background1"/>
            <w:hideMark/>
          </w:tcPr>
          <w:p w14:paraId="7D52E271" w14:textId="77777777" w:rsidR="00250001" w:rsidRPr="004D73C4" w:rsidRDefault="00250001" w:rsidP="00A031CE">
            <w:pPr>
              <w:rPr>
                <w:rFonts w:ascii="Arial Narrow" w:hAnsi="Arial Narrow"/>
                <w:sz w:val="20"/>
              </w:rPr>
            </w:pPr>
            <w:r w:rsidRPr="004D73C4">
              <w:rPr>
                <w:rFonts w:ascii="Arial Narrow" w:hAnsi="Arial Narrow"/>
                <w:sz w:val="20"/>
              </w:rPr>
              <w:t>Koncepčné zabezpečenie financovania pre budovanie personálnych kapacít nadväzovať na dokument Koncepcia riadenia ľudských zdrojov v IT.</w:t>
            </w:r>
          </w:p>
          <w:p w14:paraId="6FC60461" w14:textId="77777777" w:rsidR="00250001" w:rsidRPr="004D73C4" w:rsidRDefault="00250001" w:rsidP="00A031CE">
            <w:pPr>
              <w:rPr>
                <w:rFonts w:ascii="Arial Narrow" w:hAnsi="Arial Narrow"/>
                <w:sz w:val="20"/>
              </w:rPr>
            </w:pPr>
            <w:r w:rsidRPr="004D73C4">
              <w:rPr>
                <w:rFonts w:ascii="Arial Narrow" w:hAnsi="Arial Narrow"/>
                <w:sz w:val="20"/>
              </w:rPr>
              <w:t>Zvýšenie konkurencie v dodávateľskom sektore, motivovanie ďalších subjektov pre zapojenie sa, napríklad dôsledným využívaním inštrumentu Prípravné trhové konzultácie v zmysle zákona o verejnom obstarávaní.</w:t>
            </w:r>
          </w:p>
          <w:p w14:paraId="1AA2FCD8" w14:textId="77777777" w:rsidR="00250001" w:rsidRPr="004D73C4" w:rsidRDefault="00250001" w:rsidP="00A031CE">
            <w:pPr>
              <w:rPr>
                <w:rFonts w:ascii="Arial Narrow" w:hAnsi="Arial Narrow"/>
                <w:sz w:val="20"/>
              </w:rPr>
            </w:pPr>
            <w:r w:rsidRPr="004D73C4">
              <w:rPr>
                <w:rFonts w:ascii="Arial Narrow" w:hAnsi="Arial Narrow"/>
                <w:sz w:val="20"/>
              </w:rPr>
              <w:t>Podpora výmeny skúseností a transferu „know-how“ zo zahraničia v čase tvorby projektu.</w:t>
            </w:r>
          </w:p>
          <w:p w14:paraId="79CAAAD4" w14:textId="77777777" w:rsidR="00250001" w:rsidRPr="004D73C4" w:rsidRDefault="00250001" w:rsidP="00A031CE">
            <w:pPr>
              <w:rPr>
                <w:rFonts w:ascii="Arial Narrow" w:hAnsi="Arial Narrow"/>
                <w:sz w:val="20"/>
              </w:rPr>
            </w:pPr>
            <w:r w:rsidRPr="004D73C4">
              <w:rPr>
                <w:rFonts w:ascii="Arial Narrow" w:hAnsi="Arial Narrow"/>
                <w:sz w:val="20"/>
              </w:rPr>
              <w:t>Realizovať menej projektov v súlade s odbornými kapacitami OVM (</w:t>
            </w:r>
            <w:r w:rsidR="00C92048">
              <w:rPr>
                <w:rFonts w:ascii="Arial Narrow" w:hAnsi="Arial Narrow"/>
                <w:sz w:val="20"/>
              </w:rPr>
              <w:t>pozri</w:t>
            </w:r>
            <w:r w:rsidRPr="004D73C4">
              <w:rPr>
                <w:rFonts w:ascii="Arial Narrow" w:hAnsi="Arial Narrow"/>
                <w:sz w:val="20"/>
              </w:rPr>
              <w:t xml:space="preserve"> „Capability maturity model“)</w:t>
            </w:r>
          </w:p>
          <w:p w14:paraId="6F088857" w14:textId="77777777" w:rsidR="00250001" w:rsidRPr="004D73C4" w:rsidRDefault="00250001" w:rsidP="00A031CE">
            <w:pPr>
              <w:rPr>
                <w:rFonts w:ascii="Arial Narrow" w:hAnsi="Arial Narrow"/>
                <w:sz w:val="20"/>
              </w:rPr>
            </w:pPr>
            <w:r w:rsidRPr="004D73C4">
              <w:rPr>
                <w:rFonts w:ascii="Arial Narrow" w:hAnsi="Arial Narrow"/>
                <w:sz w:val="20"/>
              </w:rPr>
              <w:t>Realizovať časovo kratšie projekty.</w:t>
            </w:r>
          </w:p>
        </w:tc>
      </w:tr>
      <w:tr w:rsidR="00250001" w:rsidRPr="004D73C4" w14:paraId="1F425C37" w14:textId="77777777" w:rsidTr="004D0125">
        <w:tc>
          <w:tcPr>
            <w:tcW w:w="248" w:type="pct"/>
            <w:shd w:val="clear" w:color="auto" w:fill="FFFFFF" w:themeFill="background1"/>
            <w:hideMark/>
          </w:tcPr>
          <w:p w14:paraId="40490405" w14:textId="77777777" w:rsidR="00250001" w:rsidRPr="004D73C4" w:rsidRDefault="00250001" w:rsidP="00A031CE">
            <w:pPr>
              <w:jc w:val="left"/>
              <w:rPr>
                <w:rFonts w:ascii="Arial Narrow" w:hAnsi="Arial Narrow" w:cstheme="minorHAnsi"/>
                <w:b/>
                <w:bCs/>
                <w:sz w:val="20"/>
                <w:szCs w:val="20"/>
              </w:rPr>
            </w:pPr>
            <w:r w:rsidRPr="004D73C4">
              <w:rPr>
                <w:rFonts w:ascii="Arial Narrow" w:hAnsi="Arial Narrow" w:cstheme="minorHAnsi"/>
                <w:sz w:val="20"/>
                <w:szCs w:val="20"/>
              </w:rPr>
              <w:t>7</w:t>
            </w:r>
          </w:p>
        </w:tc>
        <w:tc>
          <w:tcPr>
            <w:tcW w:w="1136" w:type="pct"/>
            <w:shd w:val="clear" w:color="auto" w:fill="FFFFFF" w:themeFill="background1"/>
            <w:hideMark/>
          </w:tcPr>
          <w:p w14:paraId="4C2C0663"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Medzirezortné závislosti na legislatívnej, procesnej alebo technol</w:t>
            </w:r>
            <w:r w:rsidR="00C92048">
              <w:rPr>
                <w:rFonts w:ascii="Arial Narrow" w:hAnsi="Arial Narrow" w:cstheme="minorHAnsi"/>
                <w:sz w:val="20"/>
                <w:szCs w:val="20"/>
              </w:rPr>
              <w:t>ogickej</w:t>
            </w:r>
            <w:r w:rsidRPr="004D73C4">
              <w:rPr>
                <w:rFonts w:ascii="Arial Narrow" w:hAnsi="Arial Narrow" w:cstheme="minorHAnsi"/>
                <w:sz w:val="20"/>
                <w:szCs w:val="20"/>
              </w:rPr>
              <w:t xml:space="preserve"> úrovni zabrzdia progres implement</w:t>
            </w:r>
            <w:r w:rsidR="006B673E">
              <w:rPr>
                <w:rFonts w:ascii="Arial Narrow" w:hAnsi="Arial Narrow" w:cstheme="minorHAnsi"/>
                <w:sz w:val="20"/>
                <w:szCs w:val="20"/>
              </w:rPr>
              <w:t>ácie</w:t>
            </w:r>
            <w:r w:rsidRPr="004D73C4">
              <w:rPr>
                <w:rFonts w:ascii="Arial Narrow" w:hAnsi="Arial Narrow" w:cstheme="minorHAnsi"/>
                <w:sz w:val="20"/>
                <w:szCs w:val="20"/>
              </w:rPr>
              <w:t xml:space="preserve"> NKIVS</w:t>
            </w:r>
          </w:p>
        </w:tc>
        <w:tc>
          <w:tcPr>
            <w:tcW w:w="3617" w:type="pct"/>
            <w:shd w:val="clear" w:color="auto" w:fill="FFFFFF" w:themeFill="background1"/>
            <w:hideMark/>
          </w:tcPr>
          <w:p w14:paraId="4FFDE43F" w14:textId="77777777" w:rsidR="00250001" w:rsidRPr="004D73C4" w:rsidRDefault="00250001" w:rsidP="00A031CE">
            <w:pPr>
              <w:rPr>
                <w:rFonts w:ascii="Arial Narrow" w:hAnsi="Arial Narrow"/>
                <w:sz w:val="20"/>
              </w:rPr>
            </w:pPr>
            <w:r w:rsidRPr="004D73C4">
              <w:rPr>
                <w:rFonts w:ascii="Arial Narrow" w:hAnsi="Arial Narrow"/>
                <w:sz w:val="20"/>
              </w:rPr>
              <w:t>Riešenie problémov s medzirezortnými záležitosťami na politickej úrovni.</w:t>
            </w:r>
          </w:p>
          <w:p w14:paraId="5A2A2E62" w14:textId="77777777" w:rsidR="00250001" w:rsidRPr="004D73C4" w:rsidRDefault="00250001" w:rsidP="00A031CE">
            <w:pPr>
              <w:rPr>
                <w:rFonts w:ascii="Arial Narrow" w:hAnsi="Arial Narrow"/>
                <w:sz w:val="20"/>
                <w:szCs w:val="20"/>
              </w:rPr>
            </w:pPr>
            <w:r w:rsidRPr="004D73C4">
              <w:rPr>
                <w:rFonts w:ascii="Arial Narrow" w:hAnsi="Arial Narrow"/>
                <w:sz w:val="20"/>
                <w:szCs w:val="20"/>
              </w:rPr>
              <w:t>Dôsledné, koordinované a záväzné plánovanie i spolupráca s aktívnou účasťou všetkých zúčastnených (reformné zámery a otvorený plán realizácie NKIVS).</w:t>
            </w:r>
          </w:p>
        </w:tc>
      </w:tr>
      <w:tr w:rsidR="00250001" w:rsidRPr="004D73C4" w14:paraId="5D7A08B1" w14:textId="77777777" w:rsidTr="004D0125">
        <w:tc>
          <w:tcPr>
            <w:tcW w:w="248" w:type="pct"/>
            <w:shd w:val="clear" w:color="auto" w:fill="FFFFFF" w:themeFill="background1"/>
            <w:hideMark/>
          </w:tcPr>
          <w:p w14:paraId="4FD87210" w14:textId="77777777" w:rsidR="00250001" w:rsidRPr="004D73C4" w:rsidRDefault="00250001" w:rsidP="00A031CE">
            <w:pPr>
              <w:jc w:val="left"/>
              <w:rPr>
                <w:rFonts w:ascii="Arial Narrow" w:hAnsi="Arial Narrow" w:cstheme="minorHAnsi"/>
                <w:b/>
                <w:bCs/>
                <w:sz w:val="20"/>
                <w:szCs w:val="20"/>
              </w:rPr>
            </w:pPr>
            <w:r w:rsidRPr="004D73C4">
              <w:rPr>
                <w:rFonts w:ascii="Arial Narrow" w:hAnsi="Arial Narrow" w:cstheme="minorHAnsi"/>
                <w:sz w:val="20"/>
                <w:szCs w:val="20"/>
              </w:rPr>
              <w:t>8</w:t>
            </w:r>
          </w:p>
        </w:tc>
        <w:tc>
          <w:tcPr>
            <w:tcW w:w="1136" w:type="pct"/>
            <w:shd w:val="clear" w:color="auto" w:fill="FFFFFF" w:themeFill="background1"/>
            <w:hideMark/>
          </w:tcPr>
          <w:p w14:paraId="3D9C9F9D"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Existujúce zmluvné záväzky zabrzdia implement</w:t>
            </w:r>
            <w:r w:rsidR="006B673E">
              <w:rPr>
                <w:rFonts w:ascii="Arial Narrow" w:hAnsi="Arial Narrow" w:cstheme="minorHAnsi"/>
                <w:sz w:val="20"/>
                <w:szCs w:val="20"/>
              </w:rPr>
              <w:t>.</w:t>
            </w:r>
            <w:r w:rsidRPr="004D73C4">
              <w:rPr>
                <w:rFonts w:ascii="Arial Narrow" w:hAnsi="Arial Narrow" w:cstheme="minorHAnsi"/>
                <w:sz w:val="20"/>
                <w:szCs w:val="20"/>
              </w:rPr>
              <w:t xml:space="preserve"> nových politík.</w:t>
            </w:r>
          </w:p>
        </w:tc>
        <w:tc>
          <w:tcPr>
            <w:tcW w:w="3617" w:type="pct"/>
            <w:shd w:val="clear" w:color="auto" w:fill="FFFFFF" w:themeFill="background1"/>
            <w:hideMark/>
          </w:tcPr>
          <w:p w14:paraId="3CA40EAC" w14:textId="77777777" w:rsidR="00250001" w:rsidRPr="004D73C4" w:rsidRDefault="00250001" w:rsidP="00A031CE">
            <w:pPr>
              <w:rPr>
                <w:rFonts w:ascii="Arial Narrow" w:hAnsi="Arial Narrow"/>
                <w:sz w:val="20"/>
              </w:rPr>
            </w:pPr>
            <w:r w:rsidRPr="004D73C4">
              <w:rPr>
                <w:rFonts w:ascii="Arial Narrow" w:hAnsi="Arial Narrow"/>
                <w:sz w:val="20"/>
              </w:rPr>
              <w:t xml:space="preserve">V návrhu nových politík (v ich legislatívnom znení) bude explicitne riešený problém zmluvných záväzkov, ktoré by znemožnili implementáciu politiky. </w:t>
            </w:r>
          </w:p>
          <w:p w14:paraId="7CD39EA5" w14:textId="77777777" w:rsidR="00250001" w:rsidRPr="004D73C4" w:rsidRDefault="00250001" w:rsidP="00A031CE">
            <w:pPr>
              <w:rPr>
                <w:rFonts w:ascii="Arial Narrow" w:hAnsi="Arial Narrow"/>
                <w:sz w:val="20"/>
              </w:rPr>
            </w:pPr>
            <w:r w:rsidRPr="004D73C4">
              <w:rPr>
                <w:rFonts w:ascii="Arial Narrow" w:hAnsi="Arial Narrow"/>
                <w:sz w:val="20"/>
              </w:rPr>
              <w:t xml:space="preserve">V prípade vendor-lock dôsledne aplikovať vypracovanú metodiku pre jeho odstránenie. </w:t>
            </w:r>
          </w:p>
        </w:tc>
      </w:tr>
      <w:tr w:rsidR="00250001" w:rsidRPr="004D73C4" w14:paraId="0F08BDD1" w14:textId="77777777" w:rsidTr="004D0125">
        <w:tc>
          <w:tcPr>
            <w:tcW w:w="248" w:type="pct"/>
            <w:shd w:val="clear" w:color="auto" w:fill="FFFFFF" w:themeFill="background1"/>
            <w:hideMark/>
          </w:tcPr>
          <w:p w14:paraId="2DAC45BE"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9</w:t>
            </w:r>
          </w:p>
        </w:tc>
        <w:tc>
          <w:tcPr>
            <w:tcW w:w="1136" w:type="pct"/>
            <w:shd w:val="clear" w:color="auto" w:fill="FFFFFF" w:themeFill="background1"/>
            <w:hideMark/>
          </w:tcPr>
          <w:p w14:paraId="44FC62E3"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Zavedenie agilných princípov vo verejnej správe sa ukáže ako nerealizovateľná zmena filozofie a myslenia</w:t>
            </w:r>
          </w:p>
        </w:tc>
        <w:tc>
          <w:tcPr>
            <w:tcW w:w="3617" w:type="pct"/>
            <w:shd w:val="clear" w:color="auto" w:fill="FFFFFF" w:themeFill="background1"/>
            <w:hideMark/>
          </w:tcPr>
          <w:p w14:paraId="216A88A4" w14:textId="77777777" w:rsidR="00250001" w:rsidRPr="004D73C4" w:rsidRDefault="00250001" w:rsidP="00A031CE">
            <w:pPr>
              <w:rPr>
                <w:rFonts w:ascii="Arial Narrow" w:hAnsi="Arial Narrow"/>
                <w:sz w:val="20"/>
              </w:rPr>
            </w:pPr>
            <w:r w:rsidRPr="004D73C4">
              <w:rPr>
                <w:rFonts w:ascii="Arial Narrow" w:hAnsi="Arial Narrow"/>
                <w:sz w:val="20"/>
              </w:rPr>
              <w:t>Definovať oblasti uplatnenia agilného prístupu a následne vypracovať princípy uplatnenia v daných oblastiach.</w:t>
            </w:r>
          </w:p>
        </w:tc>
      </w:tr>
      <w:tr w:rsidR="00250001" w:rsidRPr="004D73C4" w14:paraId="6929C988" w14:textId="77777777" w:rsidTr="004D0125">
        <w:tc>
          <w:tcPr>
            <w:tcW w:w="248" w:type="pct"/>
            <w:shd w:val="clear" w:color="auto" w:fill="FFFFFF" w:themeFill="background1"/>
          </w:tcPr>
          <w:p w14:paraId="5D66C447"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10</w:t>
            </w:r>
          </w:p>
        </w:tc>
        <w:tc>
          <w:tcPr>
            <w:tcW w:w="1136" w:type="pct"/>
            <w:shd w:val="clear" w:color="auto" w:fill="FFFFFF" w:themeFill="background1"/>
          </w:tcPr>
          <w:p w14:paraId="4A84D154"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Legislatíva v oblasti e-Governmentu vyplývajúca z NKIVS nebude prijatá, resp. nebude mať dostatočnú odbornú kvalitu.</w:t>
            </w:r>
          </w:p>
        </w:tc>
        <w:tc>
          <w:tcPr>
            <w:tcW w:w="3617" w:type="pct"/>
            <w:shd w:val="clear" w:color="auto" w:fill="FFFFFF" w:themeFill="background1"/>
          </w:tcPr>
          <w:p w14:paraId="645F4ED1" w14:textId="77777777" w:rsidR="00250001" w:rsidRPr="004D73C4" w:rsidRDefault="00250001" w:rsidP="00A031CE">
            <w:pPr>
              <w:rPr>
                <w:rFonts w:ascii="Arial Narrow" w:hAnsi="Arial Narrow"/>
                <w:sz w:val="20"/>
              </w:rPr>
            </w:pPr>
            <w:r w:rsidRPr="004D73C4">
              <w:rPr>
                <w:rFonts w:ascii="Arial Narrow" w:hAnsi="Arial Narrow"/>
                <w:sz w:val="20"/>
              </w:rPr>
              <w:t>Definovať legislatívny plán pre e-Government a eskalovať jeho dodržiavanie.</w:t>
            </w:r>
          </w:p>
          <w:p w14:paraId="375F96D2" w14:textId="77777777" w:rsidR="00250001" w:rsidRPr="004D73C4" w:rsidRDefault="00250001" w:rsidP="00A031CE">
            <w:pPr>
              <w:rPr>
                <w:rFonts w:ascii="Arial Narrow" w:hAnsi="Arial Narrow"/>
                <w:sz w:val="20"/>
              </w:rPr>
            </w:pPr>
            <w:r w:rsidRPr="004D73C4">
              <w:rPr>
                <w:rFonts w:ascii="Arial Narrow" w:hAnsi="Arial Narrow"/>
                <w:sz w:val="20"/>
              </w:rPr>
              <w:t>Posilniť dedikované kapacity MIRRI SR pre tvorbu eGov legislatívy v oblasti technologických vecných expertov.</w:t>
            </w:r>
          </w:p>
        </w:tc>
      </w:tr>
      <w:tr w:rsidR="00250001" w:rsidRPr="004D73C4" w14:paraId="338A8F2C" w14:textId="77777777" w:rsidTr="004D0125">
        <w:tc>
          <w:tcPr>
            <w:tcW w:w="248" w:type="pct"/>
            <w:shd w:val="clear" w:color="auto" w:fill="FFFFFF" w:themeFill="background1"/>
          </w:tcPr>
          <w:p w14:paraId="03255F0B"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11</w:t>
            </w:r>
          </w:p>
        </w:tc>
        <w:tc>
          <w:tcPr>
            <w:tcW w:w="1136" w:type="pct"/>
            <w:shd w:val="clear" w:color="auto" w:fill="FFFFFF" w:themeFill="background1"/>
          </w:tcPr>
          <w:p w14:paraId="4BBBED68"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Realizácia niektorých QuickWins nerešpektuje platné IT štandardy, resp. IT legislatívu.</w:t>
            </w:r>
          </w:p>
        </w:tc>
        <w:tc>
          <w:tcPr>
            <w:tcW w:w="3617" w:type="pct"/>
            <w:shd w:val="clear" w:color="auto" w:fill="FFFFFF" w:themeFill="background1"/>
          </w:tcPr>
          <w:p w14:paraId="038F8268" w14:textId="77777777" w:rsidR="00250001" w:rsidRPr="004D73C4" w:rsidRDefault="00250001" w:rsidP="00672C65">
            <w:pPr>
              <w:rPr>
                <w:rFonts w:ascii="Arial Narrow" w:hAnsi="Arial Narrow"/>
                <w:sz w:val="20"/>
              </w:rPr>
            </w:pPr>
            <w:r w:rsidRPr="004D73C4">
              <w:rPr>
                <w:rFonts w:ascii="Arial Narrow" w:hAnsi="Arial Narrow"/>
                <w:sz w:val="20"/>
              </w:rPr>
              <w:t>Prípadné výnimky z nerešpektovania štandardov pri realizácii QuickWins budú viazané na časové obdobie takejto výnimky ako aj na vyčlenené prostriedky pre plné zosúladenie so štandardmi po dobe uplynutia časového obdobia výnimky.</w:t>
            </w:r>
          </w:p>
        </w:tc>
      </w:tr>
      <w:tr w:rsidR="00250001" w:rsidRPr="004D73C4" w14:paraId="3D5B7F3B" w14:textId="77777777" w:rsidTr="004D0125">
        <w:tc>
          <w:tcPr>
            <w:tcW w:w="248" w:type="pct"/>
            <w:shd w:val="clear" w:color="auto" w:fill="FFFFFF" w:themeFill="background1"/>
          </w:tcPr>
          <w:p w14:paraId="65A35815"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t>12</w:t>
            </w:r>
          </w:p>
        </w:tc>
        <w:tc>
          <w:tcPr>
            <w:tcW w:w="1136" w:type="pct"/>
            <w:shd w:val="clear" w:color="auto" w:fill="FFFFFF" w:themeFill="background1"/>
          </w:tcPr>
          <w:p w14:paraId="46771A4F"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Realizácia niektorých QuickWins nerešpektuje realizačné plány NKIVS, resp. kap</w:t>
            </w:r>
            <w:r w:rsidR="006B673E">
              <w:rPr>
                <w:rFonts w:ascii="Arial Narrow" w:hAnsi="Arial Narrow" w:cstheme="minorHAnsi"/>
                <w:sz w:val="20"/>
                <w:szCs w:val="20"/>
              </w:rPr>
              <w:t>.</w:t>
            </w:r>
            <w:r w:rsidRPr="004D73C4">
              <w:rPr>
                <w:rFonts w:ascii="Arial Narrow" w:hAnsi="Arial Narrow" w:cstheme="minorHAnsi"/>
                <w:sz w:val="20"/>
                <w:szCs w:val="20"/>
              </w:rPr>
              <w:t xml:space="preserve"> možnosti OVM.</w:t>
            </w:r>
          </w:p>
        </w:tc>
        <w:tc>
          <w:tcPr>
            <w:tcW w:w="3617" w:type="pct"/>
            <w:shd w:val="clear" w:color="auto" w:fill="FFFFFF" w:themeFill="background1"/>
          </w:tcPr>
          <w:p w14:paraId="62392C21" w14:textId="77777777" w:rsidR="00250001" w:rsidRPr="004D73C4" w:rsidRDefault="00250001" w:rsidP="00A031CE">
            <w:pPr>
              <w:rPr>
                <w:rFonts w:ascii="Arial Narrow" w:hAnsi="Arial Narrow"/>
                <w:sz w:val="20"/>
                <w:szCs w:val="20"/>
              </w:rPr>
            </w:pPr>
            <w:r w:rsidRPr="004D73C4">
              <w:rPr>
                <w:rFonts w:ascii="Arial Narrow" w:hAnsi="Arial Narrow"/>
                <w:sz w:val="20"/>
                <w:szCs w:val="20"/>
              </w:rPr>
              <w:t>Plány realizácie NKIVS, resp. kapacitné plánovanie OVM budú disponovať istými rezervami pre QuickWins.</w:t>
            </w:r>
          </w:p>
          <w:p w14:paraId="465EC940" w14:textId="77777777" w:rsidR="00250001" w:rsidRPr="004D73C4" w:rsidRDefault="00250001" w:rsidP="00387C4E">
            <w:pPr>
              <w:rPr>
                <w:rFonts w:ascii="Arial Narrow" w:hAnsi="Arial Narrow"/>
                <w:sz w:val="20"/>
                <w:szCs w:val="20"/>
              </w:rPr>
            </w:pPr>
            <w:r w:rsidRPr="004D73C4">
              <w:rPr>
                <w:rFonts w:ascii="Arial Narrow" w:hAnsi="Arial Narrow"/>
                <w:sz w:val="20"/>
                <w:szCs w:val="20"/>
              </w:rPr>
              <w:t>Schválenie QuickWins bude viazané na vyčlenenie dedik</w:t>
            </w:r>
            <w:r w:rsidR="006B673E">
              <w:rPr>
                <w:rFonts w:ascii="Arial Narrow" w:hAnsi="Arial Narrow"/>
                <w:sz w:val="20"/>
                <w:szCs w:val="20"/>
              </w:rPr>
              <w:t>ovaných</w:t>
            </w:r>
            <w:r w:rsidRPr="004D73C4">
              <w:rPr>
                <w:rFonts w:ascii="Arial Narrow" w:hAnsi="Arial Narrow"/>
                <w:sz w:val="20"/>
                <w:szCs w:val="20"/>
              </w:rPr>
              <w:t xml:space="preserve"> kapacít pre potreby ich realizácie.</w:t>
            </w:r>
          </w:p>
        </w:tc>
      </w:tr>
      <w:tr w:rsidR="00250001" w:rsidRPr="004D73C4" w14:paraId="52DCE347" w14:textId="77777777" w:rsidTr="004D0125">
        <w:tc>
          <w:tcPr>
            <w:tcW w:w="248" w:type="pct"/>
            <w:shd w:val="clear" w:color="auto" w:fill="FFFFFF" w:themeFill="background1"/>
          </w:tcPr>
          <w:p w14:paraId="7A2CD23F" w14:textId="77777777" w:rsidR="00250001" w:rsidRPr="004D73C4" w:rsidRDefault="00250001" w:rsidP="00A031CE">
            <w:pPr>
              <w:jc w:val="left"/>
              <w:rPr>
                <w:rFonts w:ascii="Arial Narrow" w:hAnsi="Arial Narrow" w:cstheme="minorHAnsi"/>
                <w:sz w:val="20"/>
                <w:szCs w:val="20"/>
              </w:rPr>
            </w:pPr>
            <w:r w:rsidRPr="004D73C4">
              <w:rPr>
                <w:rFonts w:ascii="Arial Narrow" w:hAnsi="Arial Narrow" w:cstheme="minorHAnsi"/>
                <w:sz w:val="20"/>
                <w:szCs w:val="20"/>
              </w:rPr>
              <w:lastRenderedPageBreak/>
              <w:t>13</w:t>
            </w:r>
          </w:p>
        </w:tc>
        <w:tc>
          <w:tcPr>
            <w:tcW w:w="1136" w:type="pct"/>
            <w:shd w:val="clear" w:color="auto" w:fill="FFFFFF" w:themeFill="background1"/>
          </w:tcPr>
          <w:p w14:paraId="248AB698"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Široko defin</w:t>
            </w:r>
            <w:r w:rsidR="004400F0">
              <w:rPr>
                <w:rFonts w:ascii="Arial Narrow" w:hAnsi="Arial Narrow" w:cstheme="minorHAnsi"/>
                <w:sz w:val="20"/>
                <w:szCs w:val="20"/>
              </w:rPr>
              <w:t>ovaný</w:t>
            </w:r>
            <w:r w:rsidRPr="004D73C4">
              <w:rPr>
                <w:rFonts w:ascii="Arial Narrow" w:hAnsi="Arial Narrow" w:cstheme="minorHAnsi"/>
                <w:sz w:val="20"/>
                <w:szCs w:val="20"/>
              </w:rPr>
              <w:t xml:space="preserve"> rozsah projektov spôsobuje dlhý čas realizácie, narastá riziko zmien počas projektu a/alebo techn</w:t>
            </w:r>
            <w:r w:rsidR="0045338F">
              <w:rPr>
                <w:rFonts w:ascii="Arial Narrow" w:hAnsi="Arial Narrow" w:cstheme="minorHAnsi"/>
                <w:sz w:val="20"/>
                <w:szCs w:val="20"/>
              </w:rPr>
              <w:t>.</w:t>
            </w:r>
            <w:r w:rsidRPr="004D73C4">
              <w:rPr>
                <w:rFonts w:ascii="Arial Narrow" w:hAnsi="Arial Narrow" w:cstheme="minorHAnsi"/>
                <w:sz w:val="20"/>
                <w:szCs w:val="20"/>
              </w:rPr>
              <w:t xml:space="preserve"> a</w:t>
            </w:r>
            <w:r w:rsidR="0045338F">
              <w:rPr>
                <w:rFonts w:ascii="Arial Narrow" w:hAnsi="Arial Narrow" w:cstheme="minorHAnsi"/>
                <w:sz w:val="20"/>
                <w:szCs w:val="20"/>
              </w:rPr>
              <w:t> </w:t>
            </w:r>
            <w:r w:rsidRPr="004D73C4">
              <w:rPr>
                <w:rFonts w:ascii="Arial Narrow" w:hAnsi="Arial Narrow" w:cstheme="minorHAnsi"/>
                <w:sz w:val="20"/>
                <w:szCs w:val="20"/>
              </w:rPr>
              <w:t>moráln</w:t>
            </w:r>
            <w:r w:rsidR="007F3D61">
              <w:rPr>
                <w:rFonts w:ascii="Arial Narrow" w:hAnsi="Arial Narrow" w:cstheme="minorHAnsi"/>
                <w:sz w:val="20"/>
                <w:szCs w:val="20"/>
              </w:rPr>
              <w:t>eho</w:t>
            </w:r>
            <w:r w:rsidRPr="004D73C4">
              <w:rPr>
                <w:rFonts w:ascii="Arial Narrow" w:hAnsi="Arial Narrow" w:cstheme="minorHAnsi"/>
                <w:sz w:val="20"/>
                <w:szCs w:val="20"/>
              </w:rPr>
              <w:t xml:space="preserve"> zastarania. </w:t>
            </w:r>
          </w:p>
        </w:tc>
        <w:tc>
          <w:tcPr>
            <w:tcW w:w="3617" w:type="pct"/>
            <w:shd w:val="clear" w:color="auto" w:fill="FFFFFF" w:themeFill="background1"/>
          </w:tcPr>
          <w:p w14:paraId="788BBADC"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Plánovať rozsah a postup projektu vo vzťahu k dodaniu projektových výstupov tak aby sa skrátil čas medzi analytickou a implementačnou fázou.</w:t>
            </w:r>
          </w:p>
          <w:p w14:paraId="238C7B5E"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Využívať metódy agilného vývoja.</w:t>
            </w:r>
          </w:p>
          <w:p w14:paraId="5F6578EC" w14:textId="77777777" w:rsidR="00250001" w:rsidRPr="004D73C4" w:rsidRDefault="00250001" w:rsidP="00A031CE">
            <w:pPr>
              <w:rPr>
                <w:rFonts w:ascii="Arial Narrow" w:hAnsi="Arial Narrow" w:cstheme="minorHAnsi"/>
                <w:sz w:val="20"/>
                <w:szCs w:val="20"/>
              </w:rPr>
            </w:pPr>
            <w:r w:rsidRPr="004D73C4">
              <w:rPr>
                <w:rFonts w:ascii="Arial Narrow" w:hAnsi="Arial Narrow" w:cstheme="minorHAnsi"/>
                <w:sz w:val="20"/>
                <w:szCs w:val="20"/>
              </w:rPr>
              <w:t>Počas doby implementácie projektu minimalizovať až pozastaviť legislatívne aktivity v oblasti, ktorá je predmetom dodania ITVS.</w:t>
            </w:r>
          </w:p>
        </w:tc>
      </w:tr>
    </w:tbl>
    <w:p w14:paraId="7F080A0F" w14:textId="2E7F0871" w:rsidR="00250001" w:rsidRPr="006B673E" w:rsidRDefault="00250001" w:rsidP="006B673E">
      <w:pPr>
        <w:pStyle w:val="Popis"/>
      </w:pPr>
      <w:r w:rsidRPr="004D73C4">
        <w:t xml:space="preserve">Tabuľka </w:t>
      </w:r>
      <w:r>
        <w:fldChar w:fldCharType="begin"/>
      </w:r>
      <w:r>
        <w:instrText>SEQ Tabuľka \* ARABIC</w:instrText>
      </w:r>
      <w:r>
        <w:fldChar w:fldCharType="separate"/>
      </w:r>
      <w:r w:rsidR="00873A9F">
        <w:rPr>
          <w:noProof/>
        </w:rPr>
        <w:t>6</w:t>
      </w:r>
      <w:r>
        <w:fldChar w:fldCharType="end"/>
      </w:r>
      <w:r w:rsidRPr="004D73C4">
        <w:t>: Prehľad rizík NKIVS 2021</w:t>
      </w:r>
    </w:p>
    <w:bookmarkEnd w:id="87"/>
    <w:bookmarkEnd w:id="88"/>
    <w:bookmarkEnd w:id="89"/>
    <w:p w14:paraId="7276D789" w14:textId="77777777" w:rsidR="001E7BB4" w:rsidRDefault="001E7BB4">
      <w:pPr>
        <w:spacing w:after="200" w:line="276" w:lineRule="auto"/>
        <w:jc w:val="left"/>
        <w:rPr>
          <w:rFonts w:eastAsia="Times New Roman" w:cs="Times New Roman"/>
          <w:sz w:val="32"/>
          <w:szCs w:val="32"/>
        </w:rPr>
      </w:pPr>
    </w:p>
    <w:p w14:paraId="543786CC" w14:textId="77777777" w:rsidR="001E7BB4" w:rsidRDefault="001E7BB4" w:rsidP="00D600EC">
      <w:pPr>
        <w:pStyle w:val="Nadpis1"/>
      </w:pPr>
      <w:bookmarkStart w:id="184" w:name="_Toc69297729"/>
      <w:bookmarkStart w:id="185" w:name="_Toc70369692"/>
      <w:bookmarkStart w:id="186" w:name="_Toc70711633"/>
      <w:r>
        <w:lastRenderedPageBreak/>
        <w:t>Záver</w:t>
      </w:r>
      <w:bookmarkEnd w:id="184"/>
      <w:bookmarkEnd w:id="185"/>
      <w:bookmarkEnd w:id="186"/>
    </w:p>
    <w:p w14:paraId="713B2CD4" w14:textId="77777777" w:rsidR="001E7BB4" w:rsidRPr="007E28F2" w:rsidRDefault="00336455" w:rsidP="001E7BB4">
      <w:r>
        <w:t>Nová</w:t>
      </w:r>
      <w:r w:rsidR="001E7BB4" w:rsidRPr="007E28F2">
        <w:t xml:space="preserve"> Koncepcia zhmotňuje víziu do dlhodobých strategických cieľov, priorít</w:t>
      </w:r>
      <w:r>
        <w:t>, opatrení</w:t>
      </w:r>
      <w:r w:rsidR="001E7BB4" w:rsidRPr="007E28F2">
        <w:t xml:space="preserve"> a</w:t>
      </w:r>
      <w:r>
        <w:t xml:space="preserve"> iniciatív</w:t>
      </w:r>
      <w:r w:rsidR="001E7BB4" w:rsidRPr="007E28F2">
        <w:t xml:space="preserve"> k </w:t>
      </w:r>
      <w:r w:rsidRPr="007E28F2">
        <w:t>dosiahnuti</w:t>
      </w:r>
      <w:r>
        <w:t>u</w:t>
      </w:r>
      <w:r w:rsidRPr="007E28F2">
        <w:t xml:space="preserve"> </w:t>
      </w:r>
      <w:r>
        <w:t>strategických</w:t>
      </w:r>
      <w:r w:rsidR="001E7BB4" w:rsidRPr="007E28F2">
        <w:t xml:space="preserve"> cieľov a </w:t>
      </w:r>
      <w:r>
        <w:t xml:space="preserve">ich </w:t>
      </w:r>
      <w:r w:rsidR="001E7BB4" w:rsidRPr="007E28F2">
        <w:t>merateľnosť</w:t>
      </w:r>
      <w:r>
        <w:t>.</w:t>
      </w:r>
      <w:r w:rsidR="001E7BB4" w:rsidRPr="007E28F2">
        <w:t xml:space="preserve"> Výsledkom by malo byť zlepšovanie pozície Slovenska v rôz</w:t>
      </w:r>
      <w:r w:rsidR="002D7AD4">
        <w:t xml:space="preserve">nych rebríčkoch informatizácie </w:t>
      </w:r>
      <w:r w:rsidR="001E7BB4" w:rsidRPr="007E28F2">
        <w:t xml:space="preserve">verejnej správy. Dosiahnutie cieľov informatizácie verejnej správy tak, ako sú definované v strategických dokumentoch vlády SR a EÚ, do značnej miery závisí od zodpovedného prístupu pri ich realizácii všetkými inštitúciami verejnej správy. </w:t>
      </w:r>
      <w:r>
        <w:t>Mimoriadne dôležitá je nadrezortná spolupráca orgánov riadenia a otvorená komunikácia s používateľmi.</w:t>
      </w:r>
      <w:r w:rsidRPr="00EC647F">
        <w:rPr>
          <w:color w:val="000000" w:themeColor="text1"/>
          <w:shd w:val="clear" w:color="auto" w:fill="FFFFFF"/>
        </w:rPr>
        <w:t xml:space="preserve"> </w:t>
      </w:r>
      <w:r>
        <w:t>V</w:t>
      </w:r>
      <w:r w:rsidRPr="007E28F2">
        <w:t>šetky</w:t>
      </w:r>
      <w:r w:rsidR="001E7BB4" w:rsidRPr="007E28F2">
        <w:t xml:space="preserve"> projekty </w:t>
      </w:r>
      <w:r>
        <w:t>IT budú realizované</w:t>
      </w:r>
      <w:r w:rsidR="001E7BB4" w:rsidRPr="007E28F2">
        <w:t xml:space="preserve"> v súlade s touto </w:t>
      </w:r>
      <w:r w:rsidR="001E7BB4">
        <w:t>K</w:t>
      </w:r>
      <w:r w:rsidR="001E7BB4" w:rsidRPr="007E28F2">
        <w:t xml:space="preserve">oncepciou. </w:t>
      </w:r>
      <w:bookmarkStart w:id="187" w:name="_Toc460265068"/>
      <w:bookmarkStart w:id="188" w:name="_Toc460265134"/>
      <w:bookmarkStart w:id="189" w:name="_Toc461392133"/>
      <w:bookmarkStart w:id="190" w:name="_Toc461396729"/>
      <w:bookmarkStart w:id="191" w:name="_Toc461562862"/>
      <w:bookmarkStart w:id="192" w:name="_Toc460265069"/>
      <w:bookmarkStart w:id="193" w:name="_Toc460265135"/>
      <w:bookmarkStart w:id="194" w:name="_Toc461392134"/>
      <w:bookmarkStart w:id="195" w:name="_Toc461396730"/>
      <w:bookmarkStart w:id="196" w:name="_Toc461562863"/>
      <w:bookmarkStart w:id="197" w:name="_Toc460265070"/>
      <w:bookmarkStart w:id="198" w:name="_Toc460265136"/>
      <w:bookmarkStart w:id="199" w:name="_Toc461392135"/>
      <w:bookmarkStart w:id="200" w:name="_Toc461396731"/>
      <w:bookmarkStart w:id="201" w:name="_Toc461562864"/>
      <w:bookmarkStart w:id="202" w:name="_Toc460265071"/>
      <w:bookmarkStart w:id="203" w:name="_Toc460265137"/>
      <w:bookmarkStart w:id="204" w:name="_Toc461392136"/>
      <w:bookmarkStart w:id="205" w:name="_Toc461396732"/>
      <w:bookmarkStart w:id="206" w:name="_Toc461562865"/>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1E7BB4" w:rsidRPr="007E28F2">
        <w:t>Digitalizácia verejnej správy bude pokračovať tiež pod vplyvom skúseností z členských krajín EÚ, kde sa mnoho podobných krokov už podarilo uskutočniť. V prípade zmeny prostredia alebo iných vplyvov, ktoré by mohli výrazne ovplyvniť nastavené ciele informatizácie v S</w:t>
      </w:r>
      <w:r w:rsidR="001E7BB4">
        <w:t>R</w:t>
      </w:r>
      <w:r w:rsidR="001E7BB4" w:rsidRPr="007E28F2">
        <w:t xml:space="preserve">, bude </w:t>
      </w:r>
      <w:r>
        <w:t xml:space="preserve">Koncepcia </w:t>
      </w:r>
      <w:r w:rsidRPr="007E28F2">
        <w:t>aktualizovan</w:t>
      </w:r>
      <w:r>
        <w:t>á</w:t>
      </w:r>
      <w:r w:rsidR="001E7BB4" w:rsidRPr="007E28F2">
        <w:t>.</w:t>
      </w:r>
    </w:p>
    <w:p w14:paraId="0633B05D" w14:textId="77777777" w:rsidR="001E7BB4" w:rsidRPr="007E28F2" w:rsidRDefault="001E7BB4" w:rsidP="001E7BB4">
      <w:r>
        <w:t xml:space="preserve">Štáty EÚ v súvislosti s pandémiou COVID-19 pocítili kľúčový význam informatizácie, ktorá podporila nástroje na efektívnu prácu zamestnancov formou </w:t>
      </w:r>
      <w:r w:rsidR="55BA6630">
        <w:t xml:space="preserve">práce z domu, tzv. </w:t>
      </w:r>
      <w:r>
        <w:t xml:space="preserve">home office, videokonferencií a tým obmedzenie služobných ciest, online vyučovaním z domu a posielaním elektronickej pošty prostredníctvom elektronických schránok. Informatizácia umožňuje v každodennom živote tok údajov a informácií, komunikáciu, obchod a spoluprácu ľudí bez ohľadu na to, kde sa nachádzajú. </w:t>
      </w:r>
    </w:p>
    <w:p w14:paraId="08019044" w14:textId="77777777" w:rsidR="001E7BB4" w:rsidRPr="007E28F2" w:rsidRDefault="001E7BB4" w:rsidP="001E7BB4">
      <w:r w:rsidRPr="007E28F2">
        <w:t xml:space="preserve">Najmä vplyvom globálnych trendov, zvýšených nárokov na IT a na stupeň digitalizácie a informatizácie spoločnosti stúpa zložitosť technológii, ako aj metód ich riadenia. Tento trend nie je možné ignorovať, nakoľko tieto technológie </w:t>
      </w:r>
      <w:r w:rsidR="00336455">
        <w:t>musia</w:t>
      </w:r>
      <w:r w:rsidR="003F6F1A">
        <w:t xml:space="preserve"> </w:t>
      </w:r>
      <w:r w:rsidR="00336455">
        <w:t>byť</w:t>
      </w:r>
      <w:r w:rsidRPr="007E28F2">
        <w:t xml:space="preserve"> implementované aj v prostredí verejnej správy S</w:t>
      </w:r>
      <w:r>
        <w:t>R</w:t>
      </w:r>
      <w:r w:rsidRPr="007E28F2">
        <w:t>. Očakávania používateľov a znalosti o IT tiež priebežne narastajú. Narastajú aj ich očakávania od dodávaných riešení.</w:t>
      </w:r>
    </w:p>
    <w:p w14:paraId="3F08482F" w14:textId="77777777" w:rsidR="001E7BB4" w:rsidRPr="007E28F2" w:rsidRDefault="001E7BB4" w:rsidP="001E7BB4">
      <w:r w:rsidRPr="007E28F2">
        <w:t>V oblasti informatizácie verejnej správy je dôležité pozitívne pôsobenie účastníkov na všetkých úrovniach verejnej správy a v neposlednom rade aj účasť subjektov súkromného sektora na procese zvyšovania kvality informatizácie verejnej správy. V poslednom období došlo k prehĺbeniu vzájomnej spolupráce subjektov, kvalitným nastavením procesov a agilnou koordináciou v rámci pracovných skupín a Rady vlády SR pre digitalizáciu verejnej správy a jednotný digitálny trh.</w:t>
      </w:r>
    </w:p>
    <w:p w14:paraId="3BC617DA" w14:textId="77777777" w:rsidR="001E7BB4" w:rsidRPr="007E28F2" w:rsidRDefault="001E7BB4" w:rsidP="001E7BB4">
      <w:r w:rsidRPr="007E28F2">
        <w:t>Zmena procesov a organizácia práce môže nastať práve vďaka digitálnym technológiám. Zodpovednosť je však u vlastníkov procesov a poskytovateľov služieb. Prístupnosť, spoľahlivosť a bezpečnosť služieb je zodpovednosťou informatikov.</w:t>
      </w:r>
      <w:r w:rsidR="00336455">
        <w:t xml:space="preserve"> </w:t>
      </w:r>
      <w:r w:rsidR="00336455" w:rsidRPr="00EC647F">
        <w:rPr>
          <w:color w:val="000000" w:themeColor="text1"/>
          <w:shd w:val="clear" w:color="auto" w:fill="FFFFFF"/>
        </w:rPr>
        <w:t>Dôležitým predpokladom zlepšenia výsledkov bude väčšia angažovanosť predstaviteľov orgánov verejnej správy a</w:t>
      </w:r>
      <w:r w:rsidR="00336455">
        <w:rPr>
          <w:color w:val="000000" w:themeColor="text1"/>
          <w:shd w:val="clear" w:color="auto" w:fill="FFFFFF"/>
        </w:rPr>
        <w:t xml:space="preserve"> intenzívnejšia </w:t>
      </w:r>
      <w:r w:rsidR="00336455" w:rsidRPr="00EC647F">
        <w:rPr>
          <w:color w:val="000000" w:themeColor="text1"/>
          <w:shd w:val="clear" w:color="auto" w:fill="FFFFFF"/>
        </w:rPr>
        <w:t>medzirezortná koordinácia a</w:t>
      </w:r>
      <w:r w:rsidR="00336455">
        <w:rPr>
          <w:color w:val="000000" w:themeColor="text1"/>
          <w:shd w:val="clear" w:color="auto" w:fill="FFFFFF"/>
        </w:rPr>
        <w:t> </w:t>
      </w:r>
      <w:r w:rsidR="00336455" w:rsidRPr="00EC647F">
        <w:rPr>
          <w:color w:val="000000" w:themeColor="text1"/>
          <w:shd w:val="clear" w:color="auto" w:fill="FFFFFF"/>
        </w:rPr>
        <w:t>spolupráca</w:t>
      </w:r>
      <w:r w:rsidR="00336455">
        <w:rPr>
          <w:color w:val="000000" w:themeColor="text1"/>
          <w:shd w:val="clear" w:color="auto" w:fill="FFFFFF"/>
        </w:rPr>
        <w:t>.</w:t>
      </w:r>
    </w:p>
    <w:p w14:paraId="398DEBCC" w14:textId="77777777" w:rsidR="001E7BB4" w:rsidRPr="001E7BB4" w:rsidRDefault="001E7BB4" w:rsidP="001E7BB4">
      <w:r w:rsidRPr="007E28F2">
        <w:t xml:space="preserve">Zodpovedná a ambiciózna implementácia strategických cieľov pretransformuje Slovensko </w:t>
      </w:r>
      <w:r w:rsidR="00433BD6">
        <w:t>Do roku 2030</w:t>
      </w:r>
      <w:r w:rsidRPr="007E28F2">
        <w:t xml:space="preserve"> na modernú krajinu s inovačným a ekologickým priemyslom, s efektívnou verejnou správou a s informačnou spoločnosťou, v ktorej občania žijú kvalitný a bezpečný život v digitálnej ére. </w:t>
      </w:r>
      <w:bookmarkStart w:id="207" w:name="_Toc53988965"/>
      <w:bookmarkEnd w:id="207"/>
    </w:p>
    <w:p w14:paraId="149BD6A4" w14:textId="77777777" w:rsidR="00250001" w:rsidRPr="004D73C4" w:rsidRDefault="00250001" w:rsidP="00D600EC">
      <w:pPr>
        <w:pStyle w:val="Nadpis1"/>
      </w:pPr>
      <w:bookmarkStart w:id="208" w:name="_Toc69297730"/>
      <w:bookmarkStart w:id="209" w:name="_Toc70369693"/>
      <w:bookmarkStart w:id="210" w:name="_Toc70711634"/>
      <w:r w:rsidRPr="004D73C4">
        <w:lastRenderedPageBreak/>
        <w:t>Prílohy</w:t>
      </w:r>
      <w:bookmarkEnd w:id="208"/>
      <w:bookmarkEnd w:id="209"/>
      <w:bookmarkEnd w:id="210"/>
    </w:p>
    <w:p w14:paraId="398609C6" w14:textId="77777777" w:rsidR="00250001" w:rsidRPr="004D73C4" w:rsidRDefault="00250001" w:rsidP="002B60D7">
      <w:pPr>
        <w:pStyle w:val="Nadpis2"/>
        <w:numPr>
          <w:ilvl w:val="0"/>
          <w:numId w:val="0"/>
        </w:numPr>
        <w:ind w:left="275"/>
      </w:pPr>
      <w:bookmarkStart w:id="211" w:name="_Toc69297731"/>
      <w:bookmarkStart w:id="212" w:name="_Toc70369694"/>
      <w:bookmarkStart w:id="213" w:name="_Toc70711635"/>
      <w:r w:rsidRPr="004D73C4">
        <w:t>Príloha č. 1 – Súvisiace strategické dokumenty E</w:t>
      </w:r>
      <w:r w:rsidR="00A60749">
        <w:t>Ú</w:t>
      </w:r>
      <w:r w:rsidRPr="004D73C4">
        <w:t xml:space="preserve"> pre oblasť e-Governmentu</w:t>
      </w:r>
      <w:bookmarkEnd w:id="211"/>
      <w:bookmarkEnd w:id="212"/>
      <w:bookmarkEnd w:id="213"/>
    </w:p>
    <w:p w14:paraId="6631D39C" w14:textId="77777777" w:rsidR="00250001" w:rsidRPr="004D73C4" w:rsidRDefault="00250001" w:rsidP="001A28CA">
      <w:r w:rsidRPr="004D73C4">
        <w:t xml:space="preserve">V nasledujúcom období po roku 2021 budú zohľadnené požiadavky zadefinované v súvisiacich strategických dokumentoch EÚ pre oblasť e-Governmentu, najmä: </w:t>
      </w:r>
    </w:p>
    <w:p w14:paraId="208FE9FB" w14:textId="77777777" w:rsidR="00250001" w:rsidRPr="004D73C4" w:rsidRDefault="00250001" w:rsidP="008B0E07">
      <w:pPr>
        <w:pStyle w:val="Odsekzoznamu"/>
        <w:rPr>
          <w:b/>
          <w:bCs/>
        </w:rPr>
      </w:pPr>
      <w:r>
        <w:t>Berlínska deklarácia o digitálnej spoločnosti a digitálnej vláde založenej na hodnotách z 8.12.2020</w:t>
      </w:r>
    </w:p>
    <w:p w14:paraId="4C1001A6" w14:textId="77777777" w:rsidR="00250001" w:rsidRPr="004D73C4" w:rsidRDefault="00250001" w:rsidP="008B0E07">
      <w:pPr>
        <w:pStyle w:val="Odsekzoznamu"/>
        <w:rPr>
          <w:b/>
          <w:bCs/>
        </w:rPr>
      </w:pPr>
      <w:r>
        <w:t>Deklarácia „Budovanie cloudu novej generácie pre podniky a verejný sektor v EÚ“ z 15.10.2020</w:t>
      </w:r>
    </w:p>
    <w:p w14:paraId="1D1C1160" w14:textId="77777777" w:rsidR="00250001" w:rsidRPr="004D73C4" w:rsidRDefault="00250001" w:rsidP="008B0E07">
      <w:pPr>
        <w:pStyle w:val="Odsekzoznamu"/>
        <w:rPr>
          <w:b/>
          <w:bCs/>
        </w:rPr>
      </w:pPr>
      <w:r>
        <w:t>Oznámenie EK „Európska dátová</w:t>
      </w:r>
      <w:r w:rsidR="0285F63B">
        <w:t xml:space="preserve"> stratégia“, COM(2020) 66 z 19.</w:t>
      </w:r>
      <w:r>
        <w:t>2.2020</w:t>
      </w:r>
    </w:p>
    <w:p w14:paraId="58D36212" w14:textId="77777777" w:rsidR="00250001" w:rsidRPr="004D73C4" w:rsidRDefault="00250001" w:rsidP="001A28CA">
      <w:pPr>
        <w:pStyle w:val="Odsekzoznamu"/>
        <w:rPr>
          <w:b/>
          <w:bCs/>
        </w:rPr>
      </w:pPr>
      <w:r>
        <w:t>Oznámenie EK „Formovanie digitálnej budúcnosti Európy“ z 19.2.2020</w:t>
      </w:r>
    </w:p>
    <w:p w14:paraId="40663058" w14:textId="77777777" w:rsidR="00250001" w:rsidRPr="004D73C4" w:rsidRDefault="00250001" w:rsidP="008B0E07">
      <w:pPr>
        <w:pStyle w:val="Odsekzoznamu"/>
        <w:rPr>
          <w:b/>
          <w:bCs/>
        </w:rPr>
      </w:pPr>
      <w:r>
        <w:t>Biela kniha o umelej inteligencii – európsky prístup k excelentnosti a dôvere, COM(2020) 65 z 19.2.2020</w:t>
      </w:r>
    </w:p>
    <w:p w14:paraId="2B5977B6" w14:textId="77777777" w:rsidR="00250001" w:rsidRPr="004D73C4" w:rsidRDefault="00250001" w:rsidP="008B0E07">
      <w:pPr>
        <w:pStyle w:val="Odsekzoznamu"/>
        <w:rPr>
          <w:b/>
          <w:bCs/>
        </w:rPr>
      </w:pPr>
      <w:r>
        <w:t>Smernica EP a Rady (EÚ) 2019/1024 z 20.6.2019 o otvorených dátach a opakovanom použití informácií verejného sektora</w:t>
      </w:r>
    </w:p>
    <w:p w14:paraId="22524F7F" w14:textId="77777777" w:rsidR="00250001" w:rsidRPr="004D73C4" w:rsidRDefault="00250001" w:rsidP="008B0E07">
      <w:pPr>
        <w:pStyle w:val="Odsekzoznamu"/>
        <w:rPr>
          <w:b/>
          <w:bCs/>
        </w:rPr>
      </w:pPr>
      <w:r>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14:paraId="4AC06E76" w14:textId="77777777" w:rsidR="00250001" w:rsidRPr="004D73C4" w:rsidRDefault="00250001" w:rsidP="008B0E07">
      <w:pPr>
        <w:pStyle w:val="Odsekzoznamu"/>
        <w:rPr>
          <w:b/>
          <w:bCs/>
        </w:rPr>
      </w:pPr>
      <w:r>
        <w:t>Nariadenie EP a Rady (EÚ) 2018/1807 zo 14.11.2018 o rámci pre voľný tok iných ako osobných údajov v Európskej únii</w:t>
      </w:r>
    </w:p>
    <w:p w14:paraId="535A8EF7" w14:textId="77777777" w:rsidR="00250001" w:rsidRPr="004D73C4" w:rsidRDefault="00250001" w:rsidP="008B0E07">
      <w:pPr>
        <w:pStyle w:val="Odsekzoznamu"/>
        <w:rPr>
          <w:b/>
          <w:bCs/>
        </w:rPr>
      </w:pPr>
      <w:r>
        <w:t>Nariadenie EP a Rady (EÚ) 2018/1724 z 2.10.2018 o zriadení jednotnej digitálnej brány na poskytovanie prístupu k informáciám, postupom a asistenčným službám a službám riešenia problémov a o zmene nariadenia (EÚ) č. 1024/2012</w:t>
      </w:r>
    </w:p>
    <w:p w14:paraId="542B7B5C" w14:textId="77777777" w:rsidR="00250001" w:rsidRPr="004D73C4" w:rsidRDefault="00250001" w:rsidP="008B0E07">
      <w:pPr>
        <w:pStyle w:val="Odsekzoznamu"/>
        <w:rPr>
          <w:b/>
          <w:bCs/>
        </w:rPr>
      </w:pPr>
      <w:r>
        <w:t>Oznámenie EK „Európsky rámec interoperability – stratégia vykonávania“, COM(2020) 134 z 23.3.2017 (EIF 3.0)</w:t>
      </w:r>
    </w:p>
    <w:p w14:paraId="23286C43" w14:textId="77777777" w:rsidR="00250001" w:rsidRPr="004D73C4" w:rsidRDefault="00250001" w:rsidP="008B0E07">
      <w:pPr>
        <w:pStyle w:val="Odsekzoznamu"/>
        <w:rPr>
          <w:b/>
          <w:bCs/>
        </w:rPr>
      </w:pPr>
      <w:r w:rsidRPr="004D73C4">
        <w:t>Smernica EP a Rady EÚ 2016/1148 zo 6.7.2016 o opatreniach na zabezpečenie vysokej spoločnej úrovne bezpečnosti sietí a informačných systémov v Únii</w:t>
      </w:r>
      <w:bookmarkStart w:id="214" w:name="_Ref69895245"/>
      <w:r w:rsidR="00875AC9">
        <w:rPr>
          <w:rStyle w:val="Odkaznapoznmkupodiarou"/>
        </w:rPr>
        <w:footnoteReference w:id="20"/>
      </w:r>
      <w:bookmarkEnd w:id="214"/>
      <w:r w:rsidR="70F193BD">
        <w:t>)</w:t>
      </w:r>
    </w:p>
    <w:p w14:paraId="60CE1922" w14:textId="77777777" w:rsidR="00250001" w:rsidRPr="004D73C4" w:rsidRDefault="00250001" w:rsidP="008B0E07">
      <w:pPr>
        <w:pStyle w:val="Odsekzoznamu"/>
      </w:pPr>
      <w:r>
        <w:t>Európska referenčná architektúra interoperability, verzia 3.1</w:t>
      </w:r>
    </w:p>
    <w:p w14:paraId="5DA7228A" w14:textId="77777777" w:rsidR="00250001" w:rsidRPr="00804CB8" w:rsidRDefault="3BEFC3CD" w:rsidP="008B0E07">
      <w:pPr>
        <w:pStyle w:val="Odsekzoznamu"/>
        <w:rPr>
          <w:b/>
          <w:bCs/>
        </w:rPr>
      </w:pPr>
      <w:r>
        <w:t>Oznámenie EK „</w:t>
      </w:r>
      <w:r w:rsidR="00250001" w:rsidRPr="004D73C4">
        <w:t>Stratégia pre jednotný digitálny trh v Európe“, COM(2015) 192 z 6.5.2015</w:t>
      </w:r>
      <w:r w:rsidR="00250001" w:rsidRPr="004D73C4">
        <w:rPr>
          <w:vertAlign w:val="superscript"/>
        </w:rPr>
        <w:footnoteReference w:id="21"/>
      </w:r>
      <w:r w:rsidR="00250001" w:rsidRPr="004D73C4">
        <w:t>)</w:t>
      </w:r>
    </w:p>
    <w:p w14:paraId="6FE4E544" w14:textId="77777777" w:rsidR="00804CB8" w:rsidRPr="00804CB8" w:rsidRDefault="3BEFC3CD" w:rsidP="00804CB8">
      <w:pPr>
        <w:pStyle w:val="Odsekzoznamu"/>
      </w:pPr>
      <w:r w:rsidRPr="6CAFDB33">
        <w:t xml:space="preserve">Oznámenie EK „Digitálny kompas </w:t>
      </w:r>
      <w:r w:rsidR="00433BD6">
        <w:t>Do roku 2030</w:t>
      </w:r>
      <w:r w:rsidRPr="6CAFDB33">
        <w:t>: digitálne desaťročie na európsky spôsob, COM(2021)118 z 9. marca 2021“</w:t>
      </w:r>
      <w:r w:rsidR="00804CB8" w:rsidRPr="6CAFDB33">
        <w:rPr>
          <w:rStyle w:val="Odkaznapoznmkupodiarou"/>
        </w:rPr>
        <w:footnoteReference w:id="22"/>
      </w:r>
      <w:r>
        <w:rPr>
          <w:bCs/>
        </w:rPr>
        <w:t>)</w:t>
      </w:r>
    </w:p>
    <w:p w14:paraId="3B3C5970" w14:textId="77777777" w:rsidR="00250001" w:rsidRPr="004D73C4" w:rsidRDefault="00250001" w:rsidP="008B0E07">
      <w:pPr>
        <w:pStyle w:val="Odsekzoznamu"/>
        <w:rPr>
          <w:b/>
          <w:bCs/>
        </w:rPr>
      </w:pPr>
      <w:r>
        <w:t>Rozhodnutie (EÚ) 2015/2240 o ISA² (Interoperability solutions for public administrations)</w:t>
      </w:r>
    </w:p>
    <w:p w14:paraId="154001B8" w14:textId="77777777" w:rsidR="00250001" w:rsidRPr="004D73C4" w:rsidRDefault="00250001" w:rsidP="00161A39">
      <w:pPr>
        <w:pStyle w:val="Odsekzoznamu"/>
      </w:pPr>
      <w:r>
        <w:t>Nariadenie európskeho parlament</w:t>
      </w:r>
      <w:r w:rsidR="0285F63B">
        <w:t>u a rady (EÚ) 2016/679 z 27.4.</w:t>
      </w:r>
      <w:r>
        <w:t>2016 o ochrane fyzických osôb pri spracúvaní osobných údajov a o voľnom pohybe takýchto údajov, ktorým sa zrušuje smernica 95/46/ES (GDPR),</w:t>
      </w:r>
    </w:p>
    <w:p w14:paraId="538EB620" w14:textId="77777777" w:rsidR="00250001" w:rsidRPr="004D73C4" w:rsidRDefault="00250001" w:rsidP="00161A39">
      <w:pPr>
        <w:pStyle w:val="Odsekzoznamu"/>
        <w:rPr>
          <w:b/>
          <w:bCs/>
        </w:rPr>
      </w:pPr>
      <w:r>
        <w:t>„The EU’s Cybersecurity Strategy for the Digital Decade</w:t>
      </w:r>
      <w:r w:rsidR="0F05B312">
        <w:t>“</w:t>
      </w:r>
      <w:r>
        <w:t xml:space="preserve"> (JOIN(2020) 18 final) (https://ec.europa.eu/digital-single-market/en/news/eus-cybersecurity-strategy-digital-decade),</w:t>
      </w:r>
    </w:p>
    <w:p w14:paraId="24EDD201" w14:textId="77777777" w:rsidR="00250001" w:rsidRPr="004D73C4" w:rsidRDefault="00250001" w:rsidP="008B0E07">
      <w:pPr>
        <w:pStyle w:val="Odsekzoznamu"/>
        <w:rPr>
          <w:b/>
          <w:bCs/>
        </w:rPr>
      </w:pPr>
      <w:r>
        <w:t>Nariadenie EP a Rady (EÚ) 2013/1316 z 11.12.2013</w:t>
      </w:r>
      <w:r w:rsidRPr="190F7DBA">
        <w:rPr>
          <w:b/>
          <w:bCs/>
        </w:rPr>
        <w:t xml:space="preserve"> </w:t>
      </w:r>
      <w:r>
        <w:t>o zriadení Nástroja na prepájanie Európy, ktorým sa mení nariadenie (EÚ) č. 913/2010 a zrušujú sa nariadenia (ES) č. 680/2007 a (ES) č. 67/2010</w:t>
      </w:r>
    </w:p>
    <w:p w14:paraId="529E24D0" w14:textId="77777777" w:rsidR="00250001" w:rsidRPr="004D73C4" w:rsidRDefault="00250001" w:rsidP="008B0E07">
      <w:pPr>
        <w:pStyle w:val="Odsekzoznamu"/>
        <w:rPr>
          <w:b/>
          <w:bCs/>
        </w:rPr>
      </w:pPr>
      <w:r>
        <w:t>Rozhodnutie Komisie z 26.1.2012 o zriadení e-Government expertnej skupiny č. 2012/C 22/04</w:t>
      </w:r>
    </w:p>
    <w:p w14:paraId="17F71F19" w14:textId="77777777" w:rsidR="00250001" w:rsidRPr="004D73C4" w:rsidRDefault="00250001" w:rsidP="008B0E07">
      <w:pPr>
        <w:pStyle w:val="Odsekzoznamu"/>
        <w:rPr>
          <w:b/>
          <w:bCs/>
        </w:rPr>
      </w:pPr>
      <w:r>
        <w:t>Oznámenie EK „Uvoľnenie potenciálu cloud computingu v Európe“, COM(2012) 529 z 27.9.2012</w:t>
      </w:r>
    </w:p>
    <w:p w14:paraId="7E70CC42" w14:textId="77777777" w:rsidR="00250001" w:rsidRPr="004D73C4" w:rsidRDefault="00250001" w:rsidP="008B0E07">
      <w:pPr>
        <w:pStyle w:val="Odsekzoznamu"/>
        <w:rPr>
          <w:b/>
          <w:bCs/>
        </w:rPr>
      </w:pPr>
      <w:r>
        <w:t>Spoločná vízia pre Európsku architektúru interoperability, ISA/2011/SN22.5</w:t>
      </w:r>
    </w:p>
    <w:p w14:paraId="4858F96F" w14:textId="77777777" w:rsidR="00250001" w:rsidRPr="004D73C4" w:rsidRDefault="00250001" w:rsidP="00D22763">
      <w:pPr>
        <w:pStyle w:val="Odsekzoznamu"/>
      </w:pPr>
      <w:r>
        <w:lastRenderedPageBreak/>
        <w:t>DCAT-AP, slovník kľúčových verejných služieb a systém opisu aktív definovaných ako metaúdaje, príklady špecifikácií používaných na opis otvorených údajov, verejných služieb a riešení interoperability</w:t>
      </w:r>
    </w:p>
    <w:p w14:paraId="1866021A" w14:textId="0C318970" w:rsidR="00250001" w:rsidRDefault="00250001" w:rsidP="00C074FF">
      <w:pPr>
        <w:pStyle w:val="Odsekzoznamu"/>
      </w:pPr>
      <w:r w:rsidRPr="004D73C4">
        <w:t>Nariadenie EP a R</w:t>
      </w:r>
      <w:r w:rsidR="0285F63B" w:rsidRPr="004D73C4">
        <w:t>ady (EÚ) č. 910/2014 z 23.7.</w:t>
      </w:r>
      <w:r w:rsidRPr="004D73C4">
        <w:t>2014 o elektronickej identifikácii a dôveryhodných službách pre elektronické transakcie na vnútornom trhu a o zrušení smernice 1999/93/ES</w:t>
      </w:r>
      <w:r w:rsidR="00875AC9" w:rsidRPr="00875AC9">
        <w:rPr>
          <w:color w:val="2B579A"/>
          <w:shd w:val="clear" w:color="auto" w:fill="E6E6E6"/>
          <w:vertAlign w:val="superscript"/>
        </w:rPr>
        <w:fldChar w:fldCharType="begin"/>
      </w:r>
      <w:r w:rsidR="00875AC9" w:rsidRPr="00875AC9">
        <w:rPr>
          <w:vertAlign w:val="superscript"/>
        </w:rPr>
        <w:instrText xml:space="preserve"> NOTEREF _Ref69895245 \h </w:instrText>
      </w:r>
      <w:r w:rsidR="00875AC9">
        <w:rPr>
          <w:vertAlign w:val="superscript"/>
        </w:rPr>
        <w:instrText xml:space="preserve"> \* MERGEFORMAT </w:instrText>
      </w:r>
      <w:r w:rsidR="00875AC9" w:rsidRPr="00875AC9">
        <w:rPr>
          <w:color w:val="2B579A"/>
          <w:shd w:val="clear" w:color="auto" w:fill="E6E6E6"/>
          <w:vertAlign w:val="superscript"/>
        </w:rPr>
      </w:r>
      <w:r w:rsidR="00875AC9" w:rsidRPr="00875AC9">
        <w:rPr>
          <w:color w:val="2B579A"/>
          <w:shd w:val="clear" w:color="auto" w:fill="E6E6E6"/>
          <w:vertAlign w:val="superscript"/>
        </w:rPr>
        <w:fldChar w:fldCharType="separate"/>
      </w:r>
      <w:r w:rsidR="00873A9F">
        <w:rPr>
          <w:vertAlign w:val="superscript"/>
        </w:rPr>
        <w:t>19</w:t>
      </w:r>
      <w:r w:rsidR="00875AC9" w:rsidRPr="00875AC9">
        <w:rPr>
          <w:color w:val="2B579A"/>
          <w:shd w:val="clear" w:color="auto" w:fill="E6E6E6"/>
          <w:vertAlign w:val="superscript"/>
        </w:rPr>
        <w:fldChar w:fldCharType="end"/>
      </w:r>
      <w:r w:rsidR="06A5AF15" w:rsidRPr="00875AC9">
        <w:t>)</w:t>
      </w:r>
    </w:p>
    <w:p w14:paraId="1C6B4CB4" w14:textId="77777777" w:rsidR="00875AC9" w:rsidRDefault="06A5AF15" w:rsidP="00875AC9">
      <w:pPr>
        <w:pStyle w:val="Odsekzoznamu"/>
      </w:pPr>
      <w:r>
        <w:t>Oznámenie EK „Akčný plán EÚ pre elektronickú verejnú správu na roky 2016 – 2020 - Urýchlenie digitálnej transformácie verejnej správy“</w:t>
      </w:r>
    </w:p>
    <w:p w14:paraId="5B6A6424" w14:textId="77777777" w:rsidR="00875AC9" w:rsidRDefault="06A5AF15" w:rsidP="00875AC9">
      <w:pPr>
        <w:pStyle w:val="Odsekzoznamu"/>
      </w:pPr>
      <w:r>
        <w:t>VYKONÁVACIE ROZHODNUTIE KOMISIE (EÚ) 2015/296 z 24. februára 2015, ktorým sa stanovujú procedurálne opatrenia týkajúce sa spolupráce medzi členskými štátmi v oblasti elektronickej identifikácie podľa článku 12 ods. 7 nariadenia Európskeho parlamentu a Rady (EÚ) č. 910/2014 o elektronickej identifikácii a dôveryhodných službách pre elektronické transakcie na vnútornom trhu</w:t>
      </w:r>
    </w:p>
    <w:p w14:paraId="1B908F40" w14:textId="77777777" w:rsidR="00875AC9" w:rsidRDefault="06A5AF15" w:rsidP="00875AC9">
      <w:pPr>
        <w:pStyle w:val="Odsekzoznamu"/>
      </w:pPr>
      <w:r>
        <w:t>VYKONÁVACIE NARIADENIE KOMISIE (EÚ) 2015/1501 z 8. septembra 2015 o rámci interoperability podľa článku 12 ods. 8 nariadenia Európskeho parlamentu a Rady (EÚ) č. 910/2014 o elektronickej identifikácii a dôveryhodných službách pre elektronické transakcie na vnútornom trhu</w:t>
      </w:r>
    </w:p>
    <w:p w14:paraId="13D43962" w14:textId="77777777" w:rsidR="00875AC9" w:rsidRDefault="06A5AF15" w:rsidP="00875AC9">
      <w:pPr>
        <w:pStyle w:val="Odsekzoznamu"/>
      </w:pPr>
      <w:r>
        <w:t>VYKONÁVACIE NARIADENIE KOMISIE (EÚ) 2015/1502 z 8. septembra 2015, ktorým sa stanovujú minimálne technické špecifikácie a postupy pre úrovne zabezpečenia prostriedkov elektronickej identifikácie podľa článku 8 ods. 3 nariadenia Európskeho parlamentu a Rady (EÚ) č. 910/2014 o elektronickej identifikácii a dôveryhodných službách pre elektronické transakcie na vnútornom trhu</w:t>
      </w:r>
    </w:p>
    <w:p w14:paraId="4FAA21BE" w14:textId="77777777" w:rsidR="00875AC9" w:rsidRDefault="06A5AF15" w:rsidP="00875AC9">
      <w:pPr>
        <w:pStyle w:val="Odsekzoznamu"/>
      </w:pPr>
      <w:r>
        <w:t>VYKONÁVACIE ROZHODNUTIE KOMISIE (EÚ) 2015/1984 z 3. novembra 2015, ktorým sa vymedzujú okolnosti, formáty a postupy oznamovania podľa článku 9 ods. 5 nariadenia Európskeho parlamentu a Rady (EÚ) č. 910/2014 o elektronickej identifikácii a dôveryhodných službách pre elektronické transakcie na vnútornom trhu</w:t>
      </w:r>
    </w:p>
    <w:p w14:paraId="4CDD5841" w14:textId="562F0EFB" w:rsidR="00875AC9" w:rsidRDefault="06A5AF15" w:rsidP="00875AC9">
      <w:pPr>
        <w:pStyle w:val="Odsekzoznamu"/>
      </w:pPr>
      <w:r>
        <w:t>European Green Deal (dôraz na zelenú digitalizáciu)</w:t>
      </w:r>
    </w:p>
    <w:p w14:paraId="665EA06D" w14:textId="77777777" w:rsidR="00873A9F" w:rsidRPr="004D73C4" w:rsidRDefault="00873A9F" w:rsidP="00873A9F">
      <w:pPr>
        <w:ind w:left="360"/>
      </w:pPr>
    </w:p>
    <w:p w14:paraId="0C8B46FD" w14:textId="77777777" w:rsidR="00873A9F" w:rsidRDefault="00873A9F">
      <w:pPr>
        <w:spacing w:after="200" w:line="276" w:lineRule="auto"/>
        <w:jc w:val="left"/>
        <w:sectPr w:rsidR="00873A9F" w:rsidSect="00746A51">
          <w:headerReference w:type="default" r:id="rId37"/>
          <w:footerReference w:type="default" r:id="rId38"/>
          <w:endnotePr>
            <w:numFmt w:val="decimal"/>
          </w:endnotePr>
          <w:pgSz w:w="11906" w:h="16838" w:code="9"/>
          <w:pgMar w:top="1417" w:right="1417" w:bottom="1417" w:left="1417" w:header="567" w:footer="567" w:gutter="0"/>
          <w:pgNumType w:start="1"/>
          <w:cols w:space="708"/>
          <w:docGrid w:linePitch="360"/>
        </w:sectPr>
      </w:pPr>
      <w:bookmarkStart w:id="215" w:name="_Toc69297732"/>
    </w:p>
    <w:p w14:paraId="393FBE26" w14:textId="77777777" w:rsidR="00250001" w:rsidRPr="004D73C4" w:rsidRDefault="00250001" w:rsidP="002B60D7">
      <w:pPr>
        <w:pStyle w:val="Nadpis2"/>
        <w:numPr>
          <w:ilvl w:val="0"/>
          <w:numId w:val="0"/>
        </w:numPr>
        <w:ind w:left="275"/>
      </w:pPr>
      <w:bookmarkStart w:id="216" w:name="_Toc70369695"/>
      <w:bookmarkStart w:id="217" w:name="_Toc70711636"/>
      <w:r w:rsidRPr="004D73C4">
        <w:lastRenderedPageBreak/>
        <w:t>Príloha č. 2 – Merateľné ukazovatele dosahovania cieľov</w:t>
      </w:r>
      <w:bookmarkEnd w:id="215"/>
      <w:bookmarkEnd w:id="216"/>
      <w:bookmarkEnd w:id="217"/>
    </w:p>
    <w:tbl>
      <w:tblPr>
        <w:tblW w:w="14533" w:type="dxa"/>
        <w:tblCellMar>
          <w:left w:w="70" w:type="dxa"/>
          <w:right w:w="70" w:type="dxa"/>
        </w:tblCellMar>
        <w:tblLook w:val="04A0" w:firstRow="1" w:lastRow="0" w:firstColumn="1" w:lastColumn="0" w:noHBand="0" w:noVBand="1"/>
      </w:tblPr>
      <w:tblGrid>
        <w:gridCol w:w="680"/>
        <w:gridCol w:w="1120"/>
        <w:gridCol w:w="5841"/>
        <w:gridCol w:w="1334"/>
        <w:gridCol w:w="1271"/>
        <w:gridCol w:w="1080"/>
        <w:gridCol w:w="1179"/>
        <w:gridCol w:w="1179"/>
        <w:gridCol w:w="1179"/>
      </w:tblGrid>
      <w:tr w:rsidR="00873A9F" w:rsidRPr="00873A9F" w14:paraId="10B5916E" w14:textId="77777777" w:rsidTr="00873A9F">
        <w:trPr>
          <w:trHeight w:val="1020"/>
        </w:trPr>
        <w:tc>
          <w:tcPr>
            <w:tcW w:w="680" w:type="dxa"/>
            <w:tcBorders>
              <w:top w:val="single" w:sz="8" w:space="0" w:color="auto"/>
              <w:left w:val="single" w:sz="8" w:space="0" w:color="auto"/>
              <w:bottom w:val="nil"/>
              <w:right w:val="single" w:sz="4" w:space="0" w:color="auto"/>
            </w:tcBorders>
            <w:shd w:val="clear" w:color="FFFFCC" w:fill="E2EFDA"/>
            <w:hideMark/>
          </w:tcPr>
          <w:p w14:paraId="3FFE84A6"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bookmarkStart w:id="218" w:name="RANGE!A1:L63"/>
            <w:r w:rsidRPr="00873A9F">
              <w:rPr>
                <w:rFonts w:ascii="Arial Narrow" w:eastAsia="Times New Roman" w:hAnsi="Arial Narrow" w:cs="Calibri"/>
                <w:b/>
                <w:bCs/>
                <w:color w:val="000000"/>
                <w:sz w:val="20"/>
                <w:szCs w:val="20"/>
                <w:lang w:eastAsia="sk-SK"/>
              </w:rPr>
              <w:t>CIEĽ NKIVS 2030 *</w:t>
            </w:r>
            <w:bookmarkEnd w:id="218"/>
          </w:p>
        </w:tc>
        <w:tc>
          <w:tcPr>
            <w:tcW w:w="1120" w:type="dxa"/>
            <w:tcBorders>
              <w:top w:val="single" w:sz="8" w:space="0" w:color="auto"/>
              <w:left w:val="nil"/>
              <w:bottom w:val="nil"/>
              <w:right w:val="single" w:sz="4" w:space="0" w:color="auto"/>
            </w:tcBorders>
            <w:shd w:val="clear" w:color="FFFFCC" w:fill="E2EFDA"/>
            <w:hideMark/>
          </w:tcPr>
          <w:p w14:paraId="2233B530"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Priorita NKIVS</w:t>
            </w:r>
          </w:p>
        </w:tc>
        <w:tc>
          <w:tcPr>
            <w:tcW w:w="5841" w:type="dxa"/>
            <w:tcBorders>
              <w:top w:val="single" w:sz="8" w:space="0" w:color="auto"/>
              <w:left w:val="nil"/>
              <w:bottom w:val="nil"/>
              <w:right w:val="single" w:sz="4" w:space="0" w:color="auto"/>
            </w:tcBorders>
            <w:shd w:val="clear" w:color="FFFFCC" w:fill="E2EFDA"/>
            <w:hideMark/>
          </w:tcPr>
          <w:p w14:paraId="34BAC6F5"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Názov ukazovateľa NKIVS 2030</w:t>
            </w:r>
          </w:p>
        </w:tc>
        <w:tc>
          <w:tcPr>
            <w:tcW w:w="1224" w:type="dxa"/>
            <w:tcBorders>
              <w:top w:val="single" w:sz="8" w:space="0" w:color="auto"/>
              <w:left w:val="nil"/>
              <w:bottom w:val="nil"/>
              <w:right w:val="single" w:sz="4" w:space="0" w:color="auto"/>
            </w:tcBorders>
            <w:shd w:val="clear" w:color="FFFFCC" w:fill="E2EFDA"/>
            <w:hideMark/>
          </w:tcPr>
          <w:p w14:paraId="7C6F7AA5"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Zodpovedný za naplnenie cieľa</w:t>
            </w:r>
          </w:p>
        </w:tc>
        <w:tc>
          <w:tcPr>
            <w:tcW w:w="1161" w:type="dxa"/>
            <w:tcBorders>
              <w:top w:val="single" w:sz="8" w:space="0" w:color="auto"/>
              <w:left w:val="nil"/>
              <w:bottom w:val="nil"/>
              <w:right w:val="single" w:sz="4" w:space="0" w:color="auto"/>
            </w:tcBorders>
            <w:shd w:val="clear" w:color="FFFFCC" w:fill="E2EFDA"/>
            <w:hideMark/>
          </w:tcPr>
          <w:p w14:paraId="5BC0FD62"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Zdroj merania</w:t>
            </w:r>
          </w:p>
        </w:tc>
        <w:tc>
          <w:tcPr>
            <w:tcW w:w="970" w:type="dxa"/>
            <w:tcBorders>
              <w:top w:val="single" w:sz="8" w:space="0" w:color="auto"/>
              <w:left w:val="nil"/>
              <w:bottom w:val="nil"/>
              <w:right w:val="single" w:sz="4" w:space="0" w:color="auto"/>
            </w:tcBorders>
            <w:shd w:val="clear" w:color="FFFFCC" w:fill="E2EFDA"/>
            <w:hideMark/>
          </w:tcPr>
          <w:p w14:paraId="15C572BE"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Východisko 2020</w:t>
            </w:r>
          </w:p>
        </w:tc>
        <w:tc>
          <w:tcPr>
            <w:tcW w:w="1179" w:type="dxa"/>
            <w:tcBorders>
              <w:top w:val="single" w:sz="8" w:space="0" w:color="auto"/>
              <w:left w:val="nil"/>
              <w:bottom w:val="nil"/>
              <w:right w:val="single" w:sz="4" w:space="0" w:color="auto"/>
            </w:tcBorders>
            <w:shd w:val="clear" w:color="FFFFCC" w:fill="E2EFDA"/>
            <w:hideMark/>
          </w:tcPr>
          <w:p w14:paraId="52CFAA34"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Cieľ 2023</w:t>
            </w:r>
          </w:p>
        </w:tc>
        <w:tc>
          <w:tcPr>
            <w:tcW w:w="1179" w:type="dxa"/>
            <w:tcBorders>
              <w:top w:val="single" w:sz="8" w:space="0" w:color="auto"/>
              <w:left w:val="nil"/>
              <w:bottom w:val="nil"/>
              <w:right w:val="single" w:sz="4" w:space="0" w:color="auto"/>
            </w:tcBorders>
            <w:shd w:val="clear" w:color="FFFFCC" w:fill="E2EFDA"/>
            <w:hideMark/>
          </w:tcPr>
          <w:p w14:paraId="03C17C2A"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Cieľ do 2026</w:t>
            </w:r>
          </w:p>
        </w:tc>
        <w:tc>
          <w:tcPr>
            <w:tcW w:w="1179" w:type="dxa"/>
            <w:tcBorders>
              <w:top w:val="single" w:sz="8" w:space="0" w:color="auto"/>
              <w:left w:val="nil"/>
              <w:bottom w:val="nil"/>
              <w:right w:val="single" w:sz="8" w:space="0" w:color="auto"/>
            </w:tcBorders>
            <w:shd w:val="clear" w:color="FFFFCC" w:fill="E2EFDA"/>
            <w:hideMark/>
          </w:tcPr>
          <w:p w14:paraId="30C5009F" w14:textId="77777777" w:rsidR="00873A9F" w:rsidRPr="00873A9F" w:rsidRDefault="00873A9F" w:rsidP="00873A9F">
            <w:pPr>
              <w:spacing w:after="0" w:line="240" w:lineRule="auto"/>
              <w:jc w:val="left"/>
              <w:rPr>
                <w:rFonts w:ascii="Arial Narrow" w:eastAsia="Times New Roman" w:hAnsi="Arial Narrow" w:cs="Calibri"/>
                <w:b/>
                <w:bCs/>
                <w:color w:val="000000"/>
                <w:sz w:val="20"/>
                <w:szCs w:val="20"/>
                <w:lang w:eastAsia="sk-SK"/>
              </w:rPr>
            </w:pPr>
            <w:r w:rsidRPr="00873A9F">
              <w:rPr>
                <w:rFonts w:ascii="Arial Narrow" w:eastAsia="Times New Roman" w:hAnsi="Arial Narrow" w:cs="Calibri"/>
                <w:b/>
                <w:bCs/>
                <w:color w:val="000000"/>
                <w:sz w:val="20"/>
                <w:szCs w:val="20"/>
                <w:lang w:eastAsia="sk-SK"/>
              </w:rPr>
              <w:t>Cieľ do 2030</w:t>
            </w:r>
          </w:p>
        </w:tc>
      </w:tr>
      <w:tr w:rsidR="00873A9F" w:rsidRPr="00873A9F" w14:paraId="40F5FE3B" w14:textId="77777777" w:rsidTr="00873A9F">
        <w:trPr>
          <w:trHeight w:val="799"/>
        </w:trPr>
        <w:tc>
          <w:tcPr>
            <w:tcW w:w="680" w:type="dxa"/>
            <w:tcBorders>
              <w:top w:val="single" w:sz="4" w:space="0" w:color="auto"/>
              <w:left w:val="single" w:sz="4" w:space="0" w:color="auto"/>
              <w:bottom w:val="single" w:sz="4" w:space="0" w:color="auto"/>
              <w:right w:val="single" w:sz="4" w:space="0" w:color="auto"/>
            </w:tcBorders>
            <w:shd w:val="clear" w:color="FFFFCC" w:fill="FFFFFF"/>
            <w:noWrap/>
            <w:hideMark/>
          </w:tcPr>
          <w:p w14:paraId="2098EF3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single" w:sz="4" w:space="0" w:color="auto"/>
              <w:left w:val="nil"/>
              <w:bottom w:val="single" w:sz="4" w:space="0" w:color="auto"/>
              <w:right w:val="single" w:sz="4" w:space="0" w:color="auto"/>
            </w:tcBorders>
            <w:shd w:val="clear" w:color="FFFFCC" w:fill="FFFFFF"/>
            <w:hideMark/>
          </w:tcPr>
          <w:p w14:paraId="261F05E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single" w:sz="4" w:space="0" w:color="auto"/>
              <w:left w:val="nil"/>
              <w:bottom w:val="single" w:sz="4" w:space="0" w:color="auto"/>
              <w:right w:val="single" w:sz="4" w:space="0" w:color="auto"/>
            </w:tcBorders>
            <w:shd w:val="clear" w:color="FFFFCC" w:fill="FFFFFF"/>
            <w:hideMark/>
          </w:tcPr>
          <w:p w14:paraId="0F32235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eGovernment Benchmark EK - skóre za životné situácie</w:t>
            </w:r>
          </w:p>
        </w:tc>
        <w:tc>
          <w:tcPr>
            <w:tcW w:w="1224" w:type="dxa"/>
            <w:tcBorders>
              <w:top w:val="single" w:sz="4" w:space="0" w:color="auto"/>
              <w:left w:val="nil"/>
              <w:bottom w:val="single" w:sz="4" w:space="0" w:color="auto"/>
              <w:right w:val="single" w:sz="4" w:space="0" w:color="auto"/>
            </w:tcBorders>
            <w:shd w:val="clear" w:color="FFFFCC" w:fill="FFFFFF"/>
            <w:hideMark/>
          </w:tcPr>
          <w:p w14:paraId="1183ACA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single" w:sz="4" w:space="0" w:color="auto"/>
              <w:left w:val="nil"/>
              <w:bottom w:val="single" w:sz="4" w:space="0" w:color="auto"/>
              <w:right w:val="single" w:sz="4" w:space="0" w:color="auto"/>
            </w:tcBorders>
            <w:shd w:val="clear" w:color="FFFFCC" w:fill="FFFFFF"/>
            <w:hideMark/>
          </w:tcPr>
          <w:p w14:paraId="03847FC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 Benchmark</w:t>
            </w:r>
          </w:p>
        </w:tc>
        <w:tc>
          <w:tcPr>
            <w:tcW w:w="970" w:type="dxa"/>
            <w:tcBorders>
              <w:top w:val="single" w:sz="4" w:space="0" w:color="auto"/>
              <w:left w:val="nil"/>
              <w:bottom w:val="single" w:sz="4" w:space="0" w:color="auto"/>
              <w:right w:val="single" w:sz="4" w:space="0" w:color="auto"/>
            </w:tcBorders>
            <w:shd w:val="clear" w:color="FFFFCC" w:fill="FFFFFF"/>
            <w:hideMark/>
          </w:tcPr>
          <w:p w14:paraId="0D25E23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SR 61%, priemer EÚ 72%</w:t>
            </w:r>
          </w:p>
        </w:tc>
        <w:tc>
          <w:tcPr>
            <w:tcW w:w="1179" w:type="dxa"/>
            <w:tcBorders>
              <w:top w:val="single" w:sz="4" w:space="0" w:color="auto"/>
              <w:left w:val="nil"/>
              <w:bottom w:val="single" w:sz="4" w:space="0" w:color="auto"/>
              <w:right w:val="single" w:sz="4" w:space="0" w:color="auto"/>
            </w:tcBorders>
            <w:shd w:val="clear" w:color="FFFFCC" w:fill="FFFFFF"/>
            <w:hideMark/>
          </w:tcPr>
          <w:p w14:paraId="0163F5F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65%</w:t>
            </w:r>
          </w:p>
        </w:tc>
        <w:tc>
          <w:tcPr>
            <w:tcW w:w="1179" w:type="dxa"/>
            <w:tcBorders>
              <w:top w:val="single" w:sz="4" w:space="0" w:color="auto"/>
              <w:left w:val="nil"/>
              <w:bottom w:val="single" w:sz="4" w:space="0" w:color="auto"/>
              <w:right w:val="single" w:sz="4" w:space="0" w:color="auto"/>
            </w:tcBorders>
            <w:shd w:val="clear" w:color="FFFFCC" w:fill="FFFFFF"/>
            <w:hideMark/>
          </w:tcPr>
          <w:p w14:paraId="72DF5E4A"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72%</w:t>
            </w:r>
          </w:p>
        </w:tc>
        <w:tc>
          <w:tcPr>
            <w:tcW w:w="1179" w:type="dxa"/>
            <w:tcBorders>
              <w:top w:val="single" w:sz="4" w:space="0" w:color="auto"/>
              <w:left w:val="nil"/>
              <w:bottom w:val="single" w:sz="4" w:space="0" w:color="auto"/>
              <w:right w:val="single" w:sz="4" w:space="0" w:color="auto"/>
            </w:tcBorders>
            <w:shd w:val="clear" w:color="FFFFCC" w:fill="FFFFFF"/>
            <w:hideMark/>
          </w:tcPr>
          <w:p w14:paraId="7E31361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78%</w:t>
            </w:r>
          </w:p>
        </w:tc>
      </w:tr>
      <w:tr w:rsidR="00873A9F" w:rsidRPr="00873A9F" w14:paraId="09DD7673"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3826F57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49A40D35"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359B737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eGovernment Benchmark EK - skóre cezhraničné služby - občan </w:t>
            </w:r>
          </w:p>
        </w:tc>
        <w:tc>
          <w:tcPr>
            <w:tcW w:w="1224" w:type="dxa"/>
            <w:tcBorders>
              <w:top w:val="nil"/>
              <w:left w:val="nil"/>
              <w:bottom w:val="single" w:sz="4" w:space="0" w:color="auto"/>
              <w:right w:val="single" w:sz="4" w:space="0" w:color="auto"/>
            </w:tcBorders>
            <w:shd w:val="clear" w:color="FFFFCC" w:fill="FFFFFF"/>
            <w:hideMark/>
          </w:tcPr>
          <w:p w14:paraId="27A93B1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224D27F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 Benchmark</w:t>
            </w:r>
          </w:p>
        </w:tc>
        <w:tc>
          <w:tcPr>
            <w:tcW w:w="970" w:type="dxa"/>
            <w:tcBorders>
              <w:top w:val="nil"/>
              <w:left w:val="nil"/>
              <w:bottom w:val="single" w:sz="4" w:space="0" w:color="auto"/>
              <w:right w:val="single" w:sz="4" w:space="0" w:color="auto"/>
            </w:tcBorders>
            <w:shd w:val="clear" w:color="FFFFCC" w:fill="FFFFFF"/>
            <w:hideMark/>
          </w:tcPr>
          <w:p w14:paraId="0504030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SR 35%, priemer EÚ 51%</w:t>
            </w:r>
          </w:p>
        </w:tc>
        <w:tc>
          <w:tcPr>
            <w:tcW w:w="1179" w:type="dxa"/>
            <w:tcBorders>
              <w:top w:val="nil"/>
              <w:left w:val="nil"/>
              <w:bottom w:val="single" w:sz="4" w:space="0" w:color="auto"/>
              <w:right w:val="single" w:sz="4" w:space="0" w:color="auto"/>
            </w:tcBorders>
            <w:shd w:val="clear" w:color="FFFFCC" w:fill="FFFFFF"/>
            <w:hideMark/>
          </w:tcPr>
          <w:p w14:paraId="05F60A6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40%</w:t>
            </w:r>
          </w:p>
        </w:tc>
        <w:tc>
          <w:tcPr>
            <w:tcW w:w="1179" w:type="dxa"/>
            <w:tcBorders>
              <w:top w:val="nil"/>
              <w:left w:val="nil"/>
              <w:bottom w:val="single" w:sz="4" w:space="0" w:color="auto"/>
              <w:right w:val="single" w:sz="4" w:space="0" w:color="auto"/>
            </w:tcBorders>
            <w:shd w:val="clear" w:color="FFFFCC" w:fill="FFFFFF"/>
            <w:hideMark/>
          </w:tcPr>
          <w:p w14:paraId="4AF8D9F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55%</w:t>
            </w:r>
          </w:p>
        </w:tc>
        <w:tc>
          <w:tcPr>
            <w:tcW w:w="1179" w:type="dxa"/>
            <w:tcBorders>
              <w:top w:val="nil"/>
              <w:left w:val="nil"/>
              <w:bottom w:val="single" w:sz="4" w:space="0" w:color="auto"/>
              <w:right w:val="single" w:sz="4" w:space="0" w:color="auto"/>
            </w:tcBorders>
            <w:shd w:val="clear" w:color="FFFFCC" w:fill="FFFFFF"/>
            <w:hideMark/>
          </w:tcPr>
          <w:p w14:paraId="47CFCC4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70%</w:t>
            </w:r>
          </w:p>
        </w:tc>
      </w:tr>
      <w:tr w:rsidR="00873A9F" w:rsidRPr="00873A9F" w14:paraId="2229D8F5"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1015D06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2FE8C2D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0F88115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eGovernment Benchmark EK - skóre cezhraničné služby - podnikateľ</w:t>
            </w:r>
          </w:p>
        </w:tc>
        <w:tc>
          <w:tcPr>
            <w:tcW w:w="1224" w:type="dxa"/>
            <w:tcBorders>
              <w:top w:val="nil"/>
              <w:left w:val="nil"/>
              <w:bottom w:val="single" w:sz="4" w:space="0" w:color="auto"/>
              <w:right w:val="single" w:sz="4" w:space="0" w:color="auto"/>
            </w:tcBorders>
            <w:shd w:val="clear" w:color="FFFFCC" w:fill="FFFFFF"/>
            <w:hideMark/>
          </w:tcPr>
          <w:p w14:paraId="720D2E6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7EB95D4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 Benchmark</w:t>
            </w:r>
          </w:p>
        </w:tc>
        <w:tc>
          <w:tcPr>
            <w:tcW w:w="970" w:type="dxa"/>
            <w:tcBorders>
              <w:top w:val="nil"/>
              <w:left w:val="nil"/>
              <w:bottom w:val="single" w:sz="4" w:space="0" w:color="auto"/>
              <w:right w:val="single" w:sz="4" w:space="0" w:color="auto"/>
            </w:tcBorders>
            <w:shd w:val="clear" w:color="FFFFCC" w:fill="FFFFFF"/>
            <w:hideMark/>
          </w:tcPr>
          <w:p w14:paraId="283BB05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SR 67%, priemer EÚ 67%</w:t>
            </w:r>
          </w:p>
        </w:tc>
        <w:tc>
          <w:tcPr>
            <w:tcW w:w="1179" w:type="dxa"/>
            <w:tcBorders>
              <w:top w:val="nil"/>
              <w:left w:val="nil"/>
              <w:bottom w:val="single" w:sz="4" w:space="0" w:color="auto"/>
              <w:right w:val="single" w:sz="4" w:space="0" w:color="auto"/>
            </w:tcBorders>
            <w:shd w:val="clear" w:color="FFFFCC" w:fill="FFFFFF"/>
            <w:hideMark/>
          </w:tcPr>
          <w:p w14:paraId="14E84A0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72%</w:t>
            </w:r>
          </w:p>
        </w:tc>
        <w:tc>
          <w:tcPr>
            <w:tcW w:w="1179" w:type="dxa"/>
            <w:tcBorders>
              <w:top w:val="nil"/>
              <w:left w:val="nil"/>
              <w:bottom w:val="single" w:sz="4" w:space="0" w:color="auto"/>
              <w:right w:val="single" w:sz="4" w:space="0" w:color="auto"/>
            </w:tcBorders>
            <w:shd w:val="clear" w:color="FFFFCC" w:fill="FFFFFF"/>
            <w:hideMark/>
          </w:tcPr>
          <w:p w14:paraId="2E6CBB4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77%</w:t>
            </w:r>
          </w:p>
        </w:tc>
        <w:tc>
          <w:tcPr>
            <w:tcW w:w="1179" w:type="dxa"/>
            <w:tcBorders>
              <w:top w:val="nil"/>
              <w:left w:val="nil"/>
              <w:bottom w:val="single" w:sz="4" w:space="0" w:color="auto"/>
              <w:right w:val="single" w:sz="4" w:space="0" w:color="auto"/>
            </w:tcBorders>
            <w:shd w:val="clear" w:color="FFFFCC" w:fill="FFFFFF"/>
            <w:hideMark/>
          </w:tcPr>
          <w:p w14:paraId="1C591FE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85%</w:t>
            </w:r>
          </w:p>
        </w:tc>
      </w:tr>
      <w:tr w:rsidR="00873A9F" w:rsidRPr="00873A9F" w14:paraId="430C27E2"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3A74E20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31101B2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51EDB31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eGovernment Benchmark EK - skóre Zameranie na používateľa</w:t>
            </w:r>
          </w:p>
        </w:tc>
        <w:tc>
          <w:tcPr>
            <w:tcW w:w="1224" w:type="dxa"/>
            <w:tcBorders>
              <w:top w:val="nil"/>
              <w:left w:val="nil"/>
              <w:bottom w:val="single" w:sz="4" w:space="0" w:color="auto"/>
              <w:right w:val="single" w:sz="4" w:space="0" w:color="auto"/>
            </w:tcBorders>
            <w:shd w:val="clear" w:color="FFFFCC" w:fill="FFFFFF"/>
            <w:hideMark/>
          </w:tcPr>
          <w:p w14:paraId="26FCDEC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4DFBA5E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 Benchmark</w:t>
            </w:r>
          </w:p>
        </w:tc>
        <w:tc>
          <w:tcPr>
            <w:tcW w:w="970" w:type="dxa"/>
            <w:tcBorders>
              <w:top w:val="nil"/>
              <w:left w:val="nil"/>
              <w:bottom w:val="single" w:sz="4" w:space="0" w:color="auto"/>
              <w:right w:val="single" w:sz="4" w:space="0" w:color="auto"/>
            </w:tcBorders>
            <w:shd w:val="clear" w:color="FFFFCC" w:fill="FFFFFF"/>
            <w:hideMark/>
          </w:tcPr>
          <w:p w14:paraId="4A18637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SR 85%, priemer EÚ 87%</w:t>
            </w:r>
          </w:p>
        </w:tc>
        <w:tc>
          <w:tcPr>
            <w:tcW w:w="1179" w:type="dxa"/>
            <w:tcBorders>
              <w:top w:val="nil"/>
              <w:left w:val="nil"/>
              <w:bottom w:val="single" w:sz="4" w:space="0" w:color="auto"/>
              <w:right w:val="single" w:sz="4" w:space="0" w:color="auto"/>
            </w:tcBorders>
            <w:shd w:val="clear" w:color="FFFFCC" w:fill="FFFFFF"/>
            <w:hideMark/>
          </w:tcPr>
          <w:p w14:paraId="24AB955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88%</w:t>
            </w:r>
          </w:p>
        </w:tc>
        <w:tc>
          <w:tcPr>
            <w:tcW w:w="1179" w:type="dxa"/>
            <w:tcBorders>
              <w:top w:val="nil"/>
              <w:left w:val="nil"/>
              <w:bottom w:val="single" w:sz="4" w:space="0" w:color="auto"/>
              <w:right w:val="single" w:sz="4" w:space="0" w:color="auto"/>
            </w:tcBorders>
            <w:shd w:val="clear" w:color="FFFFCC" w:fill="FFFFFF"/>
            <w:hideMark/>
          </w:tcPr>
          <w:p w14:paraId="658CA8F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92%</w:t>
            </w:r>
          </w:p>
        </w:tc>
        <w:tc>
          <w:tcPr>
            <w:tcW w:w="1179" w:type="dxa"/>
            <w:tcBorders>
              <w:top w:val="nil"/>
              <w:left w:val="nil"/>
              <w:bottom w:val="single" w:sz="4" w:space="0" w:color="auto"/>
              <w:right w:val="single" w:sz="4" w:space="0" w:color="auto"/>
            </w:tcBorders>
            <w:shd w:val="clear" w:color="FFFFCC" w:fill="FFFFFF"/>
            <w:hideMark/>
          </w:tcPr>
          <w:p w14:paraId="603A98F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95%</w:t>
            </w:r>
          </w:p>
        </w:tc>
      </w:tr>
      <w:tr w:rsidR="00873A9F" w:rsidRPr="00873A9F" w14:paraId="15EEFF19"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4462DA4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1F5B983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17EBADC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eGovernment Benchmark EK - skóre Transparentnosť</w:t>
            </w:r>
          </w:p>
        </w:tc>
        <w:tc>
          <w:tcPr>
            <w:tcW w:w="1224" w:type="dxa"/>
            <w:tcBorders>
              <w:top w:val="nil"/>
              <w:left w:val="nil"/>
              <w:bottom w:val="single" w:sz="4" w:space="0" w:color="auto"/>
              <w:right w:val="single" w:sz="4" w:space="0" w:color="auto"/>
            </w:tcBorders>
            <w:shd w:val="clear" w:color="FFFFCC" w:fill="FFFFFF"/>
            <w:hideMark/>
          </w:tcPr>
          <w:p w14:paraId="47769AC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2C1CF5A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 Benchmark</w:t>
            </w:r>
          </w:p>
        </w:tc>
        <w:tc>
          <w:tcPr>
            <w:tcW w:w="970" w:type="dxa"/>
            <w:tcBorders>
              <w:top w:val="nil"/>
              <w:left w:val="nil"/>
              <w:bottom w:val="single" w:sz="4" w:space="0" w:color="auto"/>
              <w:right w:val="single" w:sz="4" w:space="0" w:color="auto"/>
            </w:tcBorders>
            <w:shd w:val="clear" w:color="FFFFCC" w:fill="FFFFFF"/>
            <w:hideMark/>
          </w:tcPr>
          <w:p w14:paraId="6E08B8F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SR 47%, priemer EÚ 66%</w:t>
            </w:r>
          </w:p>
        </w:tc>
        <w:tc>
          <w:tcPr>
            <w:tcW w:w="1179" w:type="dxa"/>
            <w:tcBorders>
              <w:top w:val="nil"/>
              <w:left w:val="nil"/>
              <w:bottom w:val="single" w:sz="4" w:space="0" w:color="auto"/>
              <w:right w:val="single" w:sz="4" w:space="0" w:color="auto"/>
            </w:tcBorders>
            <w:shd w:val="clear" w:color="FFFFCC" w:fill="FFFFFF"/>
            <w:hideMark/>
          </w:tcPr>
          <w:p w14:paraId="5FACEFD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52%</w:t>
            </w:r>
          </w:p>
        </w:tc>
        <w:tc>
          <w:tcPr>
            <w:tcW w:w="1179" w:type="dxa"/>
            <w:tcBorders>
              <w:top w:val="nil"/>
              <w:left w:val="nil"/>
              <w:bottom w:val="single" w:sz="4" w:space="0" w:color="auto"/>
              <w:right w:val="single" w:sz="4" w:space="0" w:color="auto"/>
            </w:tcBorders>
            <w:shd w:val="clear" w:color="FFFFCC" w:fill="FFFFFF"/>
            <w:hideMark/>
          </w:tcPr>
          <w:p w14:paraId="087ACF2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60%</w:t>
            </w:r>
          </w:p>
        </w:tc>
        <w:tc>
          <w:tcPr>
            <w:tcW w:w="1179" w:type="dxa"/>
            <w:tcBorders>
              <w:top w:val="nil"/>
              <w:left w:val="nil"/>
              <w:bottom w:val="single" w:sz="4" w:space="0" w:color="auto"/>
              <w:right w:val="single" w:sz="4" w:space="0" w:color="auto"/>
            </w:tcBorders>
            <w:shd w:val="clear" w:color="FFFFCC" w:fill="FFFFFF"/>
            <w:hideMark/>
          </w:tcPr>
          <w:p w14:paraId="6A6A955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70%</w:t>
            </w:r>
          </w:p>
        </w:tc>
      </w:tr>
      <w:tr w:rsidR="00873A9F" w:rsidRPr="00873A9F" w14:paraId="3BD4D58C"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0CBD1E2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4E3B71B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59879E9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eGovernment Benchmark EK - skóre Kľúčové nástroje</w:t>
            </w:r>
          </w:p>
        </w:tc>
        <w:tc>
          <w:tcPr>
            <w:tcW w:w="1224" w:type="dxa"/>
            <w:tcBorders>
              <w:top w:val="nil"/>
              <w:left w:val="nil"/>
              <w:bottom w:val="single" w:sz="4" w:space="0" w:color="auto"/>
              <w:right w:val="single" w:sz="4" w:space="0" w:color="auto"/>
            </w:tcBorders>
            <w:shd w:val="clear" w:color="FFFFCC" w:fill="FFFFFF"/>
            <w:hideMark/>
          </w:tcPr>
          <w:p w14:paraId="42DB66B6"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760030E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 Benchmark</w:t>
            </w:r>
          </w:p>
        </w:tc>
        <w:tc>
          <w:tcPr>
            <w:tcW w:w="970" w:type="dxa"/>
            <w:tcBorders>
              <w:top w:val="nil"/>
              <w:left w:val="nil"/>
              <w:bottom w:val="single" w:sz="4" w:space="0" w:color="auto"/>
              <w:right w:val="single" w:sz="4" w:space="0" w:color="auto"/>
            </w:tcBorders>
            <w:shd w:val="clear" w:color="FFFFCC" w:fill="FFFFFF"/>
            <w:hideMark/>
          </w:tcPr>
          <w:p w14:paraId="005FFCA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SR 67%, priemer EÚ 61%</w:t>
            </w:r>
          </w:p>
        </w:tc>
        <w:tc>
          <w:tcPr>
            <w:tcW w:w="1179" w:type="dxa"/>
            <w:tcBorders>
              <w:top w:val="nil"/>
              <w:left w:val="nil"/>
              <w:bottom w:val="single" w:sz="4" w:space="0" w:color="auto"/>
              <w:right w:val="single" w:sz="4" w:space="0" w:color="auto"/>
            </w:tcBorders>
            <w:shd w:val="clear" w:color="FFFFCC" w:fill="FFFFFF"/>
            <w:hideMark/>
          </w:tcPr>
          <w:p w14:paraId="7D6BA50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72%</w:t>
            </w:r>
          </w:p>
        </w:tc>
        <w:tc>
          <w:tcPr>
            <w:tcW w:w="1179" w:type="dxa"/>
            <w:tcBorders>
              <w:top w:val="nil"/>
              <w:left w:val="nil"/>
              <w:bottom w:val="single" w:sz="4" w:space="0" w:color="auto"/>
              <w:right w:val="single" w:sz="4" w:space="0" w:color="auto"/>
            </w:tcBorders>
            <w:shd w:val="clear" w:color="FFFFCC" w:fill="FFFFFF"/>
            <w:hideMark/>
          </w:tcPr>
          <w:p w14:paraId="25A7A12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77%</w:t>
            </w:r>
          </w:p>
        </w:tc>
        <w:tc>
          <w:tcPr>
            <w:tcW w:w="1179" w:type="dxa"/>
            <w:tcBorders>
              <w:top w:val="nil"/>
              <w:left w:val="nil"/>
              <w:bottom w:val="single" w:sz="4" w:space="0" w:color="auto"/>
              <w:right w:val="single" w:sz="4" w:space="0" w:color="auto"/>
            </w:tcBorders>
            <w:shd w:val="clear" w:color="FFFFCC" w:fill="FFFFFF"/>
            <w:hideMark/>
          </w:tcPr>
          <w:p w14:paraId="2ADEAE6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85%</w:t>
            </w:r>
          </w:p>
        </w:tc>
      </w:tr>
      <w:tr w:rsidR="00873A9F" w:rsidRPr="00873A9F" w14:paraId="7F3812E3"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6F111D9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7EA84F5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19F8ACA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Celkové používanie služieb eGovernmentu občanmi</w:t>
            </w:r>
          </w:p>
        </w:tc>
        <w:tc>
          <w:tcPr>
            <w:tcW w:w="1224" w:type="dxa"/>
            <w:tcBorders>
              <w:top w:val="nil"/>
              <w:left w:val="nil"/>
              <w:bottom w:val="single" w:sz="4" w:space="0" w:color="auto"/>
              <w:right w:val="single" w:sz="4" w:space="0" w:color="auto"/>
            </w:tcBorders>
            <w:shd w:val="clear" w:color="FFFFCC" w:fill="FFFFFF"/>
            <w:hideMark/>
          </w:tcPr>
          <w:p w14:paraId="74033EE1"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ITVS</w:t>
            </w:r>
          </w:p>
        </w:tc>
        <w:tc>
          <w:tcPr>
            <w:tcW w:w="1161" w:type="dxa"/>
            <w:tcBorders>
              <w:top w:val="nil"/>
              <w:left w:val="nil"/>
              <w:bottom w:val="single" w:sz="4" w:space="0" w:color="auto"/>
              <w:right w:val="single" w:sz="4" w:space="0" w:color="auto"/>
            </w:tcBorders>
            <w:shd w:val="clear" w:color="FFFFCC" w:fill="FFFFFF"/>
            <w:hideMark/>
          </w:tcPr>
          <w:p w14:paraId="3B9025E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EUROSTAT</w:t>
            </w:r>
          </w:p>
        </w:tc>
        <w:tc>
          <w:tcPr>
            <w:tcW w:w="970" w:type="dxa"/>
            <w:tcBorders>
              <w:top w:val="nil"/>
              <w:left w:val="nil"/>
              <w:bottom w:val="single" w:sz="4" w:space="0" w:color="auto"/>
              <w:right w:val="single" w:sz="4" w:space="0" w:color="auto"/>
            </w:tcBorders>
            <w:shd w:val="clear" w:color="FFFFCC" w:fill="FFFFFF"/>
            <w:noWrap/>
            <w:hideMark/>
          </w:tcPr>
          <w:p w14:paraId="240A61E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59 %</w:t>
            </w:r>
          </w:p>
        </w:tc>
        <w:tc>
          <w:tcPr>
            <w:tcW w:w="1179" w:type="dxa"/>
            <w:tcBorders>
              <w:top w:val="nil"/>
              <w:left w:val="nil"/>
              <w:bottom w:val="single" w:sz="4" w:space="0" w:color="auto"/>
              <w:right w:val="single" w:sz="4" w:space="0" w:color="auto"/>
            </w:tcBorders>
            <w:shd w:val="clear" w:color="FFFFCC" w:fill="FFFFFF"/>
            <w:noWrap/>
            <w:hideMark/>
          </w:tcPr>
          <w:p w14:paraId="3D5A14EF"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64 %</w:t>
            </w:r>
          </w:p>
        </w:tc>
        <w:tc>
          <w:tcPr>
            <w:tcW w:w="1179" w:type="dxa"/>
            <w:tcBorders>
              <w:top w:val="nil"/>
              <w:left w:val="nil"/>
              <w:bottom w:val="single" w:sz="4" w:space="0" w:color="auto"/>
              <w:right w:val="single" w:sz="4" w:space="0" w:color="auto"/>
            </w:tcBorders>
            <w:shd w:val="clear" w:color="FFFFCC" w:fill="FFFFFF"/>
            <w:noWrap/>
            <w:hideMark/>
          </w:tcPr>
          <w:p w14:paraId="43E1FC0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70 %</w:t>
            </w:r>
          </w:p>
        </w:tc>
        <w:tc>
          <w:tcPr>
            <w:tcW w:w="1179" w:type="dxa"/>
            <w:tcBorders>
              <w:top w:val="nil"/>
              <w:left w:val="nil"/>
              <w:bottom w:val="single" w:sz="4" w:space="0" w:color="auto"/>
              <w:right w:val="single" w:sz="4" w:space="0" w:color="auto"/>
            </w:tcBorders>
            <w:shd w:val="clear" w:color="FFFFCC" w:fill="FFFFFF"/>
            <w:noWrap/>
            <w:hideMark/>
          </w:tcPr>
          <w:p w14:paraId="4F8D6A69"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75 %</w:t>
            </w:r>
          </w:p>
        </w:tc>
      </w:tr>
      <w:tr w:rsidR="00873A9F" w:rsidRPr="00873A9F" w14:paraId="721F7C5F"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2539790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28E44D5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5977057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Pomer koncových služieb v prioritných ŽS, ktoré sú v súlade s Jednotným dizajn manuálom ID-SK</w:t>
            </w:r>
          </w:p>
        </w:tc>
        <w:tc>
          <w:tcPr>
            <w:tcW w:w="1224" w:type="dxa"/>
            <w:tcBorders>
              <w:top w:val="nil"/>
              <w:left w:val="nil"/>
              <w:bottom w:val="single" w:sz="4" w:space="0" w:color="auto"/>
              <w:right w:val="single" w:sz="4" w:space="0" w:color="auto"/>
            </w:tcBorders>
            <w:shd w:val="clear" w:color="FFFFCC" w:fill="FFFFFF"/>
            <w:hideMark/>
          </w:tcPr>
          <w:p w14:paraId="4619E61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6A9E141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4D74C41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hideMark/>
          </w:tcPr>
          <w:p w14:paraId="1393801F"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w:t>
            </w:r>
          </w:p>
        </w:tc>
        <w:tc>
          <w:tcPr>
            <w:tcW w:w="1179" w:type="dxa"/>
            <w:tcBorders>
              <w:top w:val="nil"/>
              <w:left w:val="nil"/>
              <w:bottom w:val="single" w:sz="4" w:space="0" w:color="auto"/>
              <w:right w:val="single" w:sz="4" w:space="0" w:color="auto"/>
            </w:tcBorders>
            <w:shd w:val="clear" w:color="FFFFCC" w:fill="FFFFFF"/>
            <w:noWrap/>
            <w:hideMark/>
          </w:tcPr>
          <w:p w14:paraId="1CA6EFF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FFFFFF"/>
            <w:hideMark/>
          </w:tcPr>
          <w:p w14:paraId="4B50B43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r>
      <w:tr w:rsidR="00873A9F" w:rsidRPr="00873A9F" w14:paraId="3CDCAA98"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3CF33E2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5AA4188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644E2CB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Pomer webových sídiel orgánov riadenia podľa zákona č. 95/2019 Z.z. v súlade s Jednotným dizajn manuálom ID-SK</w:t>
            </w:r>
          </w:p>
        </w:tc>
        <w:tc>
          <w:tcPr>
            <w:tcW w:w="1224" w:type="dxa"/>
            <w:tcBorders>
              <w:top w:val="nil"/>
              <w:left w:val="nil"/>
              <w:bottom w:val="single" w:sz="4" w:space="0" w:color="auto"/>
              <w:right w:val="single" w:sz="4" w:space="0" w:color="auto"/>
            </w:tcBorders>
            <w:shd w:val="clear" w:color="FFFFCC" w:fill="FFFFFF"/>
            <w:hideMark/>
          </w:tcPr>
          <w:p w14:paraId="2616465E"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ISVS</w:t>
            </w:r>
          </w:p>
        </w:tc>
        <w:tc>
          <w:tcPr>
            <w:tcW w:w="1161" w:type="dxa"/>
            <w:tcBorders>
              <w:top w:val="nil"/>
              <w:left w:val="nil"/>
              <w:bottom w:val="single" w:sz="4" w:space="0" w:color="auto"/>
              <w:right w:val="single" w:sz="4" w:space="0" w:color="auto"/>
            </w:tcBorders>
            <w:shd w:val="clear" w:color="FFFFCC" w:fill="FFFFFF"/>
            <w:hideMark/>
          </w:tcPr>
          <w:p w14:paraId="3F964E7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044D7F5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0</w:t>
            </w:r>
          </w:p>
        </w:tc>
        <w:tc>
          <w:tcPr>
            <w:tcW w:w="1179" w:type="dxa"/>
            <w:tcBorders>
              <w:top w:val="nil"/>
              <w:left w:val="nil"/>
              <w:bottom w:val="single" w:sz="4" w:space="0" w:color="auto"/>
              <w:right w:val="single" w:sz="4" w:space="0" w:color="auto"/>
            </w:tcBorders>
            <w:shd w:val="clear" w:color="FFFFCC" w:fill="FFFFFF"/>
            <w:hideMark/>
          </w:tcPr>
          <w:p w14:paraId="2C1B822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15%</w:t>
            </w:r>
          </w:p>
        </w:tc>
        <w:tc>
          <w:tcPr>
            <w:tcW w:w="1179" w:type="dxa"/>
            <w:tcBorders>
              <w:top w:val="nil"/>
              <w:left w:val="nil"/>
              <w:bottom w:val="single" w:sz="4" w:space="0" w:color="auto"/>
              <w:right w:val="single" w:sz="4" w:space="0" w:color="auto"/>
            </w:tcBorders>
            <w:shd w:val="clear" w:color="FFFFCC" w:fill="FFFFFF"/>
            <w:noWrap/>
            <w:hideMark/>
          </w:tcPr>
          <w:p w14:paraId="365CDF9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FFFFFF"/>
            <w:hideMark/>
          </w:tcPr>
          <w:p w14:paraId="23F9AFD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r>
      <w:tr w:rsidR="00873A9F" w:rsidRPr="00873A9F" w14:paraId="41756E77"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788965F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4A1A2314"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67C0887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Prístupnosť webových sídiel verejnej správy</w:t>
            </w:r>
          </w:p>
        </w:tc>
        <w:tc>
          <w:tcPr>
            <w:tcW w:w="1224" w:type="dxa"/>
            <w:tcBorders>
              <w:top w:val="nil"/>
              <w:left w:val="nil"/>
              <w:bottom w:val="single" w:sz="4" w:space="0" w:color="auto"/>
              <w:right w:val="single" w:sz="4" w:space="0" w:color="auto"/>
            </w:tcBorders>
            <w:shd w:val="clear" w:color="FFFFCC" w:fill="FFFFFF"/>
            <w:hideMark/>
          </w:tcPr>
          <w:p w14:paraId="603FFAAC"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ISVS</w:t>
            </w:r>
          </w:p>
        </w:tc>
        <w:tc>
          <w:tcPr>
            <w:tcW w:w="1161" w:type="dxa"/>
            <w:tcBorders>
              <w:top w:val="nil"/>
              <w:left w:val="nil"/>
              <w:bottom w:val="single" w:sz="4" w:space="0" w:color="auto"/>
              <w:right w:val="single" w:sz="4" w:space="0" w:color="auto"/>
            </w:tcBorders>
            <w:shd w:val="clear" w:color="FFFFCC" w:fill="FFFFFF"/>
            <w:hideMark/>
          </w:tcPr>
          <w:p w14:paraId="1180703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075E2F7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40%</w:t>
            </w:r>
          </w:p>
        </w:tc>
        <w:tc>
          <w:tcPr>
            <w:tcW w:w="1179" w:type="dxa"/>
            <w:tcBorders>
              <w:top w:val="nil"/>
              <w:left w:val="nil"/>
              <w:bottom w:val="single" w:sz="4" w:space="0" w:color="auto"/>
              <w:right w:val="single" w:sz="4" w:space="0" w:color="auto"/>
            </w:tcBorders>
            <w:shd w:val="clear" w:color="FFFFCC" w:fill="FFFFFF"/>
            <w:hideMark/>
          </w:tcPr>
          <w:p w14:paraId="434F021A"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FFFFFF"/>
            <w:hideMark/>
          </w:tcPr>
          <w:p w14:paraId="4910898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70%</w:t>
            </w:r>
          </w:p>
        </w:tc>
        <w:tc>
          <w:tcPr>
            <w:tcW w:w="1179" w:type="dxa"/>
            <w:tcBorders>
              <w:top w:val="nil"/>
              <w:left w:val="nil"/>
              <w:bottom w:val="single" w:sz="4" w:space="0" w:color="auto"/>
              <w:right w:val="single" w:sz="4" w:space="0" w:color="auto"/>
            </w:tcBorders>
            <w:shd w:val="clear" w:color="FFFFCC" w:fill="FFFFFF"/>
            <w:hideMark/>
          </w:tcPr>
          <w:p w14:paraId="1A797B2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98%</w:t>
            </w:r>
          </w:p>
        </w:tc>
      </w:tr>
      <w:tr w:rsidR="00873A9F" w:rsidRPr="00873A9F" w14:paraId="6E44797A"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511B9E0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lastRenderedPageBreak/>
              <w:t>DS</w:t>
            </w:r>
          </w:p>
        </w:tc>
        <w:tc>
          <w:tcPr>
            <w:tcW w:w="1120" w:type="dxa"/>
            <w:tcBorders>
              <w:top w:val="nil"/>
              <w:left w:val="nil"/>
              <w:bottom w:val="single" w:sz="4" w:space="0" w:color="auto"/>
              <w:right w:val="single" w:sz="4" w:space="0" w:color="auto"/>
            </w:tcBorders>
            <w:shd w:val="clear" w:color="FFFFCC" w:fill="FFFFFF"/>
            <w:hideMark/>
          </w:tcPr>
          <w:p w14:paraId="2B8A415E"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71FA9048"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Transparentnosť služieb, zrozumiteľnosť, predvídateľnosť priebehu (Pomer koncových služieb v prioritných ŽS, ktoré používateľovi umožňujú nahlásiť chybu, vyjadriť spokojnosť, vyjadriť sťažnosť a priebežne si overiť stav vybavenia)</w:t>
            </w:r>
          </w:p>
        </w:tc>
        <w:tc>
          <w:tcPr>
            <w:tcW w:w="1224" w:type="dxa"/>
            <w:tcBorders>
              <w:top w:val="nil"/>
              <w:left w:val="nil"/>
              <w:bottom w:val="single" w:sz="4" w:space="0" w:color="auto"/>
              <w:right w:val="single" w:sz="4" w:space="0" w:color="auto"/>
            </w:tcBorders>
            <w:shd w:val="clear" w:color="FFFFCC" w:fill="FFFFFF"/>
            <w:hideMark/>
          </w:tcPr>
          <w:p w14:paraId="347E11E5"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63813BD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6FE22D3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hideMark/>
          </w:tcPr>
          <w:p w14:paraId="52ED0C4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w:t>
            </w:r>
          </w:p>
        </w:tc>
        <w:tc>
          <w:tcPr>
            <w:tcW w:w="1179" w:type="dxa"/>
            <w:tcBorders>
              <w:top w:val="nil"/>
              <w:left w:val="nil"/>
              <w:bottom w:val="single" w:sz="4" w:space="0" w:color="auto"/>
              <w:right w:val="single" w:sz="4" w:space="0" w:color="auto"/>
            </w:tcBorders>
            <w:shd w:val="clear" w:color="FFFFCC" w:fill="FFFFFF"/>
            <w:noWrap/>
            <w:hideMark/>
          </w:tcPr>
          <w:p w14:paraId="6AFC679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40%</w:t>
            </w:r>
          </w:p>
        </w:tc>
        <w:tc>
          <w:tcPr>
            <w:tcW w:w="1179" w:type="dxa"/>
            <w:tcBorders>
              <w:top w:val="nil"/>
              <w:left w:val="nil"/>
              <w:bottom w:val="single" w:sz="4" w:space="0" w:color="auto"/>
              <w:right w:val="single" w:sz="4" w:space="0" w:color="auto"/>
            </w:tcBorders>
            <w:shd w:val="clear" w:color="FFFFCC" w:fill="FFFFFF"/>
            <w:hideMark/>
          </w:tcPr>
          <w:p w14:paraId="701EF25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80%</w:t>
            </w:r>
          </w:p>
        </w:tc>
      </w:tr>
      <w:tr w:rsidR="00873A9F" w:rsidRPr="00873A9F" w14:paraId="22E56F6D"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53F5373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01549A4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25AFEA2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Pomer koncových služieb v prioritných ŽS s</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maxim</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lne 30% potenci</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lom na zlep</w:t>
            </w:r>
            <w:r w:rsidRPr="00873A9F">
              <w:rPr>
                <w:rFonts w:ascii="Arial Narrow" w:eastAsia="Times New Roman" w:hAnsi="Arial Narrow" w:cs="Arial Narrow"/>
                <w:color w:val="000000"/>
                <w:sz w:val="20"/>
                <w:szCs w:val="20"/>
                <w:lang w:eastAsia="sk-SK"/>
              </w:rPr>
              <w:t>š</w:t>
            </w:r>
            <w:r w:rsidRPr="00873A9F">
              <w:rPr>
                <w:rFonts w:ascii="Arial Narrow" w:eastAsia="Times New Roman" w:hAnsi="Arial Narrow" w:cs="Calibri"/>
                <w:color w:val="000000"/>
                <w:sz w:val="20"/>
                <w:szCs w:val="20"/>
                <w:lang w:eastAsia="sk-SK"/>
              </w:rPr>
              <w:t>enie návodov a</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informovania v</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r</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 xml:space="preserve">mci služby  </w:t>
            </w:r>
          </w:p>
        </w:tc>
        <w:tc>
          <w:tcPr>
            <w:tcW w:w="1224" w:type="dxa"/>
            <w:tcBorders>
              <w:top w:val="nil"/>
              <w:left w:val="nil"/>
              <w:bottom w:val="single" w:sz="4" w:space="0" w:color="auto"/>
              <w:right w:val="single" w:sz="4" w:space="0" w:color="auto"/>
            </w:tcBorders>
            <w:shd w:val="clear" w:color="FFFFCC" w:fill="FFFFFF"/>
            <w:hideMark/>
          </w:tcPr>
          <w:p w14:paraId="68B6381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319223C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4E74716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hideMark/>
          </w:tcPr>
          <w:p w14:paraId="642F2E8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c>
          <w:tcPr>
            <w:tcW w:w="1179" w:type="dxa"/>
            <w:tcBorders>
              <w:top w:val="nil"/>
              <w:left w:val="nil"/>
              <w:bottom w:val="single" w:sz="4" w:space="0" w:color="auto"/>
              <w:right w:val="single" w:sz="4" w:space="0" w:color="auto"/>
            </w:tcBorders>
            <w:shd w:val="clear" w:color="FFFFCC" w:fill="FFFFFF"/>
            <w:hideMark/>
          </w:tcPr>
          <w:p w14:paraId="0119783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FFFFFF"/>
            <w:hideMark/>
          </w:tcPr>
          <w:p w14:paraId="4924C6A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w:t>
            </w:r>
          </w:p>
        </w:tc>
      </w:tr>
      <w:tr w:rsidR="00873A9F" w:rsidRPr="00873A9F" w14:paraId="053112D8"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56F0727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61648FE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69F18C1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Pomer koncových služieb v prioritných ŽS s</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maxim</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lne 30% potenci</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lom na zlep</w:t>
            </w:r>
            <w:r w:rsidRPr="00873A9F">
              <w:rPr>
                <w:rFonts w:ascii="Arial Narrow" w:eastAsia="Times New Roman" w:hAnsi="Arial Narrow" w:cs="Arial Narrow"/>
                <w:color w:val="000000"/>
                <w:sz w:val="20"/>
                <w:szCs w:val="20"/>
                <w:lang w:eastAsia="sk-SK"/>
              </w:rPr>
              <w:t>š</w:t>
            </w:r>
            <w:r w:rsidRPr="00873A9F">
              <w:rPr>
                <w:rFonts w:ascii="Arial Narrow" w:eastAsia="Times New Roman" w:hAnsi="Arial Narrow" w:cs="Calibri"/>
                <w:color w:val="000000"/>
                <w:sz w:val="20"/>
                <w:szCs w:val="20"/>
                <w:lang w:eastAsia="sk-SK"/>
              </w:rPr>
              <w:t xml:space="preserve">enie ich vyhľadateľnosti </w:t>
            </w:r>
          </w:p>
        </w:tc>
        <w:tc>
          <w:tcPr>
            <w:tcW w:w="1224" w:type="dxa"/>
            <w:tcBorders>
              <w:top w:val="nil"/>
              <w:left w:val="nil"/>
              <w:bottom w:val="single" w:sz="4" w:space="0" w:color="auto"/>
              <w:right w:val="single" w:sz="4" w:space="0" w:color="auto"/>
            </w:tcBorders>
            <w:shd w:val="clear" w:color="FFFFCC" w:fill="FFFFFF"/>
            <w:hideMark/>
          </w:tcPr>
          <w:p w14:paraId="72988C98"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6156AA8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54D94BC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hideMark/>
          </w:tcPr>
          <w:p w14:paraId="2F3CA40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c>
          <w:tcPr>
            <w:tcW w:w="1179" w:type="dxa"/>
            <w:tcBorders>
              <w:top w:val="nil"/>
              <w:left w:val="nil"/>
              <w:bottom w:val="single" w:sz="4" w:space="0" w:color="auto"/>
              <w:right w:val="single" w:sz="4" w:space="0" w:color="auto"/>
            </w:tcBorders>
            <w:shd w:val="clear" w:color="FFFFCC" w:fill="FFFFFF"/>
            <w:hideMark/>
          </w:tcPr>
          <w:p w14:paraId="446D63C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FFFFFF"/>
            <w:hideMark/>
          </w:tcPr>
          <w:p w14:paraId="3398BA5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w:t>
            </w:r>
          </w:p>
        </w:tc>
      </w:tr>
      <w:tr w:rsidR="00873A9F" w:rsidRPr="00873A9F" w14:paraId="299498D0"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46AC924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65749544"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448F4BF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Pomer koncových služieb v prioritných ŽS s</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maximálne 30% potenciálom na zlepšenie zrozumiteľnosti textov v</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r</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mci slu</w:t>
            </w:r>
            <w:r w:rsidRPr="00873A9F">
              <w:rPr>
                <w:rFonts w:ascii="Arial Narrow" w:eastAsia="Times New Roman" w:hAnsi="Arial Narrow" w:cs="Arial Narrow"/>
                <w:color w:val="000000"/>
                <w:sz w:val="20"/>
                <w:szCs w:val="20"/>
                <w:lang w:eastAsia="sk-SK"/>
              </w:rPr>
              <w:t>ž</w:t>
            </w:r>
            <w:r w:rsidRPr="00873A9F">
              <w:rPr>
                <w:rFonts w:ascii="Arial Narrow" w:eastAsia="Times New Roman" w:hAnsi="Arial Narrow" w:cs="Calibri"/>
                <w:color w:val="000000"/>
                <w:sz w:val="20"/>
                <w:szCs w:val="20"/>
                <w:lang w:eastAsia="sk-SK"/>
              </w:rPr>
              <w:t xml:space="preserve">by  </w:t>
            </w:r>
          </w:p>
        </w:tc>
        <w:tc>
          <w:tcPr>
            <w:tcW w:w="1224" w:type="dxa"/>
            <w:tcBorders>
              <w:top w:val="nil"/>
              <w:left w:val="nil"/>
              <w:bottom w:val="single" w:sz="4" w:space="0" w:color="auto"/>
              <w:right w:val="single" w:sz="4" w:space="0" w:color="auto"/>
            </w:tcBorders>
            <w:shd w:val="clear" w:color="FFFFCC" w:fill="FFFFFF"/>
            <w:hideMark/>
          </w:tcPr>
          <w:p w14:paraId="4862ED2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163176A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02A2551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hideMark/>
          </w:tcPr>
          <w:p w14:paraId="28A80EF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c>
          <w:tcPr>
            <w:tcW w:w="1179" w:type="dxa"/>
            <w:tcBorders>
              <w:top w:val="nil"/>
              <w:left w:val="nil"/>
              <w:bottom w:val="single" w:sz="4" w:space="0" w:color="auto"/>
              <w:right w:val="single" w:sz="4" w:space="0" w:color="auto"/>
            </w:tcBorders>
            <w:shd w:val="clear" w:color="FFFFCC" w:fill="FFFFFF"/>
            <w:hideMark/>
          </w:tcPr>
          <w:p w14:paraId="5252832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FFFFFF"/>
            <w:hideMark/>
          </w:tcPr>
          <w:p w14:paraId="427F52B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w:t>
            </w:r>
          </w:p>
        </w:tc>
      </w:tr>
      <w:tr w:rsidR="00873A9F" w:rsidRPr="00873A9F" w14:paraId="7B0945AC"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44B719B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3F6327A6"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59F4E9C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Pomer koncových služieb v prioritných ŽS s</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maxim</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lne 30% potenci</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lom na zlep</w:t>
            </w:r>
            <w:r w:rsidRPr="00873A9F">
              <w:rPr>
                <w:rFonts w:ascii="Arial Narrow" w:eastAsia="Times New Roman" w:hAnsi="Arial Narrow" w:cs="Arial Narrow"/>
                <w:color w:val="000000"/>
                <w:sz w:val="20"/>
                <w:szCs w:val="20"/>
                <w:lang w:eastAsia="sk-SK"/>
              </w:rPr>
              <w:t>š</w:t>
            </w:r>
            <w:r w:rsidRPr="00873A9F">
              <w:rPr>
                <w:rFonts w:ascii="Arial Narrow" w:eastAsia="Times New Roman" w:hAnsi="Arial Narrow" w:cs="Calibri"/>
                <w:color w:val="000000"/>
                <w:sz w:val="20"/>
                <w:szCs w:val="20"/>
                <w:lang w:eastAsia="sk-SK"/>
              </w:rPr>
              <w:t>enie navigácie v</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r</w:t>
            </w:r>
            <w:r w:rsidRPr="00873A9F">
              <w:rPr>
                <w:rFonts w:ascii="Arial Narrow" w:eastAsia="Times New Roman" w:hAnsi="Arial Narrow" w:cs="Arial Narrow"/>
                <w:color w:val="000000"/>
                <w:sz w:val="20"/>
                <w:szCs w:val="20"/>
                <w:lang w:eastAsia="sk-SK"/>
              </w:rPr>
              <w:t>á</w:t>
            </w:r>
            <w:r w:rsidRPr="00873A9F">
              <w:rPr>
                <w:rFonts w:ascii="Arial Narrow" w:eastAsia="Times New Roman" w:hAnsi="Arial Narrow" w:cs="Calibri"/>
                <w:color w:val="000000"/>
                <w:sz w:val="20"/>
                <w:szCs w:val="20"/>
                <w:lang w:eastAsia="sk-SK"/>
              </w:rPr>
              <w:t>mci slu</w:t>
            </w:r>
            <w:r w:rsidRPr="00873A9F">
              <w:rPr>
                <w:rFonts w:ascii="Arial Narrow" w:eastAsia="Times New Roman" w:hAnsi="Arial Narrow" w:cs="Arial Narrow"/>
                <w:color w:val="000000"/>
                <w:sz w:val="20"/>
                <w:szCs w:val="20"/>
                <w:lang w:eastAsia="sk-SK"/>
              </w:rPr>
              <w:t>ž</w:t>
            </w:r>
            <w:r w:rsidRPr="00873A9F">
              <w:rPr>
                <w:rFonts w:ascii="Arial Narrow" w:eastAsia="Times New Roman" w:hAnsi="Arial Narrow" w:cs="Calibri"/>
                <w:color w:val="000000"/>
                <w:sz w:val="20"/>
                <w:szCs w:val="20"/>
                <w:lang w:eastAsia="sk-SK"/>
              </w:rPr>
              <w:t xml:space="preserve">by </w:t>
            </w:r>
          </w:p>
        </w:tc>
        <w:tc>
          <w:tcPr>
            <w:tcW w:w="1224" w:type="dxa"/>
            <w:tcBorders>
              <w:top w:val="nil"/>
              <w:left w:val="nil"/>
              <w:bottom w:val="single" w:sz="4" w:space="0" w:color="auto"/>
              <w:right w:val="single" w:sz="4" w:space="0" w:color="auto"/>
            </w:tcBorders>
            <w:shd w:val="clear" w:color="FFFFCC" w:fill="FFFFFF"/>
            <w:hideMark/>
          </w:tcPr>
          <w:p w14:paraId="23B9C61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28F16D2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50F509E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hideMark/>
          </w:tcPr>
          <w:p w14:paraId="63896DC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c>
          <w:tcPr>
            <w:tcW w:w="1179" w:type="dxa"/>
            <w:tcBorders>
              <w:top w:val="nil"/>
              <w:left w:val="nil"/>
              <w:bottom w:val="single" w:sz="4" w:space="0" w:color="auto"/>
              <w:right w:val="single" w:sz="4" w:space="0" w:color="auto"/>
            </w:tcBorders>
            <w:shd w:val="clear" w:color="FFFFCC" w:fill="FFFFFF"/>
            <w:hideMark/>
          </w:tcPr>
          <w:p w14:paraId="2A45787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FFFFFF"/>
            <w:hideMark/>
          </w:tcPr>
          <w:p w14:paraId="462B026F"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w:t>
            </w:r>
          </w:p>
        </w:tc>
      </w:tr>
      <w:tr w:rsidR="00873A9F" w:rsidRPr="00873A9F" w14:paraId="0BA63E23"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2DC2C02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FFFFFF"/>
            <w:hideMark/>
          </w:tcPr>
          <w:p w14:paraId="2352B54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Skutočne digitálne služby</w:t>
            </w:r>
          </w:p>
        </w:tc>
        <w:tc>
          <w:tcPr>
            <w:tcW w:w="5841" w:type="dxa"/>
            <w:tcBorders>
              <w:top w:val="nil"/>
              <w:left w:val="nil"/>
              <w:bottom w:val="single" w:sz="4" w:space="0" w:color="auto"/>
              <w:right w:val="single" w:sz="4" w:space="0" w:color="auto"/>
            </w:tcBorders>
            <w:shd w:val="clear" w:color="FFFFCC" w:fill="FFFFFF"/>
            <w:hideMark/>
          </w:tcPr>
          <w:p w14:paraId="3701D44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Pomer koncových služieb v prioritných ŽS s</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ktor</w:t>
            </w:r>
            <w:r w:rsidRPr="00873A9F">
              <w:rPr>
                <w:rFonts w:ascii="Arial Narrow" w:eastAsia="Times New Roman" w:hAnsi="Arial Narrow" w:cs="Arial Narrow"/>
                <w:color w:val="000000"/>
                <w:sz w:val="20"/>
                <w:szCs w:val="20"/>
                <w:lang w:eastAsia="sk-SK"/>
              </w:rPr>
              <w:t>ý</w:t>
            </w:r>
            <w:r w:rsidRPr="00873A9F">
              <w:rPr>
                <w:rFonts w:ascii="Arial Narrow" w:eastAsia="Times New Roman" w:hAnsi="Arial Narrow" w:cs="Calibri"/>
                <w:color w:val="000000"/>
                <w:sz w:val="20"/>
                <w:szCs w:val="20"/>
                <w:lang w:eastAsia="sk-SK"/>
              </w:rPr>
              <w:t>mi s</w:t>
            </w:r>
            <w:r w:rsidRPr="00873A9F">
              <w:rPr>
                <w:rFonts w:ascii="Arial Narrow" w:eastAsia="Times New Roman" w:hAnsi="Arial Narrow" w:cs="Arial Narrow"/>
                <w:color w:val="000000"/>
                <w:sz w:val="20"/>
                <w:szCs w:val="20"/>
                <w:lang w:eastAsia="sk-SK"/>
              </w:rPr>
              <w:t>ú</w:t>
            </w:r>
            <w:r w:rsidRPr="00873A9F">
              <w:rPr>
                <w:rFonts w:ascii="Arial Narrow" w:eastAsia="Times New Roman" w:hAnsi="Arial Narrow" w:cs="Calibri"/>
                <w:color w:val="000000"/>
                <w:sz w:val="20"/>
                <w:szCs w:val="20"/>
                <w:lang w:eastAsia="sk-SK"/>
              </w:rPr>
              <w:t xml:space="preserve"> ich pou</w:t>
            </w:r>
            <w:r w:rsidRPr="00873A9F">
              <w:rPr>
                <w:rFonts w:ascii="Arial Narrow" w:eastAsia="Times New Roman" w:hAnsi="Arial Narrow" w:cs="Arial Narrow"/>
                <w:color w:val="000000"/>
                <w:sz w:val="20"/>
                <w:szCs w:val="20"/>
                <w:lang w:eastAsia="sk-SK"/>
              </w:rPr>
              <w:t>ží</w:t>
            </w:r>
            <w:r w:rsidRPr="00873A9F">
              <w:rPr>
                <w:rFonts w:ascii="Arial Narrow" w:eastAsia="Times New Roman" w:hAnsi="Arial Narrow" w:cs="Calibri"/>
                <w:color w:val="000000"/>
                <w:sz w:val="20"/>
                <w:szCs w:val="20"/>
                <w:lang w:eastAsia="sk-SK"/>
              </w:rPr>
              <w:t>vatelia spokojn</w:t>
            </w:r>
            <w:r w:rsidRPr="00873A9F">
              <w:rPr>
                <w:rFonts w:ascii="Arial Narrow" w:eastAsia="Times New Roman" w:hAnsi="Arial Narrow" w:cs="Arial Narrow"/>
                <w:color w:val="000000"/>
                <w:sz w:val="20"/>
                <w:szCs w:val="20"/>
                <w:lang w:eastAsia="sk-SK"/>
              </w:rPr>
              <w:t>í</w:t>
            </w:r>
            <w:r w:rsidRPr="00873A9F">
              <w:rPr>
                <w:rFonts w:ascii="Arial Narrow" w:eastAsia="Times New Roman" w:hAnsi="Arial Narrow" w:cs="Calibri"/>
                <w:color w:val="000000"/>
                <w:sz w:val="20"/>
                <w:szCs w:val="20"/>
                <w:lang w:eastAsia="sk-SK"/>
              </w:rPr>
              <w:t xml:space="preserve"> aspoň na 80% (resp. 4* z</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 xml:space="preserve">5)   </w:t>
            </w:r>
          </w:p>
        </w:tc>
        <w:tc>
          <w:tcPr>
            <w:tcW w:w="1224" w:type="dxa"/>
            <w:tcBorders>
              <w:top w:val="nil"/>
              <w:left w:val="nil"/>
              <w:bottom w:val="single" w:sz="4" w:space="0" w:color="auto"/>
              <w:right w:val="single" w:sz="4" w:space="0" w:color="auto"/>
            </w:tcBorders>
            <w:shd w:val="clear" w:color="FFFFCC" w:fill="FFFFFF"/>
            <w:hideMark/>
          </w:tcPr>
          <w:p w14:paraId="5C38FC4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FFFFFF"/>
            <w:hideMark/>
          </w:tcPr>
          <w:p w14:paraId="11325BB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FFFFFF"/>
            <w:hideMark/>
          </w:tcPr>
          <w:p w14:paraId="53F5A9B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hideMark/>
          </w:tcPr>
          <w:p w14:paraId="127BAAD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FFFFFF"/>
            <w:hideMark/>
          </w:tcPr>
          <w:p w14:paraId="2D55D52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c>
          <w:tcPr>
            <w:tcW w:w="1179" w:type="dxa"/>
            <w:tcBorders>
              <w:top w:val="nil"/>
              <w:left w:val="nil"/>
              <w:bottom w:val="single" w:sz="4" w:space="0" w:color="auto"/>
              <w:right w:val="single" w:sz="4" w:space="0" w:color="auto"/>
            </w:tcBorders>
            <w:shd w:val="clear" w:color="FFFFCC" w:fill="FFFFFF"/>
            <w:hideMark/>
          </w:tcPr>
          <w:p w14:paraId="50DEBA8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90%</w:t>
            </w:r>
          </w:p>
        </w:tc>
      </w:tr>
      <w:tr w:rsidR="00873A9F" w:rsidRPr="00873A9F" w14:paraId="698044E3"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03AA729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D9D9D9"/>
            <w:hideMark/>
          </w:tcPr>
          <w:p w14:paraId="3CFA2B2C"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Jeden štát, jeden dizajn, jedno miesto</w:t>
            </w:r>
          </w:p>
        </w:tc>
        <w:tc>
          <w:tcPr>
            <w:tcW w:w="5841" w:type="dxa"/>
            <w:tcBorders>
              <w:top w:val="nil"/>
              <w:left w:val="nil"/>
              <w:bottom w:val="single" w:sz="4" w:space="0" w:color="auto"/>
              <w:right w:val="single" w:sz="4" w:space="0" w:color="auto"/>
            </w:tcBorders>
            <w:shd w:val="clear" w:color="FFFFCC" w:fill="D9D9D9"/>
            <w:hideMark/>
          </w:tcPr>
          <w:p w14:paraId="6457128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Digitálne verejné služby pre podniky</w:t>
            </w:r>
          </w:p>
        </w:tc>
        <w:tc>
          <w:tcPr>
            <w:tcW w:w="1224" w:type="dxa"/>
            <w:tcBorders>
              <w:top w:val="nil"/>
              <w:left w:val="nil"/>
              <w:bottom w:val="single" w:sz="4" w:space="0" w:color="auto"/>
              <w:right w:val="single" w:sz="4" w:space="0" w:color="auto"/>
            </w:tcBorders>
            <w:shd w:val="clear" w:color="FFFFCC" w:fill="D9D9D9"/>
            <w:hideMark/>
          </w:tcPr>
          <w:p w14:paraId="7B6F5D5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D9D9D9"/>
            <w:hideMark/>
          </w:tcPr>
          <w:p w14:paraId="7A5D0D0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 Benchmark</w:t>
            </w:r>
          </w:p>
        </w:tc>
        <w:tc>
          <w:tcPr>
            <w:tcW w:w="970" w:type="dxa"/>
            <w:tcBorders>
              <w:top w:val="nil"/>
              <w:left w:val="nil"/>
              <w:bottom w:val="single" w:sz="4" w:space="0" w:color="auto"/>
              <w:right w:val="single" w:sz="4" w:space="0" w:color="auto"/>
            </w:tcBorders>
            <w:shd w:val="clear" w:color="FFFFCC" w:fill="D9D9D9"/>
            <w:noWrap/>
            <w:hideMark/>
          </w:tcPr>
          <w:p w14:paraId="5EC99C6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84 %</w:t>
            </w:r>
          </w:p>
        </w:tc>
        <w:tc>
          <w:tcPr>
            <w:tcW w:w="1179" w:type="dxa"/>
            <w:tcBorders>
              <w:top w:val="nil"/>
              <w:left w:val="nil"/>
              <w:bottom w:val="single" w:sz="4" w:space="0" w:color="auto"/>
              <w:right w:val="single" w:sz="4" w:space="0" w:color="auto"/>
            </w:tcBorders>
            <w:shd w:val="clear" w:color="FFFFCC" w:fill="D9D9D9"/>
            <w:hideMark/>
          </w:tcPr>
          <w:p w14:paraId="7781498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87%</w:t>
            </w:r>
          </w:p>
        </w:tc>
        <w:tc>
          <w:tcPr>
            <w:tcW w:w="1179" w:type="dxa"/>
            <w:tcBorders>
              <w:top w:val="nil"/>
              <w:left w:val="nil"/>
              <w:bottom w:val="single" w:sz="4" w:space="0" w:color="auto"/>
              <w:right w:val="single" w:sz="4" w:space="0" w:color="auto"/>
            </w:tcBorders>
            <w:shd w:val="clear" w:color="FFFFCC" w:fill="D9D9D9"/>
            <w:hideMark/>
          </w:tcPr>
          <w:p w14:paraId="35EE5F1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90%</w:t>
            </w:r>
          </w:p>
        </w:tc>
        <w:tc>
          <w:tcPr>
            <w:tcW w:w="1179" w:type="dxa"/>
            <w:tcBorders>
              <w:top w:val="nil"/>
              <w:left w:val="nil"/>
              <w:bottom w:val="single" w:sz="4" w:space="0" w:color="auto"/>
              <w:right w:val="single" w:sz="4" w:space="0" w:color="auto"/>
            </w:tcBorders>
            <w:shd w:val="clear" w:color="FFFFCC" w:fill="D9D9D9"/>
            <w:hideMark/>
          </w:tcPr>
          <w:p w14:paraId="14C1CA7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92%</w:t>
            </w:r>
          </w:p>
        </w:tc>
      </w:tr>
      <w:tr w:rsidR="00873A9F" w:rsidRPr="00873A9F" w14:paraId="6785CADA"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78DFB19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D9D9D9"/>
            <w:hideMark/>
          </w:tcPr>
          <w:p w14:paraId="38AE15F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Jeden štát, jeden dizajn, jedno miesto</w:t>
            </w:r>
          </w:p>
        </w:tc>
        <w:tc>
          <w:tcPr>
            <w:tcW w:w="5841" w:type="dxa"/>
            <w:tcBorders>
              <w:top w:val="nil"/>
              <w:left w:val="nil"/>
              <w:bottom w:val="single" w:sz="4" w:space="0" w:color="auto"/>
              <w:right w:val="single" w:sz="4" w:space="0" w:color="auto"/>
            </w:tcBorders>
            <w:shd w:val="clear" w:color="FFFFCC" w:fill="D9D9D9"/>
            <w:hideMark/>
          </w:tcPr>
          <w:p w14:paraId="098CE86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Plná digitalizácia služieb Jednotnej digitálnej brány </w:t>
            </w:r>
          </w:p>
        </w:tc>
        <w:tc>
          <w:tcPr>
            <w:tcW w:w="1224" w:type="dxa"/>
            <w:tcBorders>
              <w:top w:val="nil"/>
              <w:left w:val="nil"/>
              <w:bottom w:val="single" w:sz="4" w:space="0" w:color="auto"/>
              <w:right w:val="single" w:sz="4" w:space="0" w:color="auto"/>
            </w:tcBorders>
            <w:shd w:val="clear" w:color="FFFFCC" w:fill="D9D9D9"/>
            <w:hideMark/>
          </w:tcPr>
          <w:p w14:paraId="7DBCFBE0"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prioritných KS, ktoré sú súčasťou nariadenia</w:t>
            </w:r>
          </w:p>
        </w:tc>
        <w:tc>
          <w:tcPr>
            <w:tcW w:w="1161" w:type="dxa"/>
            <w:tcBorders>
              <w:top w:val="nil"/>
              <w:left w:val="nil"/>
              <w:bottom w:val="single" w:sz="4" w:space="0" w:color="auto"/>
              <w:right w:val="single" w:sz="4" w:space="0" w:color="auto"/>
            </w:tcBorders>
            <w:shd w:val="clear" w:color="FFFFCC" w:fill="D9D9D9"/>
            <w:hideMark/>
          </w:tcPr>
          <w:p w14:paraId="5617CA9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D9D9D9"/>
            <w:noWrap/>
            <w:hideMark/>
          </w:tcPr>
          <w:p w14:paraId="69C4EE2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nie</w:t>
            </w:r>
          </w:p>
        </w:tc>
        <w:tc>
          <w:tcPr>
            <w:tcW w:w="1179" w:type="dxa"/>
            <w:tcBorders>
              <w:top w:val="nil"/>
              <w:left w:val="nil"/>
              <w:bottom w:val="single" w:sz="4" w:space="0" w:color="auto"/>
              <w:right w:val="single" w:sz="4" w:space="0" w:color="auto"/>
            </w:tcBorders>
            <w:shd w:val="clear" w:color="FFFFCC" w:fill="D9D9D9"/>
            <w:hideMark/>
          </w:tcPr>
          <w:p w14:paraId="42F2524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áno</w:t>
            </w:r>
          </w:p>
        </w:tc>
        <w:tc>
          <w:tcPr>
            <w:tcW w:w="1179" w:type="dxa"/>
            <w:tcBorders>
              <w:top w:val="nil"/>
              <w:left w:val="nil"/>
              <w:bottom w:val="single" w:sz="4" w:space="0" w:color="auto"/>
              <w:right w:val="single" w:sz="4" w:space="0" w:color="auto"/>
            </w:tcBorders>
            <w:shd w:val="clear" w:color="FFFFCC" w:fill="D9D9D9"/>
            <w:noWrap/>
            <w:hideMark/>
          </w:tcPr>
          <w:p w14:paraId="654C038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áno</w:t>
            </w:r>
          </w:p>
        </w:tc>
        <w:tc>
          <w:tcPr>
            <w:tcW w:w="1179" w:type="dxa"/>
            <w:tcBorders>
              <w:top w:val="nil"/>
              <w:left w:val="nil"/>
              <w:bottom w:val="single" w:sz="4" w:space="0" w:color="auto"/>
              <w:right w:val="single" w:sz="4" w:space="0" w:color="auto"/>
            </w:tcBorders>
            <w:shd w:val="clear" w:color="FFFFCC" w:fill="D9D9D9"/>
            <w:noWrap/>
            <w:hideMark/>
          </w:tcPr>
          <w:p w14:paraId="30311F2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áno</w:t>
            </w:r>
          </w:p>
        </w:tc>
      </w:tr>
      <w:tr w:rsidR="00873A9F" w:rsidRPr="00873A9F" w14:paraId="5A5FA8A3"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12C3EE4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D9D9D9"/>
            <w:hideMark/>
          </w:tcPr>
          <w:p w14:paraId="0199E96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Jeden štát, jeden dizajn, jedno miesto</w:t>
            </w:r>
          </w:p>
        </w:tc>
        <w:tc>
          <w:tcPr>
            <w:tcW w:w="5841" w:type="dxa"/>
            <w:tcBorders>
              <w:top w:val="nil"/>
              <w:left w:val="nil"/>
              <w:bottom w:val="single" w:sz="4" w:space="0" w:color="auto"/>
              <w:right w:val="single" w:sz="4" w:space="0" w:color="auto"/>
            </w:tcBorders>
            <w:shd w:val="clear" w:color="FFFFCC" w:fill="D9D9D9"/>
            <w:hideMark/>
          </w:tcPr>
          <w:p w14:paraId="089BB75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Počet elektronických podaní voči celkovému počtu podaní všetkými dostupnými kanálmi</w:t>
            </w:r>
          </w:p>
        </w:tc>
        <w:tc>
          <w:tcPr>
            <w:tcW w:w="1224" w:type="dxa"/>
            <w:tcBorders>
              <w:top w:val="nil"/>
              <w:left w:val="nil"/>
              <w:bottom w:val="single" w:sz="4" w:space="0" w:color="auto"/>
              <w:right w:val="single" w:sz="4" w:space="0" w:color="auto"/>
            </w:tcBorders>
            <w:shd w:val="clear" w:color="FFFFCC" w:fill="D9D9D9"/>
            <w:hideMark/>
          </w:tcPr>
          <w:p w14:paraId="58D52A7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04CA325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w:t>
            </w:r>
          </w:p>
        </w:tc>
        <w:tc>
          <w:tcPr>
            <w:tcW w:w="970" w:type="dxa"/>
            <w:tcBorders>
              <w:top w:val="nil"/>
              <w:left w:val="nil"/>
              <w:bottom w:val="single" w:sz="4" w:space="0" w:color="auto"/>
              <w:right w:val="single" w:sz="4" w:space="0" w:color="auto"/>
            </w:tcBorders>
            <w:shd w:val="clear" w:color="FFFFCC" w:fill="D9D9D9"/>
            <w:noWrap/>
            <w:hideMark/>
          </w:tcPr>
          <w:p w14:paraId="5BFA0A5F"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hideMark/>
          </w:tcPr>
          <w:p w14:paraId="226CC56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br/>
            </w:r>
            <w:r w:rsidRPr="00873A9F">
              <w:rPr>
                <w:rFonts w:ascii="Arial Narrow" w:eastAsia="Times New Roman" w:hAnsi="Arial Narrow" w:cs="Calibri"/>
                <w:color w:val="000000"/>
                <w:sz w:val="20"/>
                <w:szCs w:val="20"/>
                <w:lang w:eastAsia="sk-SK"/>
              </w:rPr>
              <w:br/>
              <w:t>40%</w:t>
            </w:r>
          </w:p>
        </w:tc>
        <w:tc>
          <w:tcPr>
            <w:tcW w:w="1179" w:type="dxa"/>
            <w:tcBorders>
              <w:top w:val="nil"/>
              <w:left w:val="nil"/>
              <w:bottom w:val="single" w:sz="4" w:space="0" w:color="auto"/>
              <w:right w:val="single" w:sz="4" w:space="0" w:color="auto"/>
            </w:tcBorders>
            <w:shd w:val="clear" w:color="FFFFCC" w:fill="D9D9D9"/>
            <w:noWrap/>
            <w:hideMark/>
          </w:tcPr>
          <w:p w14:paraId="41DD4FD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D9D9D9"/>
            <w:noWrap/>
            <w:hideMark/>
          </w:tcPr>
          <w:p w14:paraId="624DB68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60%</w:t>
            </w:r>
          </w:p>
        </w:tc>
      </w:tr>
      <w:tr w:rsidR="00873A9F" w:rsidRPr="00873A9F" w14:paraId="7898F780"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22D5686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D9D9D9"/>
            <w:hideMark/>
          </w:tcPr>
          <w:p w14:paraId="7012320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Jeden štát, jeden dizajn, jedno miesto</w:t>
            </w:r>
          </w:p>
        </w:tc>
        <w:tc>
          <w:tcPr>
            <w:tcW w:w="5841" w:type="dxa"/>
            <w:tcBorders>
              <w:top w:val="nil"/>
              <w:left w:val="nil"/>
              <w:bottom w:val="single" w:sz="4" w:space="0" w:color="auto"/>
              <w:right w:val="single" w:sz="4" w:space="0" w:color="auto"/>
            </w:tcBorders>
            <w:shd w:val="clear" w:color="FFFFCC" w:fill="D9D9D9"/>
            <w:hideMark/>
          </w:tcPr>
          <w:p w14:paraId="0516C3E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Podiel responzívnych, webových sídel OVM </w:t>
            </w:r>
          </w:p>
        </w:tc>
        <w:tc>
          <w:tcPr>
            <w:tcW w:w="1224" w:type="dxa"/>
            <w:tcBorders>
              <w:top w:val="nil"/>
              <w:left w:val="nil"/>
              <w:bottom w:val="single" w:sz="4" w:space="0" w:color="auto"/>
              <w:right w:val="single" w:sz="4" w:space="0" w:color="auto"/>
            </w:tcBorders>
            <w:shd w:val="clear" w:color="FFFFCC" w:fill="D9D9D9"/>
            <w:hideMark/>
          </w:tcPr>
          <w:p w14:paraId="55669B7C"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D9D9D9"/>
            <w:hideMark/>
          </w:tcPr>
          <w:p w14:paraId="5C67B5B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D9D9D9"/>
            <w:hideMark/>
          </w:tcPr>
          <w:p w14:paraId="11B32D3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hideMark/>
          </w:tcPr>
          <w:p w14:paraId="21DB250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D9D9D9"/>
            <w:hideMark/>
          </w:tcPr>
          <w:p w14:paraId="6F2822E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60%</w:t>
            </w:r>
          </w:p>
        </w:tc>
        <w:tc>
          <w:tcPr>
            <w:tcW w:w="1179" w:type="dxa"/>
            <w:tcBorders>
              <w:top w:val="nil"/>
              <w:left w:val="nil"/>
              <w:bottom w:val="single" w:sz="4" w:space="0" w:color="auto"/>
              <w:right w:val="single" w:sz="4" w:space="0" w:color="auto"/>
            </w:tcBorders>
            <w:shd w:val="clear" w:color="FFFFCC" w:fill="D9D9D9"/>
            <w:hideMark/>
          </w:tcPr>
          <w:p w14:paraId="71D0F6C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r>
      <w:tr w:rsidR="00873A9F" w:rsidRPr="00873A9F" w14:paraId="4E73DE83"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1F5BF26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D9D9D9"/>
            <w:hideMark/>
          </w:tcPr>
          <w:p w14:paraId="256EE12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Jeden štát, jeden dizajn, jedno miesto</w:t>
            </w:r>
          </w:p>
        </w:tc>
        <w:tc>
          <w:tcPr>
            <w:tcW w:w="5841" w:type="dxa"/>
            <w:tcBorders>
              <w:top w:val="nil"/>
              <w:left w:val="nil"/>
              <w:bottom w:val="single" w:sz="4" w:space="0" w:color="auto"/>
              <w:right w:val="single" w:sz="4" w:space="0" w:color="auto"/>
            </w:tcBorders>
            <w:shd w:val="clear" w:color="FFFFCC" w:fill="D9D9D9"/>
            <w:hideMark/>
          </w:tcPr>
          <w:p w14:paraId="29BFCA6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responzívnych a</w:t>
            </w:r>
            <w:r w:rsidRPr="00873A9F">
              <w:rPr>
                <w:rFonts w:ascii="Arial" w:eastAsia="Times New Roman" w:hAnsi="Arial" w:cs="Arial"/>
                <w:color w:val="000000"/>
                <w:sz w:val="20"/>
                <w:szCs w:val="20"/>
                <w:lang w:eastAsia="sk-SK"/>
              </w:rPr>
              <w:t> </w:t>
            </w:r>
            <w:r w:rsidRPr="00873A9F">
              <w:rPr>
                <w:rFonts w:ascii="Arial Narrow" w:eastAsia="Times New Roman" w:hAnsi="Arial Narrow" w:cs="Calibri"/>
                <w:color w:val="000000"/>
                <w:sz w:val="20"/>
                <w:szCs w:val="20"/>
                <w:lang w:eastAsia="sk-SK"/>
              </w:rPr>
              <w:t>mobilom vyu</w:t>
            </w:r>
            <w:r w:rsidRPr="00873A9F">
              <w:rPr>
                <w:rFonts w:ascii="Arial Narrow" w:eastAsia="Times New Roman" w:hAnsi="Arial Narrow" w:cs="Arial Narrow"/>
                <w:color w:val="000000"/>
                <w:sz w:val="20"/>
                <w:szCs w:val="20"/>
                <w:lang w:eastAsia="sk-SK"/>
              </w:rPr>
              <w:t>ž</w:t>
            </w:r>
            <w:r w:rsidRPr="00873A9F">
              <w:rPr>
                <w:rFonts w:ascii="Arial Narrow" w:eastAsia="Times New Roman" w:hAnsi="Arial Narrow" w:cs="Calibri"/>
                <w:color w:val="000000"/>
                <w:sz w:val="20"/>
                <w:szCs w:val="20"/>
                <w:lang w:eastAsia="sk-SK"/>
              </w:rPr>
              <w:t>ite</w:t>
            </w:r>
            <w:r w:rsidRPr="00873A9F">
              <w:rPr>
                <w:rFonts w:ascii="Arial Narrow" w:eastAsia="Times New Roman" w:hAnsi="Arial Narrow" w:cs="Arial Narrow"/>
                <w:color w:val="000000"/>
                <w:sz w:val="20"/>
                <w:szCs w:val="20"/>
                <w:lang w:eastAsia="sk-SK"/>
              </w:rPr>
              <w:t>ľ</w:t>
            </w:r>
            <w:r w:rsidRPr="00873A9F">
              <w:rPr>
                <w:rFonts w:ascii="Arial Narrow" w:eastAsia="Times New Roman" w:hAnsi="Arial Narrow" w:cs="Calibri"/>
                <w:color w:val="000000"/>
                <w:sz w:val="20"/>
                <w:szCs w:val="20"/>
                <w:lang w:eastAsia="sk-SK"/>
              </w:rPr>
              <w:t>n</w:t>
            </w:r>
            <w:r w:rsidRPr="00873A9F">
              <w:rPr>
                <w:rFonts w:ascii="Arial Narrow" w:eastAsia="Times New Roman" w:hAnsi="Arial Narrow" w:cs="Arial Narrow"/>
                <w:color w:val="000000"/>
                <w:sz w:val="20"/>
                <w:szCs w:val="20"/>
                <w:lang w:eastAsia="sk-SK"/>
              </w:rPr>
              <w:t>ý</w:t>
            </w:r>
            <w:r w:rsidRPr="00873A9F">
              <w:rPr>
                <w:rFonts w:ascii="Arial Narrow" w:eastAsia="Times New Roman" w:hAnsi="Arial Narrow" w:cs="Calibri"/>
                <w:color w:val="000000"/>
                <w:sz w:val="20"/>
                <w:szCs w:val="20"/>
                <w:lang w:eastAsia="sk-SK"/>
              </w:rPr>
              <w:t>ch prioritn</w:t>
            </w:r>
            <w:r w:rsidRPr="00873A9F">
              <w:rPr>
                <w:rFonts w:ascii="Arial Narrow" w:eastAsia="Times New Roman" w:hAnsi="Arial Narrow" w:cs="Arial Narrow"/>
                <w:color w:val="000000"/>
                <w:sz w:val="20"/>
                <w:szCs w:val="20"/>
                <w:lang w:eastAsia="sk-SK"/>
              </w:rPr>
              <w:t>ý</w:t>
            </w:r>
            <w:r w:rsidRPr="00873A9F">
              <w:rPr>
                <w:rFonts w:ascii="Arial Narrow" w:eastAsia="Times New Roman" w:hAnsi="Arial Narrow" w:cs="Calibri"/>
                <w:color w:val="000000"/>
                <w:sz w:val="20"/>
                <w:szCs w:val="20"/>
                <w:lang w:eastAsia="sk-SK"/>
              </w:rPr>
              <w:t>ch koncov</w:t>
            </w:r>
            <w:r w:rsidRPr="00873A9F">
              <w:rPr>
                <w:rFonts w:ascii="Arial Narrow" w:eastAsia="Times New Roman" w:hAnsi="Arial Narrow" w:cs="Arial Narrow"/>
                <w:color w:val="000000"/>
                <w:sz w:val="20"/>
                <w:szCs w:val="20"/>
                <w:lang w:eastAsia="sk-SK"/>
              </w:rPr>
              <w:t>ý</w:t>
            </w:r>
            <w:r w:rsidRPr="00873A9F">
              <w:rPr>
                <w:rFonts w:ascii="Arial Narrow" w:eastAsia="Times New Roman" w:hAnsi="Arial Narrow" w:cs="Calibri"/>
                <w:color w:val="000000"/>
                <w:sz w:val="20"/>
                <w:szCs w:val="20"/>
                <w:lang w:eastAsia="sk-SK"/>
              </w:rPr>
              <w:t>ch slu</w:t>
            </w:r>
            <w:r w:rsidRPr="00873A9F">
              <w:rPr>
                <w:rFonts w:ascii="Arial Narrow" w:eastAsia="Times New Roman" w:hAnsi="Arial Narrow" w:cs="Arial Narrow"/>
                <w:color w:val="000000"/>
                <w:sz w:val="20"/>
                <w:szCs w:val="20"/>
                <w:lang w:eastAsia="sk-SK"/>
              </w:rPr>
              <w:t>ž</w:t>
            </w:r>
            <w:r w:rsidRPr="00873A9F">
              <w:rPr>
                <w:rFonts w:ascii="Arial Narrow" w:eastAsia="Times New Roman" w:hAnsi="Arial Narrow" w:cs="Calibri"/>
                <w:color w:val="000000"/>
                <w:sz w:val="20"/>
                <w:szCs w:val="20"/>
                <w:lang w:eastAsia="sk-SK"/>
              </w:rPr>
              <w:t xml:space="preserve">ieb vo forme webových aplikácií  </w:t>
            </w:r>
          </w:p>
        </w:tc>
        <w:tc>
          <w:tcPr>
            <w:tcW w:w="1224" w:type="dxa"/>
            <w:tcBorders>
              <w:top w:val="nil"/>
              <w:left w:val="nil"/>
              <w:bottom w:val="single" w:sz="4" w:space="0" w:color="auto"/>
              <w:right w:val="single" w:sz="4" w:space="0" w:color="auto"/>
            </w:tcBorders>
            <w:shd w:val="clear" w:color="FFFFCC" w:fill="D9D9D9"/>
            <w:hideMark/>
          </w:tcPr>
          <w:p w14:paraId="3DC42D8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D9D9D9"/>
            <w:hideMark/>
          </w:tcPr>
          <w:p w14:paraId="2A136DA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D9D9D9"/>
            <w:hideMark/>
          </w:tcPr>
          <w:p w14:paraId="4662A929"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hideMark/>
          </w:tcPr>
          <w:p w14:paraId="52006FA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w:t>
            </w:r>
          </w:p>
        </w:tc>
        <w:tc>
          <w:tcPr>
            <w:tcW w:w="1179" w:type="dxa"/>
            <w:tcBorders>
              <w:top w:val="nil"/>
              <w:left w:val="nil"/>
              <w:bottom w:val="single" w:sz="4" w:space="0" w:color="auto"/>
              <w:right w:val="single" w:sz="4" w:space="0" w:color="auto"/>
            </w:tcBorders>
            <w:shd w:val="clear" w:color="FFFFCC" w:fill="D9D9D9"/>
            <w:hideMark/>
          </w:tcPr>
          <w:p w14:paraId="75C8006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D9D9D9"/>
            <w:hideMark/>
          </w:tcPr>
          <w:p w14:paraId="14C46C1A"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r>
      <w:tr w:rsidR="00873A9F" w:rsidRPr="00873A9F" w14:paraId="370E246C"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4E2C22D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single" w:sz="4" w:space="0" w:color="auto"/>
              <w:right w:val="single" w:sz="4" w:space="0" w:color="auto"/>
            </w:tcBorders>
            <w:shd w:val="clear" w:color="FFFFCC" w:fill="D9D9D9"/>
            <w:hideMark/>
          </w:tcPr>
          <w:p w14:paraId="0E41E82E"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Jeden štát, jeden dizajn, jedno miesto</w:t>
            </w:r>
          </w:p>
        </w:tc>
        <w:tc>
          <w:tcPr>
            <w:tcW w:w="5841" w:type="dxa"/>
            <w:tcBorders>
              <w:top w:val="nil"/>
              <w:left w:val="nil"/>
              <w:bottom w:val="single" w:sz="4" w:space="0" w:color="auto"/>
              <w:right w:val="single" w:sz="4" w:space="0" w:color="auto"/>
            </w:tcBorders>
            <w:shd w:val="clear" w:color="FFFFCC" w:fill="D9D9D9"/>
            <w:hideMark/>
          </w:tcPr>
          <w:p w14:paraId="1174DE2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responzívnych, elektronických úradných dokumentov v rámci prioritných koncových služieb</w:t>
            </w:r>
          </w:p>
        </w:tc>
        <w:tc>
          <w:tcPr>
            <w:tcW w:w="1224" w:type="dxa"/>
            <w:tcBorders>
              <w:top w:val="nil"/>
              <w:left w:val="nil"/>
              <w:bottom w:val="single" w:sz="4" w:space="0" w:color="auto"/>
              <w:right w:val="single" w:sz="4" w:space="0" w:color="auto"/>
            </w:tcBorders>
            <w:shd w:val="clear" w:color="FFFFCC" w:fill="D9D9D9"/>
            <w:hideMark/>
          </w:tcPr>
          <w:p w14:paraId="4B7BC69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správcovia KS, ktoré sú súčasťou ŽS hodnotených EK</w:t>
            </w:r>
          </w:p>
        </w:tc>
        <w:tc>
          <w:tcPr>
            <w:tcW w:w="1161" w:type="dxa"/>
            <w:tcBorders>
              <w:top w:val="nil"/>
              <w:left w:val="nil"/>
              <w:bottom w:val="single" w:sz="4" w:space="0" w:color="auto"/>
              <w:right w:val="single" w:sz="4" w:space="0" w:color="auto"/>
            </w:tcBorders>
            <w:shd w:val="clear" w:color="FFFFCC" w:fill="D9D9D9"/>
            <w:hideMark/>
          </w:tcPr>
          <w:p w14:paraId="667ED78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D9D9D9"/>
            <w:hideMark/>
          </w:tcPr>
          <w:p w14:paraId="2B1EA71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hideMark/>
          </w:tcPr>
          <w:p w14:paraId="51FBEEE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D9D9D9"/>
            <w:hideMark/>
          </w:tcPr>
          <w:p w14:paraId="4909B2F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70%</w:t>
            </w:r>
          </w:p>
        </w:tc>
        <w:tc>
          <w:tcPr>
            <w:tcW w:w="1179" w:type="dxa"/>
            <w:tcBorders>
              <w:top w:val="nil"/>
              <w:left w:val="nil"/>
              <w:bottom w:val="single" w:sz="4" w:space="0" w:color="auto"/>
              <w:right w:val="single" w:sz="4" w:space="0" w:color="auto"/>
            </w:tcBorders>
            <w:shd w:val="clear" w:color="FFFFCC" w:fill="D9D9D9"/>
            <w:hideMark/>
          </w:tcPr>
          <w:p w14:paraId="1423A8C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r>
      <w:tr w:rsidR="00873A9F" w:rsidRPr="00873A9F" w14:paraId="76229900"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3498061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lastRenderedPageBreak/>
              <w:t>DT</w:t>
            </w:r>
          </w:p>
        </w:tc>
        <w:tc>
          <w:tcPr>
            <w:tcW w:w="1120" w:type="dxa"/>
            <w:tcBorders>
              <w:top w:val="nil"/>
              <w:left w:val="nil"/>
              <w:bottom w:val="single" w:sz="4" w:space="0" w:color="auto"/>
              <w:right w:val="single" w:sz="4" w:space="0" w:color="auto"/>
            </w:tcBorders>
            <w:shd w:val="clear" w:color="FFFFCC" w:fill="FFFFFF"/>
            <w:hideMark/>
          </w:tcPr>
          <w:p w14:paraId="472DBB4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Zásadná zmena fungovania VS</w:t>
            </w:r>
          </w:p>
        </w:tc>
        <w:tc>
          <w:tcPr>
            <w:tcW w:w="5841" w:type="dxa"/>
            <w:tcBorders>
              <w:top w:val="nil"/>
              <w:left w:val="nil"/>
              <w:bottom w:val="single" w:sz="4" w:space="0" w:color="auto"/>
              <w:right w:val="single" w:sz="4" w:space="0" w:color="auto"/>
            </w:tcBorders>
            <w:shd w:val="clear" w:color="FFFFCC" w:fill="FFFFFF"/>
            <w:hideMark/>
          </w:tcPr>
          <w:p w14:paraId="40766B5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Počet prevádzkovaných agendových IS poskytujúcich otvorené API</w:t>
            </w:r>
          </w:p>
        </w:tc>
        <w:tc>
          <w:tcPr>
            <w:tcW w:w="1224" w:type="dxa"/>
            <w:tcBorders>
              <w:top w:val="nil"/>
              <w:left w:val="nil"/>
              <w:bottom w:val="single" w:sz="4" w:space="0" w:color="auto"/>
              <w:right w:val="single" w:sz="4" w:space="0" w:color="auto"/>
            </w:tcBorders>
            <w:shd w:val="clear" w:color="FFFFCC" w:fill="FFFFFF"/>
            <w:hideMark/>
          </w:tcPr>
          <w:p w14:paraId="1A0176B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FFFFFF"/>
            <w:hideMark/>
          </w:tcPr>
          <w:p w14:paraId="453469E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w:t>
            </w:r>
          </w:p>
        </w:tc>
        <w:tc>
          <w:tcPr>
            <w:tcW w:w="970" w:type="dxa"/>
            <w:tcBorders>
              <w:top w:val="nil"/>
              <w:left w:val="nil"/>
              <w:bottom w:val="single" w:sz="4" w:space="0" w:color="auto"/>
              <w:right w:val="single" w:sz="4" w:space="0" w:color="auto"/>
            </w:tcBorders>
            <w:shd w:val="clear" w:color="FFFFCC" w:fill="FFFFFF"/>
            <w:noWrap/>
            <w:hideMark/>
          </w:tcPr>
          <w:p w14:paraId="06D0975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FFFFCC" w:fill="FFFFFF"/>
            <w:noWrap/>
            <w:hideMark/>
          </w:tcPr>
          <w:p w14:paraId="0B49DFB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FFFFFF"/>
            <w:noWrap/>
            <w:hideMark/>
          </w:tcPr>
          <w:p w14:paraId="2C170D9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65%</w:t>
            </w:r>
          </w:p>
        </w:tc>
        <w:tc>
          <w:tcPr>
            <w:tcW w:w="1179" w:type="dxa"/>
            <w:tcBorders>
              <w:top w:val="nil"/>
              <w:left w:val="nil"/>
              <w:bottom w:val="single" w:sz="4" w:space="0" w:color="auto"/>
              <w:right w:val="single" w:sz="4" w:space="0" w:color="auto"/>
            </w:tcBorders>
            <w:shd w:val="clear" w:color="FFFFCC" w:fill="FFFFFF"/>
            <w:noWrap/>
            <w:hideMark/>
          </w:tcPr>
          <w:p w14:paraId="0B70817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80%</w:t>
            </w:r>
          </w:p>
        </w:tc>
      </w:tr>
      <w:tr w:rsidR="00873A9F" w:rsidRPr="00873A9F" w14:paraId="09EABFE5"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285483B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DT</w:t>
            </w:r>
          </w:p>
        </w:tc>
        <w:tc>
          <w:tcPr>
            <w:tcW w:w="1120" w:type="dxa"/>
            <w:tcBorders>
              <w:top w:val="nil"/>
              <w:left w:val="nil"/>
              <w:bottom w:val="single" w:sz="4" w:space="0" w:color="auto"/>
              <w:right w:val="single" w:sz="4" w:space="0" w:color="auto"/>
            </w:tcBorders>
            <w:shd w:val="clear" w:color="FFFFCC" w:fill="FFFFFF"/>
            <w:hideMark/>
          </w:tcPr>
          <w:p w14:paraId="4D4EFBD8"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Zásadná zmena fungovania VS</w:t>
            </w:r>
          </w:p>
        </w:tc>
        <w:tc>
          <w:tcPr>
            <w:tcW w:w="5841" w:type="dxa"/>
            <w:tcBorders>
              <w:top w:val="nil"/>
              <w:left w:val="nil"/>
              <w:bottom w:val="single" w:sz="4" w:space="0" w:color="auto"/>
              <w:right w:val="single" w:sz="4" w:space="0" w:color="auto"/>
            </w:tcBorders>
            <w:shd w:val="clear" w:color="FFFFCC" w:fill="FFFFFF"/>
            <w:hideMark/>
          </w:tcPr>
          <w:p w14:paraId="6A2075E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ÚOŠS, ktoré poskytuju referečné údaje prostredníctvom API pre dereferenciáciu zdrojov pre potreby dátovej integrácie</w:t>
            </w:r>
          </w:p>
        </w:tc>
        <w:tc>
          <w:tcPr>
            <w:tcW w:w="1224" w:type="dxa"/>
            <w:tcBorders>
              <w:top w:val="nil"/>
              <w:left w:val="nil"/>
              <w:bottom w:val="single" w:sz="4" w:space="0" w:color="auto"/>
              <w:right w:val="single" w:sz="4" w:space="0" w:color="auto"/>
            </w:tcBorders>
            <w:shd w:val="clear" w:color="FFFFCC" w:fill="FFFFFF"/>
            <w:hideMark/>
          </w:tcPr>
          <w:p w14:paraId="7A589A26"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FFFFFF"/>
            <w:hideMark/>
          </w:tcPr>
          <w:p w14:paraId="341EA59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w:t>
            </w:r>
          </w:p>
        </w:tc>
        <w:tc>
          <w:tcPr>
            <w:tcW w:w="970" w:type="dxa"/>
            <w:tcBorders>
              <w:top w:val="nil"/>
              <w:left w:val="nil"/>
              <w:bottom w:val="single" w:sz="4" w:space="0" w:color="auto"/>
              <w:right w:val="single" w:sz="4" w:space="0" w:color="auto"/>
            </w:tcBorders>
            <w:shd w:val="clear" w:color="FFFFCC" w:fill="FFFFFF"/>
            <w:noWrap/>
            <w:hideMark/>
          </w:tcPr>
          <w:p w14:paraId="16C30FAF"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noWrap/>
            <w:hideMark/>
          </w:tcPr>
          <w:p w14:paraId="543D7C2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33%</w:t>
            </w:r>
          </w:p>
        </w:tc>
        <w:tc>
          <w:tcPr>
            <w:tcW w:w="1179" w:type="dxa"/>
            <w:tcBorders>
              <w:top w:val="nil"/>
              <w:left w:val="nil"/>
              <w:bottom w:val="single" w:sz="4" w:space="0" w:color="auto"/>
              <w:right w:val="single" w:sz="4" w:space="0" w:color="auto"/>
            </w:tcBorders>
            <w:shd w:val="clear" w:color="FFFFCC" w:fill="FFFFFF"/>
            <w:noWrap/>
            <w:hideMark/>
          </w:tcPr>
          <w:p w14:paraId="55D093E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66%</w:t>
            </w:r>
          </w:p>
        </w:tc>
        <w:tc>
          <w:tcPr>
            <w:tcW w:w="1179" w:type="dxa"/>
            <w:tcBorders>
              <w:top w:val="nil"/>
              <w:left w:val="nil"/>
              <w:bottom w:val="single" w:sz="4" w:space="0" w:color="auto"/>
              <w:right w:val="single" w:sz="4" w:space="0" w:color="auto"/>
            </w:tcBorders>
            <w:shd w:val="clear" w:color="FFFFCC" w:fill="FFFFFF"/>
            <w:noWrap/>
            <w:hideMark/>
          </w:tcPr>
          <w:p w14:paraId="3DC6AD1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100 %</w:t>
            </w:r>
          </w:p>
        </w:tc>
      </w:tr>
      <w:tr w:rsidR="00873A9F" w:rsidRPr="00873A9F" w14:paraId="6EE8D1E9"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0DD06FB0"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DT</w:t>
            </w:r>
          </w:p>
        </w:tc>
        <w:tc>
          <w:tcPr>
            <w:tcW w:w="1120" w:type="dxa"/>
            <w:tcBorders>
              <w:top w:val="nil"/>
              <w:left w:val="nil"/>
              <w:bottom w:val="single" w:sz="4" w:space="0" w:color="auto"/>
              <w:right w:val="single" w:sz="4" w:space="0" w:color="auto"/>
            </w:tcBorders>
            <w:shd w:val="clear" w:color="FFFFCC" w:fill="FFFFFF"/>
            <w:hideMark/>
          </w:tcPr>
          <w:p w14:paraId="10596EF5"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Zásadná zmena fungovania VS</w:t>
            </w:r>
          </w:p>
        </w:tc>
        <w:tc>
          <w:tcPr>
            <w:tcW w:w="5841" w:type="dxa"/>
            <w:tcBorders>
              <w:top w:val="nil"/>
              <w:left w:val="nil"/>
              <w:bottom w:val="single" w:sz="4" w:space="0" w:color="auto"/>
              <w:right w:val="single" w:sz="4" w:space="0" w:color="auto"/>
            </w:tcBorders>
            <w:shd w:val="clear" w:color="FFFFCC" w:fill="FFFFFF"/>
            <w:hideMark/>
          </w:tcPr>
          <w:p w14:paraId="5202737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Podiel ÚOŠS, ktoré poskytujú sprístupniteľné otvorené údaje prostredníctvom otvoreného API pre dereferenciáciu zdrojov. </w:t>
            </w:r>
          </w:p>
        </w:tc>
        <w:tc>
          <w:tcPr>
            <w:tcW w:w="1224" w:type="dxa"/>
            <w:tcBorders>
              <w:top w:val="nil"/>
              <w:left w:val="nil"/>
              <w:bottom w:val="single" w:sz="4" w:space="0" w:color="auto"/>
              <w:right w:val="single" w:sz="4" w:space="0" w:color="auto"/>
            </w:tcBorders>
            <w:shd w:val="clear" w:color="FFFFCC" w:fill="FFFFFF"/>
            <w:hideMark/>
          </w:tcPr>
          <w:p w14:paraId="43135FA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FFFFFF"/>
            <w:hideMark/>
          </w:tcPr>
          <w:p w14:paraId="5948C2C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w:t>
            </w:r>
          </w:p>
        </w:tc>
        <w:tc>
          <w:tcPr>
            <w:tcW w:w="970" w:type="dxa"/>
            <w:tcBorders>
              <w:top w:val="nil"/>
              <w:left w:val="nil"/>
              <w:bottom w:val="single" w:sz="4" w:space="0" w:color="auto"/>
              <w:right w:val="single" w:sz="4" w:space="0" w:color="auto"/>
            </w:tcBorders>
            <w:shd w:val="clear" w:color="FFFFCC" w:fill="FFFFFF"/>
            <w:noWrap/>
            <w:hideMark/>
          </w:tcPr>
          <w:p w14:paraId="5765794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FFFFFF"/>
            <w:noWrap/>
            <w:hideMark/>
          </w:tcPr>
          <w:p w14:paraId="6AEB687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33%</w:t>
            </w:r>
          </w:p>
        </w:tc>
        <w:tc>
          <w:tcPr>
            <w:tcW w:w="1179" w:type="dxa"/>
            <w:tcBorders>
              <w:top w:val="nil"/>
              <w:left w:val="nil"/>
              <w:bottom w:val="single" w:sz="4" w:space="0" w:color="auto"/>
              <w:right w:val="single" w:sz="4" w:space="0" w:color="auto"/>
            </w:tcBorders>
            <w:shd w:val="clear" w:color="FFFFCC" w:fill="FFFFFF"/>
            <w:noWrap/>
            <w:hideMark/>
          </w:tcPr>
          <w:p w14:paraId="6413BA3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66%</w:t>
            </w:r>
          </w:p>
        </w:tc>
        <w:tc>
          <w:tcPr>
            <w:tcW w:w="1179" w:type="dxa"/>
            <w:tcBorders>
              <w:top w:val="nil"/>
              <w:left w:val="nil"/>
              <w:bottom w:val="single" w:sz="4" w:space="0" w:color="auto"/>
              <w:right w:val="single" w:sz="4" w:space="0" w:color="auto"/>
            </w:tcBorders>
            <w:shd w:val="clear" w:color="FFFFCC" w:fill="FFFFFF"/>
            <w:noWrap/>
            <w:hideMark/>
          </w:tcPr>
          <w:p w14:paraId="63DB4B6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100 %</w:t>
            </w:r>
          </w:p>
        </w:tc>
      </w:tr>
      <w:tr w:rsidR="00873A9F" w:rsidRPr="00873A9F" w14:paraId="0D38CBB2"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74C9BE8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7A9EDD4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3B9C4C2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ÚOŠS, ktoré stotožňujú a referencujú údaje</w:t>
            </w:r>
          </w:p>
        </w:tc>
        <w:tc>
          <w:tcPr>
            <w:tcW w:w="1224" w:type="dxa"/>
            <w:tcBorders>
              <w:top w:val="nil"/>
              <w:left w:val="nil"/>
              <w:bottom w:val="single" w:sz="4" w:space="0" w:color="auto"/>
              <w:right w:val="single" w:sz="4" w:space="0" w:color="auto"/>
            </w:tcBorders>
            <w:shd w:val="clear" w:color="FFFFCC" w:fill="D9D9D9"/>
            <w:hideMark/>
          </w:tcPr>
          <w:p w14:paraId="7622602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1FCF151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 IS CSRÚ</w:t>
            </w:r>
          </w:p>
        </w:tc>
        <w:tc>
          <w:tcPr>
            <w:tcW w:w="970" w:type="dxa"/>
            <w:tcBorders>
              <w:top w:val="nil"/>
              <w:left w:val="nil"/>
              <w:bottom w:val="single" w:sz="4" w:space="0" w:color="auto"/>
              <w:right w:val="single" w:sz="4" w:space="0" w:color="auto"/>
            </w:tcBorders>
            <w:shd w:val="clear" w:color="FFFFCC" w:fill="D9D9D9"/>
            <w:noWrap/>
            <w:hideMark/>
          </w:tcPr>
          <w:p w14:paraId="66695FF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noWrap/>
            <w:hideMark/>
          </w:tcPr>
          <w:p w14:paraId="739422B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D9D9D9"/>
            <w:noWrap/>
            <w:hideMark/>
          </w:tcPr>
          <w:p w14:paraId="150463A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c>
          <w:tcPr>
            <w:tcW w:w="1179" w:type="dxa"/>
            <w:tcBorders>
              <w:top w:val="nil"/>
              <w:left w:val="nil"/>
              <w:bottom w:val="single" w:sz="4" w:space="0" w:color="auto"/>
              <w:right w:val="single" w:sz="4" w:space="0" w:color="auto"/>
            </w:tcBorders>
            <w:shd w:val="clear" w:color="FFFFCC" w:fill="D9D9D9"/>
            <w:noWrap/>
            <w:hideMark/>
          </w:tcPr>
          <w:p w14:paraId="646EE44A"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100 %</w:t>
            </w:r>
          </w:p>
        </w:tc>
      </w:tr>
      <w:tr w:rsidR="00873A9F" w:rsidRPr="00873A9F" w14:paraId="59549670"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56EB12D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133F0EF6"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752DBE1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ÚOŠS, ktoré poskytujú referenčné údaje do IS CSRÚ</w:t>
            </w:r>
          </w:p>
        </w:tc>
        <w:tc>
          <w:tcPr>
            <w:tcW w:w="1224" w:type="dxa"/>
            <w:tcBorders>
              <w:top w:val="nil"/>
              <w:left w:val="nil"/>
              <w:bottom w:val="single" w:sz="4" w:space="0" w:color="auto"/>
              <w:right w:val="single" w:sz="4" w:space="0" w:color="auto"/>
            </w:tcBorders>
            <w:shd w:val="clear" w:color="FFFFCC" w:fill="D9D9D9"/>
            <w:hideMark/>
          </w:tcPr>
          <w:p w14:paraId="76E1960C"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47463E9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 IS CSRÚ</w:t>
            </w:r>
          </w:p>
        </w:tc>
        <w:tc>
          <w:tcPr>
            <w:tcW w:w="970" w:type="dxa"/>
            <w:tcBorders>
              <w:top w:val="nil"/>
              <w:left w:val="nil"/>
              <w:bottom w:val="single" w:sz="4" w:space="0" w:color="auto"/>
              <w:right w:val="single" w:sz="4" w:space="0" w:color="auto"/>
            </w:tcBorders>
            <w:shd w:val="clear" w:color="FFFFCC" w:fill="D9D9D9"/>
            <w:noWrap/>
            <w:hideMark/>
          </w:tcPr>
          <w:p w14:paraId="6CDB5CC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noWrap/>
            <w:hideMark/>
          </w:tcPr>
          <w:p w14:paraId="3682194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D9D9D9"/>
            <w:noWrap/>
            <w:hideMark/>
          </w:tcPr>
          <w:p w14:paraId="38117A0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75%</w:t>
            </w:r>
          </w:p>
        </w:tc>
        <w:tc>
          <w:tcPr>
            <w:tcW w:w="1179" w:type="dxa"/>
            <w:tcBorders>
              <w:top w:val="nil"/>
              <w:left w:val="nil"/>
              <w:bottom w:val="single" w:sz="4" w:space="0" w:color="auto"/>
              <w:right w:val="single" w:sz="4" w:space="0" w:color="auto"/>
            </w:tcBorders>
            <w:shd w:val="clear" w:color="FFFFCC" w:fill="D9D9D9"/>
            <w:noWrap/>
            <w:hideMark/>
          </w:tcPr>
          <w:p w14:paraId="1182932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100 %</w:t>
            </w:r>
          </w:p>
        </w:tc>
      </w:tr>
      <w:tr w:rsidR="00873A9F" w:rsidRPr="00873A9F" w14:paraId="70D276EF"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1D1C1AE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5A41166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0E05BC1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Počet objektov evidencie dostupných pre zdieľanie prostredníctvom IS CSRÚ </w:t>
            </w:r>
          </w:p>
        </w:tc>
        <w:tc>
          <w:tcPr>
            <w:tcW w:w="1224" w:type="dxa"/>
            <w:tcBorders>
              <w:top w:val="nil"/>
              <w:left w:val="nil"/>
              <w:bottom w:val="single" w:sz="4" w:space="0" w:color="auto"/>
              <w:right w:val="single" w:sz="4" w:space="0" w:color="auto"/>
            </w:tcBorders>
            <w:shd w:val="clear" w:color="FFFFCC" w:fill="D9D9D9"/>
            <w:hideMark/>
          </w:tcPr>
          <w:p w14:paraId="0D0CD708"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40A2153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IS CSRÚ</w:t>
            </w:r>
          </w:p>
        </w:tc>
        <w:tc>
          <w:tcPr>
            <w:tcW w:w="970" w:type="dxa"/>
            <w:tcBorders>
              <w:top w:val="nil"/>
              <w:left w:val="nil"/>
              <w:bottom w:val="single" w:sz="4" w:space="0" w:color="auto"/>
              <w:right w:val="single" w:sz="4" w:space="0" w:color="auto"/>
            </w:tcBorders>
            <w:shd w:val="clear" w:color="FFFFCC" w:fill="D9D9D9"/>
            <w:noWrap/>
            <w:hideMark/>
          </w:tcPr>
          <w:p w14:paraId="25159C0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noWrap/>
            <w:hideMark/>
          </w:tcPr>
          <w:p w14:paraId="490E99D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250</w:t>
            </w:r>
          </w:p>
        </w:tc>
        <w:tc>
          <w:tcPr>
            <w:tcW w:w="1179" w:type="dxa"/>
            <w:tcBorders>
              <w:top w:val="nil"/>
              <w:left w:val="nil"/>
              <w:bottom w:val="single" w:sz="4" w:space="0" w:color="auto"/>
              <w:right w:val="single" w:sz="4" w:space="0" w:color="auto"/>
            </w:tcBorders>
            <w:shd w:val="clear" w:color="FFFFCC" w:fill="D9D9D9"/>
            <w:noWrap/>
            <w:hideMark/>
          </w:tcPr>
          <w:p w14:paraId="5030D83F"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280</w:t>
            </w:r>
          </w:p>
        </w:tc>
        <w:tc>
          <w:tcPr>
            <w:tcW w:w="1179" w:type="dxa"/>
            <w:tcBorders>
              <w:top w:val="nil"/>
              <w:left w:val="nil"/>
              <w:bottom w:val="single" w:sz="4" w:space="0" w:color="auto"/>
              <w:right w:val="single" w:sz="4" w:space="0" w:color="auto"/>
            </w:tcBorders>
            <w:shd w:val="clear" w:color="FFFFCC" w:fill="D9D9D9"/>
            <w:noWrap/>
            <w:hideMark/>
          </w:tcPr>
          <w:p w14:paraId="7CE4CE7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300</w:t>
            </w:r>
          </w:p>
        </w:tc>
      </w:tr>
      <w:tr w:rsidR="00873A9F" w:rsidRPr="00873A9F" w14:paraId="6C44D730"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5529B3D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3BE4690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449D7D3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zverejnených otvorených údajov na portáli data.gov.sk</w:t>
            </w:r>
          </w:p>
        </w:tc>
        <w:tc>
          <w:tcPr>
            <w:tcW w:w="1224" w:type="dxa"/>
            <w:tcBorders>
              <w:top w:val="nil"/>
              <w:left w:val="nil"/>
              <w:bottom w:val="single" w:sz="4" w:space="0" w:color="auto"/>
              <w:right w:val="single" w:sz="4" w:space="0" w:color="auto"/>
            </w:tcBorders>
            <w:shd w:val="clear" w:color="FFFFCC" w:fill="D9D9D9"/>
            <w:hideMark/>
          </w:tcPr>
          <w:p w14:paraId="68DA959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24AA2C3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data.gov.sk</w:t>
            </w:r>
          </w:p>
        </w:tc>
        <w:tc>
          <w:tcPr>
            <w:tcW w:w="970" w:type="dxa"/>
            <w:tcBorders>
              <w:top w:val="nil"/>
              <w:left w:val="nil"/>
              <w:bottom w:val="single" w:sz="4" w:space="0" w:color="auto"/>
              <w:right w:val="single" w:sz="4" w:space="0" w:color="auto"/>
            </w:tcBorders>
            <w:shd w:val="clear" w:color="FFFFCC" w:fill="D9D9D9"/>
            <w:noWrap/>
            <w:hideMark/>
          </w:tcPr>
          <w:p w14:paraId="2F6FB3D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noWrap/>
            <w:hideMark/>
          </w:tcPr>
          <w:p w14:paraId="6B541CB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100 %</w:t>
            </w:r>
          </w:p>
        </w:tc>
        <w:tc>
          <w:tcPr>
            <w:tcW w:w="1179" w:type="dxa"/>
            <w:tcBorders>
              <w:top w:val="nil"/>
              <w:left w:val="nil"/>
              <w:bottom w:val="single" w:sz="4" w:space="0" w:color="auto"/>
              <w:right w:val="single" w:sz="4" w:space="0" w:color="auto"/>
            </w:tcBorders>
            <w:shd w:val="clear" w:color="FFFFCC" w:fill="D9D9D9"/>
            <w:noWrap/>
            <w:hideMark/>
          </w:tcPr>
          <w:p w14:paraId="14DEAD3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100 %</w:t>
            </w:r>
          </w:p>
        </w:tc>
        <w:tc>
          <w:tcPr>
            <w:tcW w:w="1179" w:type="dxa"/>
            <w:tcBorders>
              <w:top w:val="nil"/>
              <w:left w:val="nil"/>
              <w:bottom w:val="single" w:sz="4" w:space="0" w:color="auto"/>
              <w:right w:val="single" w:sz="4" w:space="0" w:color="auto"/>
            </w:tcBorders>
            <w:shd w:val="clear" w:color="FFFFCC" w:fill="D9D9D9"/>
            <w:noWrap/>
            <w:hideMark/>
          </w:tcPr>
          <w:p w14:paraId="3DA7DFE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100 %</w:t>
            </w:r>
          </w:p>
        </w:tc>
      </w:tr>
      <w:tr w:rsidR="00873A9F" w:rsidRPr="00873A9F" w14:paraId="1EA60401"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2800307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2A5031F4"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6199269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Zlepšenie postavenia v hodnotení OpenData Maturity Index Európskeho dátového portálu</w:t>
            </w:r>
          </w:p>
        </w:tc>
        <w:tc>
          <w:tcPr>
            <w:tcW w:w="1224" w:type="dxa"/>
            <w:tcBorders>
              <w:top w:val="nil"/>
              <w:left w:val="nil"/>
              <w:bottom w:val="single" w:sz="4" w:space="0" w:color="auto"/>
              <w:right w:val="single" w:sz="4" w:space="0" w:color="auto"/>
            </w:tcBorders>
            <w:shd w:val="clear" w:color="FFFFCC" w:fill="D9D9D9"/>
            <w:hideMark/>
          </w:tcPr>
          <w:p w14:paraId="4B6B7874"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74F8DA0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Open Data Maturity Index/Európsky dátový portál</w:t>
            </w:r>
          </w:p>
        </w:tc>
        <w:tc>
          <w:tcPr>
            <w:tcW w:w="970" w:type="dxa"/>
            <w:tcBorders>
              <w:top w:val="nil"/>
              <w:left w:val="nil"/>
              <w:bottom w:val="single" w:sz="4" w:space="0" w:color="auto"/>
              <w:right w:val="single" w:sz="4" w:space="0" w:color="auto"/>
            </w:tcBorders>
            <w:shd w:val="clear" w:color="FFFFCC" w:fill="D9D9D9"/>
            <w:hideMark/>
          </w:tcPr>
          <w:p w14:paraId="09D1EB6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28. miesto z 35 hodnotených </w:t>
            </w:r>
          </w:p>
        </w:tc>
        <w:tc>
          <w:tcPr>
            <w:tcW w:w="1179" w:type="dxa"/>
            <w:tcBorders>
              <w:top w:val="nil"/>
              <w:left w:val="nil"/>
              <w:bottom w:val="single" w:sz="4" w:space="0" w:color="auto"/>
              <w:right w:val="single" w:sz="4" w:space="0" w:color="auto"/>
            </w:tcBorders>
            <w:shd w:val="clear" w:color="FFFFCC" w:fill="D9D9D9"/>
            <w:noWrap/>
            <w:hideMark/>
          </w:tcPr>
          <w:p w14:paraId="553FCD2A"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nad priemer EÚ</w:t>
            </w:r>
          </w:p>
        </w:tc>
        <w:tc>
          <w:tcPr>
            <w:tcW w:w="1179" w:type="dxa"/>
            <w:tcBorders>
              <w:top w:val="nil"/>
              <w:left w:val="nil"/>
              <w:bottom w:val="single" w:sz="4" w:space="0" w:color="auto"/>
              <w:right w:val="single" w:sz="4" w:space="0" w:color="auto"/>
            </w:tcBorders>
            <w:shd w:val="clear" w:color="FFFFCC" w:fill="D9D9D9"/>
            <w:noWrap/>
            <w:hideMark/>
          </w:tcPr>
          <w:p w14:paraId="0BAEB7C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nad priemer EÚ</w:t>
            </w:r>
          </w:p>
        </w:tc>
        <w:tc>
          <w:tcPr>
            <w:tcW w:w="1179" w:type="dxa"/>
            <w:tcBorders>
              <w:top w:val="nil"/>
              <w:left w:val="nil"/>
              <w:bottom w:val="single" w:sz="4" w:space="0" w:color="auto"/>
              <w:right w:val="single" w:sz="4" w:space="0" w:color="auto"/>
            </w:tcBorders>
            <w:shd w:val="clear" w:color="FFFFCC" w:fill="D9D9D9"/>
            <w:noWrap/>
            <w:hideMark/>
          </w:tcPr>
          <w:p w14:paraId="48CDEA6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nad priemer EÚ</w:t>
            </w:r>
          </w:p>
        </w:tc>
      </w:tr>
      <w:tr w:rsidR="00873A9F" w:rsidRPr="00873A9F" w14:paraId="00CCEA3A"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61F44FA3"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749FFFAC"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3920530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ÚOŠS, ktoré realizujú aspoň jedno meranie dátovej kvality ročne, voči všetkým ÚOŠS.</w:t>
            </w:r>
          </w:p>
        </w:tc>
        <w:tc>
          <w:tcPr>
            <w:tcW w:w="1224" w:type="dxa"/>
            <w:tcBorders>
              <w:top w:val="nil"/>
              <w:left w:val="nil"/>
              <w:bottom w:val="single" w:sz="4" w:space="0" w:color="auto"/>
              <w:right w:val="single" w:sz="4" w:space="0" w:color="auto"/>
            </w:tcBorders>
            <w:shd w:val="clear" w:color="FFFFCC" w:fill="D9D9D9"/>
            <w:hideMark/>
          </w:tcPr>
          <w:p w14:paraId="281F3DBE"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51906CF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D9D9D9"/>
            <w:noWrap/>
            <w:hideMark/>
          </w:tcPr>
          <w:p w14:paraId="2CB098B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33%</w:t>
            </w:r>
          </w:p>
        </w:tc>
        <w:tc>
          <w:tcPr>
            <w:tcW w:w="1179" w:type="dxa"/>
            <w:tcBorders>
              <w:top w:val="nil"/>
              <w:left w:val="nil"/>
              <w:bottom w:val="single" w:sz="4" w:space="0" w:color="auto"/>
              <w:right w:val="single" w:sz="4" w:space="0" w:color="auto"/>
            </w:tcBorders>
            <w:shd w:val="clear" w:color="FFFFCC" w:fill="D9D9D9"/>
            <w:noWrap/>
            <w:hideMark/>
          </w:tcPr>
          <w:p w14:paraId="0DDEA62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95%</w:t>
            </w:r>
          </w:p>
        </w:tc>
        <w:tc>
          <w:tcPr>
            <w:tcW w:w="1179" w:type="dxa"/>
            <w:tcBorders>
              <w:top w:val="nil"/>
              <w:left w:val="nil"/>
              <w:bottom w:val="single" w:sz="4" w:space="0" w:color="auto"/>
              <w:right w:val="single" w:sz="4" w:space="0" w:color="auto"/>
            </w:tcBorders>
            <w:shd w:val="clear" w:color="FFFFCC" w:fill="D9D9D9"/>
            <w:noWrap/>
            <w:hideMark/>
          </w:tcPr>
          <w:p w14:paraId="3198F69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c>
          <w:tcPr>
            <w:tcW w:w="1179" w:type="dxa"/>
            <w:tcBorders>
              <w:top w:val="nil"/>
              <w:left w:val="nil"/>
              <w:bottom w:val="single" w:sz="4" w:space="0" w:color="auto"/>
              <w:right w:val="single" w:sz="4" w:space="0" w:color="auto"/>
            </w:tcBorders>
            <w:shd w:val="clear" w:color="FFFFCC" w:fill="D9D9D9"/>
            <w:noWrap/>
            <w:hideMark/>
          </w:tcPr>
          <w:p w14:paraId="5437EEB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r>
      <w:tr w:rsidR="00873A9F" w:rsidRPr="00873A9F" w14:paraId="5C49E83E"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50425217"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1B541DD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05098C1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agendových IS, pri ktorých sa realizuje automatizované meranie dátovej kvality, voči všetkým agendových IS ÚOŠS</w:t>
            </w:r>
          </w:p>
        </w:tc>
        <w:tc>
          <w:tcPr>
            <w:tcW w:w="1224" w:type="dxa"/>
            <w:tcBorders>
              <w:top w:val="nil"/>
              <w:left w:val="nil"/>
              <w:bottom w:val="single" w:sz="4" w:space="0" w:color="auto"/>
              <w:right w:val="single" w:sz="4" w:space="0" w:color="auto"/>
            </w:tcBorders>
            <w:shd w:val="clear" w:color="FFFFCC" w:fill="D9D9D9"/>
            <w:hideMark/>
          </w:tcPr>
          <w:p w14:paraId="5A50E131"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6BDBF88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D9D9D9"/>
            <w:noWrap/>
            <w:hideMark/>
          </w:tcPr>
          <w:p w14:paraId="70DA4A2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noWrap/>
            <w:hideMark/>
          </w:tcPr>
          <w:p w14:paraId="015C995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w:t>
            </w:r>
          </w:p>
        </w:tc>
        <w:tc>
          <w:tcPr>
            <w:tcW w:w="1179" w:type="dxa"/>
            <w:tcBorders>
              <w:top w:val="nil"/>
              <w:left w:val="nil"/>
              <w:bottom w:val="single" w:sz="4" w:space="0" w:color="auto"/>
              <w:right w:val="single" w:sz="4" w:space="0" w:color="auto"/>
            </w:tcBorders>
            <w:shd w:val="clear" w:color="FFFFCC" w:fill="D9D9D9"/>
            <w:noWrap/>
            <w:hideMark/>
          </w:tcPr>
          <w:p w14:paraId="58741F6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24</w:t>
            </w:r>
          </w:p>
        </w:tc>
        <w:tc>
          <w:tcPr>
            <w:tcW w:w="1179" w:type="dxa"/>
            <w:tcBorders>
              <w:top w:val="nil"/>
              <w:left w:val="nil"/>
              <w:bottom w:val="single" w:sz="4" w:space="0" w:color="auto"/>
              <w:right w:val="single" w:sz="4" w:space="0" w:color="auto"/>
            </w:tcBorders>
            <w:shd w:val="clear" w:color="FFFFCC" w:fill="D9D9D9"/>
            <w:noWrap/>
            <w:hideMark/>
          </w:tcPr>
          <w:p w14:paraId="79E4DEF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300</w:t>
            </w:r>
          </w:p>
        </w:tc>
      </w:tr>
      <w:tr w:rsidR="00873A9F" w:rsidRPr="00873A9F" w14:paraId="47B2B2F0"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1A5F75F5"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5B3CECE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4B593CE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Minimálny počet integrovaných dátových zdrojov v konsolidovanej analytickej vrstve </w:t>
            </w:r>
          </w:p>
        </w:tc>
        <w:tc>
          <w:tcPr>
            <w:tcW w:w="1224" w:type="dxa"/>
            <w:tcBorders>
              <w:top w:val="nil"/>
              <w:left w:val="nil"/>
              <w:bottom w:val="single" w:sz="4" w:space="0" w:color="auto"/>
              <w:right w:val="single" w:sz="4" w:space="0" w:color="auto"/>
            </w:tcBorders>
            <w:shd w:val="clear" w:color="FFFFCC" w:fill="D9D9D9"/>
            <w:hideMark/>
          </w:tcPr>
          <w:p w14:paraId="39821B5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4F60E0D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FFFFCC" w:fill="D9D9D9"/>
            <w:noWrap/>
            <w:hideMark/>
          </w:tcPr>
          <w:p w14:paraId="529F072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0</w:t>
            </w:r>
          </w:p>
        </w:tc>
        <w:tc>
          <w:tcPr>
            <w:tcW w:w="1179" w:type="dxa"/>
            <w:tcBorders>
              <w:top w:val="nil"/>
              <w:left w:val="nil"/>
              <w:bottom w:val="single" w:sz="4" w:space="0" w:color="auto"/>
              <w:right w:val="single" w:sz="4" w:space="0" w:color="auto"/>
            </w:tcBorders>
            <w:shd w:val="clear" w:color="FFFFCC" w:fill="D9D9D9"/>
            <w:noWrap/>
            <w:hideMark/>
          </w:tcPr>
          <w:p w14:paraId="39E14119"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35</w:t>
            </w:r>
          </w:p>
        </w:tc>
        <w:tc>
          <w:tcPr>
            <w:tcW w:w="1179" w:type="dxa"/>
            <w:tcBorders>
              <w:top w:val="nil"/>
              <w:left w:val="nil"/>
              <w:bottom w:val="single" w:sz="4" w:space="0" w:color="auto"/>
              <w:right w:val="single" w:sz="4" w:space="0" w:color="auto"/>
            </w:tcBorders>
            <w:shd w:val="clear" w:color="FFFFCC" w:fill="D9D9D9"/>
            <w:noWrap/>
            <w:hideMark/>
          </w:tcPr>
          <w:p w14:paraId="118B3A3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c>
          <w:tcPr>
            <w:tcW w:w="1179" w:type="dxa"/>
            <w:tcBorders>
              <w:top w:val="nil"/>
              <w:left w:val="nil"/>
              <w:bottom w:val="single" w:sz="4" w:space="0" w:color="auto"/>
              <w:right w:val="single" w:sz="4" w:space="0" w:color="auto"/>
            </w:tcBorders>
            <w:shd w:val="clear" w:color="FFFFCC" w:fill="D9D9D9"/>
            <w:noWrap/>
            <w:hideMark/>
          </w:tcPr>
          <w:p w14:paraId="25444909"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300</w:t>
            </w:r>
          </w:p>
        </w:tc>
      </w:tr>
      <w:tr w:rsidR="00873A9F" w:rsidRPr="00873A9F" w14:paraId="341D3C44"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2D8784C5"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DT</w:t>
            </w:r>
          </w:p>
        </w:tc>
        <w:tc>
          <w:tcPr>
            <w:tcW w:w="1120" w:type="dxa"/>
            <w:tcBorders>
              <w:top w:val="nil"/>
              <w:left w:val="nil"/>
              <w:bottom w:val="single" w:sz="4" w:space="0" w:color="auto"/>
              <w:right w:val="single" w:sz="4" w:space="0" w:color="auto"/>
            </w:tcBorders>
            <w:shd w:val="clear" w:color="FFFFCC" w:fill="D9D9D9"/>
            <w:hideMark/>
          </w:tcPr>
          <w:p w14:paraId="42FD3C6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Lepšie údaje</w:t>
            </w:r>
          </w:p>
        </w:tc>
        <w:tc>
          <w:tcPr>
            <w:tcW w:w="5841" w:type="dxa"/>
            <w:tcBorders>
              <w:top w:val="nil"/>
              <w:left w:val="nil"/>
              <w:bottom w:val="single" w:sz="4" w:space="0" w:color="auto"/>
              <w:right w:val="single" w:sz="4" w:space="0" w:color="auto"/>
            </w:tcBorders>
            <w:shd w:val="clear" w:color="FFFFCC" w:fill="D9D9D9"/>
            <w:hideMark/>
          </w:tcPr>
          <w:p w14:paraId="0803162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Podiel sprístupnených kľúčových mojich údajov pre fyzické osoby a právnické osoby</w:t>
            </w:r>
          </w:p>
        </w:tc>
        <w:tc>
          <w:tcPr>
            <w:tcW w:w="1224" w:type="dxa"/>
            <w:tcBorders>
              <w:top w:val="nil"/>
              <w:left w:val="nil"/>
              <w:bottom w:val="single" w:sz="4" w:space="0" w:color="auto"/>
              <w:right w:val="single" w:sz="4" w:space="0" w:color="auto"/>
            </w:tcBorders>
            <w:shd w:val="clear" w:color="FFFFCC" w:fill="D9D9D9"/>
            <w:hideMark/>
          </w:tcPr>
          <w:p w14:paraId="7975D518"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387CEE6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Portál MIRRI</w:t>
            </w:r>
          </w:p>
        </w:tc>
        <w:tc>
          <w:tcPr>
            <w:tcW w:w="970" w:type="dxa"/>
            <w:tcBorders>
              <w:top w:val="nil"/>
              <w:left w:val="nil"/>
              <w:bottom w:val="single" w:sz="4" w:space="0" w:color="auto"/>
              <w:right w:val="single" w:sz="4" w:space="0" w:color="auto"/>
            </w:tcBorders>
            <w:shd w:val="clear" w:color="FFFFCC" w:fill="D9D9D9"/>
            <w:noWrap/>
            <w:hideMark/>
          </w:tcPr>
          <w:p w14:paraId="2BD1F86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noWrap/>
            <w:hideMark/>
          </w:tcPr>
          <w:p w14:paraId="31332FE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70%</w:t>
            </w:r>
          </w:p>
        </w:tc>
        <w:tc>
          <w:tcPr>
            <w:tcW w:w="1179" w:type="dxa"/>
            <w:tcBorders>
              <w:top w:val="nil"/>
              <w:left w:val="nil"/>
              <w:bottom w:val="single" w:sz="4" w:space="0" w:color="auto"/>
              <w:right w:val="single" w:sz="4" w:space="0" w:color="auto"/>
            </w:tcBorders>
            <w:shd w:val="clear" w:color="FFFFCC" w:fill="D9D9D9"/>
            <w:noWrap/>
            <w:hideMark/>
          </w:tcPr>
          <w:p w14:paraId="13C0A7E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95%</w:t>
            </w:r>
          </w:p>
        </w:tc>
        <w:tc>
          <w:tcPr>
            <w:tcW w:w="1179" w:type="dxa"/>
            <w:tcBorders>
              <w:top w:val="nil"/>
              <w:left w:val="nil"/>
              <w:bottom w:val="single" w:sz="4" w:space="0" w:color="auto"/>
              <w:right w:val="single" w:sz="4" w:space="0" w:color="auto"/>
            </w:tcBorders>
            <w:shd w:val="clear" w:color="FFFFCC" w:fill="D9D9D9"/>
            <w:noWrap/>
            <w:hideMark/>
          </w:tcPr>
          <w:p w14:paraId="60F50DBF"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99%</w:t>
            </w:r>
          </w:p>
        </w:tc>
      </w:tr>
      <w:tr w:rsidR="00873A9F" w:rsidRPr="00873A9F" w14:paraId="337CCFBB"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609DDB69"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lastRenderedPageBreak/>
              <w:t>DT</w:t>
            </w:r>
          </w:p>
        </w:tc>
        <w:tc>
          <w:tcPr>
            <w:tcW w:w="1120" w:type="dxa"/>
            <w:tcBorders>
              <w:top w:val="nil"/>
              <w:left w:val="nil"/>
              <w:bottom w:val="single" w:sz="4" w:space="0" w:color="auto"/>
              <w:right w:val="single" w:sz="4" w:space="0" w:color="auto"/>
            </w:tcBorders>
            <w:shd w:val="clear" w:color="FFFFCC" w:fill="FFFFFF"/>
            <w:hideMark/>
          </w:tcPr>
          <w:p w14:paraId="22F73BC4"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Informatizácia územnej samosprávy</w:t>
            </w:r>
          </w:p>
        </w:tc>
        <w:tc>
          <w:tcPr>
            <w:tcW w:w="5841" w:type="dxa"/>
            <w:tcBorders>
              <w:top w:val="nil"/>
              <w:left w:val="nil"/>
              <w:bottom w:val="single" w:sz="4" w:space="0" w:color="auto"/>
              <w:right w:val="single" w:sz="4" w:space="0" w:color="auto"/>
            </w:tcBorders>
            <w:shd w:val="clear" w:color="000000" w:fill="FFFFFF"/>
            <w:hideMark/>
          </w:tcPr>
          <w:p w14:paraId="01BC81E8"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 xml:space="preserve">podiel obyvateľov, ktorí majú elektronickú schránku fyzickej osoby aktivovanú na doručovanie </w:t>
            </w:r>
          </w:p>
        </w:tc>
        <w:tc>
          <w:tcPr>
            <w:tcW w:w="1224" w:type="dxa"/>
            <w:tcBorders>
              <w:top w:val="nil"/>
              <w:left w:val="nil"/>
              <w:bottom w:val="single" w:sz="4" w:space="0" w:color="auto"/>
              <w:right w:val="single" w:sz="4" w:space="0" w:color="auto"/>
            </w:tcBorders>
            <w:shd w:val="clear" w:color="000000" w:fill="FFFFFF"/>
            <w:hideMark/>
          </w:tcPr>
          <w:p w14:paraId="37D0617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MV SR, MIRRI</w:t>
            </w:r>
          </w:p>
        </w:tc>
        <w:tc>
          <w:tcPr>
            <w:tcW w:w="1161" w:type="dxa"/>
            <w:tcBorders>
              <w:top w:val="nil"/>
              <w:left w:val="nil"/>
              <w:bottom w:val="single" w:sz="4" w:space="0" w:color="auto"/>
              <w:right w:val="single" w:sz="4" w:space="0" w:color="auto"/>
            </w:tcBorders>
            <w:shd w:val="clear" w:color="000000" w:fill="FFFFFF"/>
            <w:hideMark/>
          </w:tcPr>
          <w:p w14:paraId="5039122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MV SR, NASES</w:t>
            </w:r>
          </w:p>
        </w:tc>
        <w:tc>
          <w:tcPr>
            <w:tcW w:w="970" w:type="dxa"/>
            <w:tcBorders>
              <w:top w:val="nil"/>
              <w:left w:val="nil"/>
              <w:bottom w:val="single" w:sz="4" w:space="0" w:color="auto"/>
              <w:right w:val="single" w:sz="4" w:space="0" w:color="auto"/>
            </w:tcBorders>
            <w:shd w:val="clear" w:color="000000" w:fill="FFFFFF"/>
            <w:noWrap/>
            <w:hideMark/>
          </w:tcPr>
          <w:p w14:paraId="387ABB9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4%</w:t>
            </w:r>
          </w:p>
        </w:tc>
        <w:tc>
          <w:tcPr>
            <w:tcW w:w="1179" w:type="dxa"/>
            <w:tcBorders>
              <w:top w:val="nil"/>
              <w:left w:val="nil"/>
              <w:bottom w:val="single" w:sz="4" w:space="0" w:color="auto"/>
              <w:right w:val="single" w:sz="4" w:space="0" w:color="auto"/>
            </w:tcBorders>
            <w:shd w:val="clear" w:color="000000" w:fill="FFFFFF"/>
            <w:noWrap/>
            <w:hideMark/>
          </w:tcPr>
          <w:p w14:paraId="577C2E28"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7%</w:t>
            </w:r>
          </w:p>
        </w:tc>
        <w:tc>
          <w:tcPr>
            <w:tcW w:w="1179" w:type="dxa"/>
            <w:tcBorders>
              <w:top w:val="nil"/>
              <w:left w:val="nil"/>
              <w:bottom w:val="single" w:sz="4" w:space="0" w:color="auto"/>
              <w:right w:val="single" w:sz="4" w:space="0" w:color="auto"/>
            </w:tcBorders>
            <w:shd w:val="clear" w:color="000000" w:fill="FFFFFF"/>
            <w:noWrap/>
            <w:hideMark/>
          </w:tcPr>
          <w:p w14:paraId="5203903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12%</w:t>
            </w:r>
          </w:p>
        </w:tc>
        <w:tc>
          <w:tcPr>
            <w:tcW w:w="1179" w:type="dxa"/>
            <w:tcBorders>
              <w:top w:val="nil"/>
              <w:left w:val="nil"/>
              <w:bottom w:val="single" w:sz="4" w:space="0" w:color="auto"/>
              <w:right w:val="single" w:sz="4" w:space="0" w:color="auto"/>
            </w:tcBorders>
            <w:shd w:val="clear" w:color="000000" w:fill="FFFFFF"/>
            <w:noWrap/>
            <w:hideMark/>
          </w:tcPr>
          <w:p w14:paraId="6DC180F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20%</w:t>
            </w:r>
          </w:p>
        </w:tc>
      </w:tr>
      <w:tr w:rsidR="00873A9F" w:rsidRPr="00873A9F" w14:paraId="4575BC57"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563A10A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D9D9D9"/>
            <w:hideMark/>
          </w:tcPr>
          <w:p w14:paraId="0C9E8B3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Efektívne riadenie</w:t>
            </w:r>
          </w:p>
        </w:tc>
        <w:tc>
          <w:tcPr>
            <w:tcW w:w="5841" w:type="dxa"/>
            <w:tcBorders>
              <w:top w:val="nil"/>
              <w:left w:val="nil"/>
              <w:bottom w:val="single" w:sz="4" w:space="0" w:color="auto"/>
              <w:right w:val="single" w:sz="4" w:space="0" w:color="auto"/>
            </w:tcBorders>
            <w:shd w:val="clear" w:color="FFFFCC" w:fill="D9D9D9"/>
            <w:hideMark/>
          </w:tcPr>
          <w:p w14:paraId="394FE36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Vyspelosť riadenia informatizácie</w:t>
            </w:r>
          </w:p>
        </w:tc>
        <w:tc>
          <w:tcPr>
            <w:tcW w:w="1224" w:type="dxa"/>
            <w:tcBorders>
              <w:top w:val="nil"/>
              <w:left w:val="nil"/>
              <w:bottom w:val="single" w:sz="4" w:space="0" w:color="auto"/>
              <w:right w:val="single" w:sz="4" w:space="0" w:color="auto"/>
            </w:tcBorders>
            <w:shd w:val="clear" w:color="FFFFCC" w:fill="D9D9D9"/>
            <w:hideMark/>
          </w:tcPr>
          <w:p w14:paraId="48D383C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vybrané orgány riadenia</w:t>
            </w:r>
          </w:p>
        </w:tc>
        <w:tc>
          <w:tcPr>
            <w:tcW w:w="1161" w:type="dxa"/>
            <w:tcBorders>
              <w:top w:val="nil"/>
              <w:left w:val="nil"/>
              <w:bottom w:val="single" w:sz="4" w:space="0" w:color="auto"/>
              <w:right w:val="single" w:sz="4" w:space="0" w:color="auto"/>
            </w:tcBorders>
            <w:shd w:val="clear" w:color="FFFFCC" w:fill="D9D9D9"/>
            <w:hideMark/>
          </w:tcPr>
          <w:p w14:paraId="7573BE0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prieskum MIRRI</w:t>
            </w:r>
          </w:p>
        </w:tc>
        <w:tc>
          <w:tcPr>
            <w:tcW w:w="970" w:type="dxa"/>
            <w:tcBorders>
              <w:top w:val="nil"/>
              <w:left w:val="nil"/>
              <w:bottom w:val="single" w:sz="4" w:space="0" w:color="auto"/>
              <w:right w:val="single" w:sz="4" w:space="0" w:color="auto"/>
            </w:tcBorders>
            <w:shd w:val="clear" w:color="FFFFCC" w:fill="D9D9D9"/>
            <w:noWrap/>
            <w:hideMark/>
          </w:tcPr>
          <w:p w14:paraId="744D6CE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hideMark/>
          </w:tcPr>
          <w:p w14:paraId="5958B96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úroveň 5: MIRRI</w:t>
            </w:r>
            <w:r w:rsidRPr="00873A9F">
              <w:rPr>
                <w:rFonts w:ascii="Arial Narrow" w:eastAsia="Times New Roman" w:hAnsi="Arial Narrow" w:cs="Calibri"/>
                <w:color w:val="000000"/>
                <w:sz w:val="20"/>
                <w:szCs w:val="20"/>
                <w:lang w:eastAsia="sk-SK"/>
              </w:rPr>
              <w:br w:type="page"/>
              <w:t xml:space="preserve">úroveň 3: 15 % </w:t>
            </w:r>
            <w:r w:rsidRPr="00873A9F">
              <w:rPr>
                <w:rFonts w:ascii="Arial Narrow" w:eastAsia="Times New Roman" w:hAnsi="Arial Narrow" w:cs="Calibri"/>
                <w:color w:val="000000"/>
                <w:sz w:val="20"/>
                <w:szCs w:val="20"/>
                <w:lang w:eastAsia="sk-SK"/>
              </w:rPr>
              <w:br w:type="page"/>
              <w:t xml:space="preserve">úroveň 2: 15% </w:t>
            </w:r>
          </w:p>
        </w:tc>
        <w:tc>
          <w:tcPr>
            <w:tcW w:w="1179" w:type="dxa"/>
            <w:tcBorders>
              <w:top w:val="nil"/>
              <w:left w:val="nil"/>
              <w:bottom w:val="single" w:sz="4" w:space="0" w:color="auto"/>
              <w:right w:val="single" w:sz="4" w:space="0" w:color="auto"/>
            </w:tcBorders>
            <w:shd w:val="clear" w:color="FFFFCC" w:fill="D9D9D9"/>
            <w:hideMark/>
          </w:tcPr>
          <w:p w14:paraId="3BCDA79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úroveň 5: 10%</w:t>
            </w:r>
            <w:r w:rsidRPr="00873A9F">
              <w:rPr>
                <w:rFonts w:ascii="Arial Narrow" w:eastAsia="Times New Roman" w:hAnsi="Arial Narrow" w:cs="Calibri"/>
                <w:color w:val="000000"/>
                <w:sz w:val="20"/>
                <w:szCs w:val="20"/>
                <w:lang w:eastAsia="sk-SK"/>
              </w:rPr>
              <w:br w:type="page"/>
              <w:t>úroveň 4: 15 %</w:t>
            </w:r>
            <w:r w:rsidRPr="00873A9F">
              <w:rPr>
                <w:rFonts w:ascii="Arial Narrow" w:eastAsia="Times New Roman" w:hAnsi="Arial Narrow" w:cs="Calibri"/>
                <w:color w:val="000000"/>
                <w:sz w:val="20"/>
                <w:szCs w:val="20"/>
                <w:lang w:eastAsia="sk-SK"/>
              </w:rPr>
              <w:br w:type="page"/>
              <w:t>úroveň 3: 35%</w:t>
            </w:r>
            <w:r w:rsidRPr="00873A9F">
              <w:rPr>
                <w:rFonts w:ascii="Arial Narrow" w:eastAsia="Times New Roman" w:hAnsi="Arial Narrow" w:cs="Calibri"/>
                <w:color w:val="000000"/>
                <w:sz w:val="20"/>
                <w:szCs w:val="20"/>
                <w:lang w:eastAsia="sk-SK"/>
              </w:rPr>
              <w:br w:type="page"/>
              <w:t xml:space="preserve">úroveň 2: 40% </w:t>
            </w:r>
          </w:p>
        </w:tc>
        <w:tc>
          <w:tcPr>
            <w:tcW w:w="1179" w:type="dxa"/>
            <w:tcBorders>
              <w:top w:val="nil"/>
              <w:left w:val="nil"/>
              <w:bottom w:val="single" w:sz="4" w:space="0" w:color="auto"/>
              <w:right w:val="single" w:sz="4" w:space="0" w:color="auto"/>
            </w:tcBorders>
            <w:shd w:val="clear" w:color="FFFFCC" w:fill="D9D9D9"/>
            <w:hideMark/>
          </w:tcPr>
          <w:p w14:paraId="5BA4344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úroveň 5: 25 %</w:t>
            </w:r>
            <w:r w:rsidRPr="00873A9F">
              <w:rPr>
                <w:rFonts w:ascii="Arial Narrow" w:eastAsia="Times New Roman" w:hAnsi="Arial Narrow" w:cs="Calibri"/>
                <w:color w:val="000000"/>
                <w:sz w:val="20"/>
                <w:szCs w:val="20"/>
                <w:lang w:eastAsia="sk-SK"/>
              </w:rPr>
              <w:br w:type="page"/>
              <w:t>úroveň 4: 50%</w:t>
            </w:r>
            <w:r w:rsidRPr="00873A9F">
              <w:rPr>
                <w:rFonts w:ascii="Arial Narrow" w:eastAsia="Times New Roman" w:hAnsi="Arial Narrow" w:cs="Calibri"/>
                <w:color w:val="000000"/>
                <w:sz w:val="20"/>
                <w:szCs w:val="20"/>
                <w:lang w:eastAsia="sk-SK"/>
              </w:rPr>
              <w:br w:type="page"/>
              <w:t xml:space="preserve">úroveň 3: 25% </w:t>
            </w:r>
          </w:p>
        </w:tc>
      </w:tr>
      <w:tr w:rsidR="00873A9F" w:rsidRPr="00873A9F" w14:paraId="329520BC"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noWrap/>
            <w:hideMark/>
          </w:tcPr>
          <w:p w14:paraId="50C732D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D9D9D9"/>
            <w:hideMark/>
          </w:tcPr>
          <w:p w14:paraId="04F55445"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Efektívne riadenie</w:t>
            </w:r>
          </w:p>
        </w:tc>
        <w:tc>
          <w:tcPr>
            <w:tcW w:w="5841" w:type="dxa"/>
            <w:tcBorders>
              <w:top w:val="nil"/>
              <w:left w:val="nil"/>
              <w:bottom w:val="single" w:sz="4" w:space="0" w:color="auto"/>
              <w:right w:val="single" w:sz="4" w:space="0" w:color="auto"/>
            </w:tcBorders>
            <w:shd w:val="clear" w:color="FFFFCC" w:fill="D9D9D9"/>
            <w:hideMark/>
          </w:tcPr>
          <w:p w14:paraId="52AE9476"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 xml:space="preserve">Percento ÚOŠS, SP, VZP a DEUS, ktoré majú z projektov IT nad 1 mil. EUR namodelovanú architektúru v nástroji na modelovanie architektúry v MetaIS </w:t>
            </w:r>
          </w:p>
        </w:tc>
        <w:tc>
          <w:tcPr>
            <w:tcW w:w="1224" w:type="dxa"/>
            <w:tcBorders>
              <w:top w:val="nil"/>
              <w:left w:val="nil"/>
              <w:bottom w:val="single" w:sz="4" w:space="0" w:color="auto"/>
              <w:right w:val="single" w:sz="4" w:space="0" w:color="auto"/>
            </w:tcBorders>
            <w:shd w:val="clear" w:color="FFFFCC" w:fill="D9D9D9"/>
            <w:hideMark/>
          </w:tcPr>
          <w:p w14:paraId="0E8251F4"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ÚOŠS, SP, VZP, DEUS</w:t>
            </w:r>
          </w:p>
        </w:tc>
        <w:tc>
          <w:tcPr>
            <w:tcW w:w="1161" w:type="dxa"/>
            <w:tcBorders>
              <w:top w:val="nil"/>
              <w:left w:val="nil"/>
              <w:bottom w:val="single" w:sz="4" w:space="0" w:color="auto"/>
              <w:right w:val="single" w:sz="4" w:space="0" w:color="auto"/>
            </w:tcBorders>
            <w:shd w:val="clear" w:color="FFFFCC" w:fill="D9D9D9"/>
            <w:hideMark/>
          </w:tcPr>
          <w:p w14:paraId="388EC46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w:t>
            </w:r>
          </w:p>
        </w:tc>
        <w:tc>
          <w:tcPr>
            <w:tcW w:w="970" w:type="dxa"/>
            <w:tcBorders>
              <w:top w:val="nil"/>
              <w:left w:val="nil"/>
              <w:bottom w:val="single" w:sz="4" w:space="0" w:color="auto"/>
              <w:right w:val="single" w:sz="4" w:space="0" w:color="auto"/>
            </w:tcBorders>
            <w:shd w:val="clear" w:color="FFFFCC" w:fill="D9D9D9"/>
            <w:noWrap/>
            <w:hideMark/>
          </w:tcPr>
          <w:p w14:paraId="58105C5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FFFFCC" w:fill="D9D9D9"/>
            <w:hideMark/>
          </w:tcPr>
          <w:p w14:paraId="06B3115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15%</w:t>
            </w:r>
          </w:p>
        </w:tc>
        <w:tc>
          <w:tcPr>
            <w:tcW w:w="1179" w:type="dxa"/>
            <w:tcBorders>
              <w:top w:val="nil"/>
              <w:left w:val="nil"/>
              <w:bottom w:val="single" w:sz="4" w:space="0" w:color="auto"/>
              <w:right w:val="single" w:sz="4" w:space="0" w:color="auto"/>
            </w:tcBorders>
            <w:shd w:val="clear" w:color="FFFFCC" w:fill="D9D9D9"/>
            <w:noWrap/>
            <w:hideMark/>
          </w:tcPr>
          <w:p w14:paraId="1EACA54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50%</w:t>
            </w:r>
          </w:p>
        </w:tc>
        <w:tc>
          <w:tcPr>
            <w:tcW w:w="1179" w:type="dxa"/>
            <w:tcBorders>
              <w:top w:val="nil"/>
              <w:left w:val="nil"/>
              <w:bottom w:val="single" w:sz="4" w:space="0" w:color="auto"/>
              <w:right w:val="single" w:sz="4" w:space="0" w:color="auto"/>
            </w:tcBorders>
            <w:shd w:val="clear" w:color="FFFFCC" w:fill="D9D9D9"/>
            <w:hideMark/>
          </w:tcPr>
          <w:p w14:paraId="604E300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r>
      <w:tr w:rsidR="00873A9F" w:rsidRPr="00873A9F" w14:paraId="14C21ED7"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1E159BE0"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ER</w:t>
            </w:r>
          </w:p>
        </w:tc>
        <w:tc>
          <w:tcPr>
            <w:tcW w:w="1120" w:type="dxa"/>
            <w:tcBorders>
              <w:top w:val="nil"/>
              <w:left w:val="nil"/>
              <w:bottom w:val="single" w:sz="4" w:space="0" w:color="auto"/>
              <w:right w:val="single" w:sz="4" w:space="0" w:color="auto"/>
            </w:tcBorders>
            <w:shd w:val="clear" w:color="FFFFCC" w:fill="FFFFFF"/>
            <w:hideMark/>
          </w:tcPr>
          <w:p w14:paraId="3E09901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Verejné obstarávanie a nákup</w:t>
            </w:r>
          </w:p>
        </w:tc>
        <w:tc>
          <w:tcPr>
            <w:tcW w:w="5841" w:type="dxa"/>
            <w:tcBorders>
              <w:top w:val="nil"/>
              <w:left w:val="nil"/>
              <w:bottom w:val="single" w:sz="4" w:space="0" w:color="auto"/>
              <w:right w:val="single" w:sz="4" w:space="0" w:color="auto"/>
            </w:tcBorders>
            <w:shd w:val="clear" w:color="FFFFCC" w:fill="FFFFFF"/>
            <w:hideMark/>
          </w:tcPr>
          <w:p w14:paraId="0FEA2A5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Počet ÚOŠS zapojených (čerpajúcich) do centrálnych licenčných IKT zmlúv /centrálnych rámcových IKT dohôd centrálnych činností o verejnom obstarávaní</w:t>
            </w:r>
          </w:p>
        </w:tc>
        <w:tc>
          <w:tcPr>
            <w:tcW w:w="1224" w:type="dxa"/>
            <w:tcBorders>
              <w:top w:val="nil"/>
              <w:left w:val="nil"/>
              <w:bottom w:val="single" w:sz="4" w:space="0" w:color="auto"/>
              <w:right w:val="single" w:sz="4" w:space="0" w:color="auto"/>
            </w:tcBorders>
            <w:shd w:val="clear" w:color="FFFFCC" w:fill="FFFFFF"/>
            <w:hideMark/>
          </w:tcPr>
          <w:p w14:paraId="2566E68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FFFFFF"/>
            <w:hideMark/>
          </w:tcPr>
          <w:p w14:paraId="77A5C4B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CRD/MetaIS</w:t>
            </w:r>
          </w:p>
        </w:tc>
        <w:tc>
          <w:tcPr>
            <w:tcW w:w="970" w:type="dxa"/>
            <w:tcBorders>
              <w:top w:val="nil"/>
              <w:left w:val="nil"/>
              <w:bottom w:val="single" w:sz="4" w:space="0" w:color="auto"/>
              <w:right w:val="single" w:sz="4" w:space="0" w:color="auto"/>
            </w:tcBorders>
            <w:shd w:val="clear" w:color="FFFFCC" w:fill="FFFFFF"/>
            <w:noWrap/>
            <w:hideMark/>
          </w:tcPr>
          <w:p w14:paraId="2D78A93A"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25%</w:t>
            </w:r>
          </w:p>
        </w:tc>
        <w:tc>
          <w:tcPr>
            <w:tcW w:w="1179" w:type="dxa"/>
            <w:tcBorders>
              <w:top w:val="nil"/>
              <w:left w:val="nil"/>
              <w:bottom w:val="single" w:sz="4" w:space="0" w:color="auto"/>
              <w:right w:val="single" w:sz="4" w:space="0" w:color="auto"/>
            </w:tcBorders>
            <w:shd w:val="clear" w:color="FFFFCC" w:fill="FFFFFF"/>
            <w:noWrap/>
            <w:hideMark/>
          </w:tcPr>
          <w:p w14:paraId="0900DC9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45%</w:t>
            </w:r>
          </w:p>
        </w:tc>
        <w:tc>
          <w:tcPr>
            <w:tcW w:w="1179" w:type="dxa"/>
            <w:tcBorders>
              <w:top w:val="nil"/>
              <w:left w:val="nil"/>
              <w:bottom w:val="single" w:sz="4" w:space="0" w:color="auto"/>
              <w:right w:val="single" w:sz="4" w:space="0" w:color="auto"/>
            </w:tcBorders>
            <w:shd w:val="clear" w:color="FFFFCC" w:fill="FFFFFF"/>
            <w:noWrap/>
            <w:hideMark/>
          </w:tcPr>
          <w:p w14:paraId="011AF0B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65%</w:t>
            </w:r>
          </w:p>
        </w:tc>
        <w:tc>
          <w:tcPr>
            <w:tcW w:w="1179" w:type="dxa"/>
            <w:tcBorders>
              <w:top w:val="nil"/>
              <w:left w:val="nil"/>
              <w:bottom w:val="single" w:sz="4" w:space="0" w:color="auto"/>
              <w:right w:val="single" w:sz="4" w:space="0" w:color="auto"/>
            </w:tcBorders>
            <w:shd w:val="clear" w:color="FFFFCC" w:fill="FFFFFF"/>
            <w:noWrap/>
            <w:hideMark/>
          </w:tcPr>
          <w:p w14:paraId="0190380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100%</w:t>
            </w:r>
          </w:p>
        </w:tc>
      </w:tr>
      <w:tr w:rsidR="00873A9F" w:rsidRPr="00873A9F" w14:paraId="2263491D"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7625E937"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ER</w:t>
            </w:r>
          </w:p>
        </w:tc>
        <w:tc>
          <w:tcPr>
            <w:tcW w:w="1120" w:type="dxa"/>
            <w:tcBorders>
              <w:top w:val="nil"/>
              <w:left w:val="nil"/>
              <w:bottom w:val="single" w:sz="4" w:space="0" w:color="auto"/>
              <w:right w:val="single" w:sz="4" w:space="0" w:color="auto"/>
            </w:tcBorders>
            <w:shd w:val="clear" w:color="FFFFCC" w:fill="FFFFFF"/>
            <w:hideMark/>
          </w:tcPr>
          <w:p w14:paraId="2770E2F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Verejné obstarávanie a nákup</w:t>
            </w:r>
          </w:p>
        </w:tc>
        <w:tc>
          <w:tcPr>
            <w:tcW w:w="5841" w:type="dxa"/>
            <w:tcBorders>
              <w:top w:val="nil"/>
              <w:left w:val="nil"/>
              <w:bottom w:val="single" w:sz="4" w:space="0" w:color="auto"/>
              <w:right w:val="single" w:sz="4" w:space="0" w:color="auto"/>
            </w:tcBorders>
            <w:shd w:val="clear" w:color="FFFFCC" w:fill="FFFFFF"/>
            <w:hideMark/>
          </w:tcPr>
          <w:p w14:paraId="30C1242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Počet Vendorov, ktorých produkty a služby (vrátane cloudových) sú pokryté centrálnou licenčnou IKT zmluvou/centrálnou rámcovou IKT dohodou</w:t>
            </w:r>
          </w:p>
        </w:tc>
        <w:tc>
          <w:tcPr>
            <w:tcW w:w="1224" w:type="dxa"/>
            <w:tcBorders>
              <w:top w:val="nil"/>
              <w:left w:val="nil"/>
              <w:bottom w:val="single" w:sz="4" w:space="0" w:color="auto"/>
              <w:right w:val="single" w:sz="4" w:space="0" w:color="auto"/>
            </w:tcBorders>
            <w:shd w:val="clear" w:color="FFFFCC" w:fill="FFFFFF"/>
            <w:hideMark/>
          </w:tcPr>
          <w:p w14:paraId="7C95E6D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MIRRI</w:t>
            </w:r>
          </w:p>
        </w:tc>
        <w:tc>
          <w:tcPr>
            <w:tcW w:w="1161" w:type="dxa"/>
            <w:tcBorders>
              <w:top w:val="nil"/>
              <w:left w:val="nil"/>
              <w:bottom w:val="single" w:sz="4" w:space="0" w:color="auto"/>
              <w:right w:val="single" w:sz="4" w:space="0" w:color="auto"/>
            </w:tcBorders>
            <w:shd w:val="clear" w:color="FFFFCC" w:fill="FFFFFF"/>
            <w:hideMark/>
          </w:tcPr>
          <w:p w14:paraId="1DC639D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CRD/MetaIS</w:t>
            </w:r>
          </w:p>
        </w:tc>
        <w:tc>
          <w:tcPr>
            <w:tcW w:w="970" w:type="dxa"/>
            <w:tcBorders>
              <w:top w:val="nil"/>
              <w:left w:val="nil"/>
              <w:bottom w:val="single" w:sz="4" w:space="0" w:color="auto"/>
              <w:right w:val="single" w:sz="4" w:space="0" w:color="auto"/>
            </w:tcBorders>
            <w:shd w:val="clear" w:color="FFFFCC" w:fill="FFFFFF"/>
            <w:noWrap/>
            <w:hideMark/>
          </w:tcPr>
          <w:p w14:paraId="58A60F0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w:t>
            </w:r>
          </w:p>
        </w:tc>
        <w:tc>
          <w:tcPr>
            <w:tcW w:w="1179" w:type="dxa"/>
            <w:tcBorders>
              <w:top w:val="nil"/>
              <w:left w:val="nil"/>
              <w:bottom w:val="single" w:sz="4" w:space="0" w:color="auto"/>
              <w:right w:val="single" w:sz="4" w:space="0" w:color="auto"/>
            </w:tcBorders>
            <w:shd w:val="clear" w:color="FFFFCC" w:fill="FFFFFF"/>
            <w:noWrap/>
            <w:hideMark/>
          </w:tcPr>
          <w:p w14:paraId="759B472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w:t>
            </w:r>
          </w:p>
        </w:tc>
        <w:tc>
          <w:tcPr>
            <w:tcW w:w="1179" w:type="dxa"/>
            <w:tcBorders>
              <w:top w:val="nil"/>
              <w:left w:val="nil"/>
              <w:bottom w:val="single" w:sz="4" w:space="0" w:color="auto"/>
              <w:right w:val="single" w:sz="4" w:space="0" w:color="auto"/>
            </w:tcBorders>
            <w:shd w:val="clear" w:color="FFFFCC" w:fill="FFFFFF"/>
            <w:noWrap/>
            <w:hideMark/>
          </w:tcPr>
          <w:p w14:paraId="610655B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w:t>
            </w:r>
          </w:p>
        </w:tc>
        <w:tc>
          <w:tcPr>
            <w:tcW w:w="1179" w:type="dxa"/>
            <w:tcBorders>
              <w:top w:val="nil"/>
              <w:left w:val="nil"/>
              <w:bottom w:val="single" w:sz="4" w:space="0" w:color="auto"/>
              <w:right w:val="single" w:sz="4" w:space="0" w:color="auto"/>
            </w:tcBorders>
            <w:shd w:val="clear" w:color="FFFFCC" w:fill="FFFFFF"/>
            <w:noWrap/>
            <w:hideMark/>
          </w:tcPr>
          <w:p w14:paraId="4B12917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w:t>
            </w:r>
          </w:p>
        </w:tc>
      </w:tr>
      <w:tr w:rsidR="00873A9F" w:rsidRPr="00873A9F" w14:paraId="12BA2DAB"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55F8B0EE" w14:textId="77777777" w:rsidR="00873A9F" w:rsidRPr="00873A9F" w:rsidRDefault="00873A9F" w:rsidP="00873A9F">
            <w:pPr>
              <w:spacing w:after="0" w:line="240" w:lineRule="auto"/>
              <w:jc w:val="left"/>
              <w:rPr>
                <w:rFonts w:ascii="Arial Narrow" w:eastAsia="Times New Roman" w:hAnsi="Arial Narrow" w:cs="Calibri"/>
                <w:sz w:val="20"/>
                <w:szCs w:val="20"/>
                <w:lang w:eastAsia="sk-SK"/>
              </w:rPr>
            </w:pPr>
            <w:r w:rsidRPr="00873A9F">
              <w:rPr>
                <w:rFonts w:ascii="Arial Narrow" w:eastAsia="Times New Roman" w:hAnsi="Arial Narrow" w:cs="Calibri"/>
                <w:sz w:val="20"/>
                <w:szCs w:val="20"/>
                <w:lang w:eastAsia="sk-SK"/>
              </w:rPr>
              <w:t>ER</w:t>
            </w:r>
          </w:p>
        </w:tc>
        <w:tc>
          <w:tcPr>
            <w:tcW w:w="1120" w:type="dxa"/>
            <w:tcBorders>
              <w:top w:val="nil"/>
              <w:left w:val="nil"/>
              <w:bottom w:val="single" w:sz="4" w:space="0" w:color="auto"/>
              <w:right w:val="single" w:sz="4" w:space="0" w:color="auto"/>
            </w:tcBorders>
            <w:shd w:val="clear" w:color="FFFFCC" w:fill="FFFFFF"/>
            <w:hideMark/>
          </w:tcPr>
          <w:p w14:paraId="40A87AA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Verejné obstarávanie a nákup</w:t>
            </w:r>
          </w:p>
        </w:tc>
        <w:tc>
          <w:tcPr>
            <w:tcW w:w="5841" w:type="dxa"/>
            <w:tcBorders>
              <w:top w:val="nil"/>
              <w:left w:val="nil"/>
              <w:bottom w:val="single" w:sz="4" w:space="0" w:color="auto"/>
              <w:right w:val="single" w:sz="4" w:space="0" w:color="auto"/>
            </w:tcBorders>
            <w:shd w:val="clear" w:color="FFFFCC" w:fill="FFFFFF"/>
            <w:hideMark/>
          </w:tcPr>
          <w:p w14:paraId="1A76D4A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Využívanie ITAM nástroja na riadenie IT aktív ústrednými orgánmi štátnej správy</w:t>
            </w:r>
          </w:p>
        </w:tc>
        <w:tc>
          <w:tcPr>
            <w:tcW w:w="1224" w:type="dxa"/>
            <w:tcBorders>
              <w:top w:val="nil"/>
              <w:left w:val="nil"/>
              <w:bottom w:val="single" w:sz="4" w:space="0" w:color="auto"/>
              <w:right w:val="single" w:sz="4" w:space="0" w:color="auto"/>
            </w:tcBorders>
            <w:shd w:val="clear" w:color="FFFFCC" w:fill="FFFFFF"/>
            <w:hideMark/>
          </w:tcPr>
          <w:p w14:paraId="5BC8DF0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FFFFFF"/>
            <w:hideMark/>
          </w:tcPr>
          <w:p w14:paraId="44214A5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 / ITAM </w:t>
            </w:r>
          </w:p>
        </w:tc>
        <w:tc>
          <w:tcPr>
            <w:tcW w:w="970" w:type="dxa"/>
            <w:tcBorders>
              <w:top w:val="nil"/>
              <w:left w:val="nil"/>
              <w:bottom w:val="single" w:sz="4" w:space="0" w:color="auto"/>
              <w:right w:val="single" w:sz="4" w:space="0" w:color="auto"/>
            </w:tcBorders>
            <w:shd w:val="clear" w:color="FFFFCC" w:fill="FFFFFF"/>
            <w:noWrap/>
            <w:hideMark/>
          </w:tcPr>
          <w:p w14:paraId="4C2DBEE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0</w:t>
            </w:r>
          </w:p>
        </w:tc>
        <w:tc>
          <w:tcPr>
            <w:tcW w:w="1179" w:type="dxa"/>
            <w:tcBorders>
              <w:top w:val="nil"/>
              <w:left w:val="nil"/>
              <w:bottom w:val="single" w:sz="4" w:space="0" w:color="auto"/>
              <w:right w:val="single" w:sz="4" w:space="0" w:color="auto"/>
            </w:tcBorders>
            <w:shd w:val="clear" w:color="FFFFCC" w:fill="FFFFFF"/>
            <w:noWrap/>
            <w:hideMark/>
          </w:tcPr>
          <w:p w14:paraId="1202635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w:t>
            </w:r>
          </w:p>
        </w:tc>
        <w:tc>
          <w:tcPr>
            <w:tcW w:w="1179" w:type="dxa"/>
            <w:tcBorders>
              <w:top w:val="nil"/>
              <w:left w:val="nil"/>
              <w:bottom w:val="single" w:sz="4" w:space="0" w:color="auto"/>
              <w:right w:val="single" w:sz="4" w:space="0" w:color="auto"/>
            </w:tcBorders>
            <w:shd w:val="clear" w:color="FFFFCC" w:fill="FFFFFF"/>
            <w:noWrap/>
            <w:hideMark/>
          </w:tcPr>
          <w:p w14:paraId="00A9C0E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w:t>
            </w:r>
          </w:p>
        </w:tc>
        <w:tc>
          <w:tcPr>
            <w:tcW w:w="1179" w:type="dxa"/>
            <w:tcBorders>
              <w:top w:val="nil"/>
              <w:left w:val="nil"/>
              <w:bottom w:val="single" w:sz="4" w:space="0" w:color="auto"/>
              <w:right w:val="single" w:sz="4" w:space="0" w:color="auto"/>
            </w:tcBorders>
            <w:shd w:val="clear" w:color="FFFFCC" w:fill="FFFFFF"/>
            <w:noWrap/>
            <w:hideMark/>
          </w:tcPr>
          <w:p w14:paraId="0B59E531"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12</w:t>
            </w:r>
          </w:p>
        </w:tc>
      </w:tr>
      <w:tr w:rsidR="00873A9F" w:rsidRPr="00873A9F" w14:paraId="7F1E17CF"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hideMark/>
          </w:tcPr>
          <w:p w14:paraId="0B76C63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D9D9D9"/>
            <w:hideMark/>
          </w:tcPr>
          <w:p w14:paraId="669DDF16"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Centralizácia, kde to má zmysel</w:t>
            </w:r>
          </w:p>
        </w:tc>
        <w:tc>
          <w:tcPr>
            <w:tcW w:w="5841" w:type="dxa"/>
            <w:tcBorders>
              <w:top w:val="nil"/>
              <w:left w:val="nil"/>
              <w:bottom w:val="single" w:sz="4" w:space="0" w:color="auto"/>
              <w:right w:val="single" w:sz="4" w:space="0" w:color="auto"/>
            </w:tcBorders>
            <w:shd w:val="clear" w:color="FFFFCC" w:fill="D9D9D9"/>
            <w:hideMark/>
          </w:tcPr>
          <w:p w14:paraId="518447A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Počet ISVS prevádzkovaných agendových IS ÚOŠS realizované na infraštruktúre vládneho cloudu </w:t>
            </w:r>
          </w:p>
        </w:tc>
        <w:tc>
          <w:tcPr>
            <w:tcW w:w="1224" w:type="dxa"/>
            <w:tcBorders>
              <w:top w:val="nil"/>
              <w:left w:val="nil"/>
              <w:bottom w:val="single" w:sz="4" w:space="0" w:color="auto"/>
              <w:right w:val="single" w:sz="4" w:space="0" w:color="auto"/>
            </w:tcBorders>
            <w:shd w:val="clear" w:color="FFFFCC" w:fill="D9D9D9"/>
            <w:hideMark/>
          </w:tcPr>
          <w:p w14:paraId="5ABE1FD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FFFFCC" w:fill="D9D9D9"/>
            <w:hideMark/>
          </w:tcPr>
          <w:p w14:paraId="4AD9830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w:t>
            </w:r>
          </w:p>
        </w:tc>
        <w:tc>
          <w:tcPr>
            <w:tcW w:w="970" w:type="dxa"/>
            <w:tcBorders>
              <w:top w:val="nil"/>
              <w:left w:val="nil"/>
              <w:bottom w:val="single" w:sz="4" w:space="0" w:color="auto"/>
              <w:right w:val="single" w:sz="4" w:space="0" w:color="auto"/>
            </w:tcBorders>
            <w:shd w:val="clear" w:color="FFFFCC" w:fill="D9D9D9"/>
            <w:hideMark/>
          </w:tcPr>
          <w:p w14:paraId="15859026"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25</w:t>
            </w:r>
          </w:p>
        </w:tc>
        <w:tc>
          <w:tcPr>
            <w:tcW w:w="1179" w:type="dxa"/>
            <w:tcBorders>
              <w:top w:val="nil"/>
              <w:left w:val="nil"/>
              <w:bottom w:val="single" w:sz="4" w:space="0" w:color="auto"/>
              <w:right w:val="single" w:sz="4" w:space="0" w:color="auto"/>
            </w:tcBorders>
            <w:shd w:val="clear" w:color="FFFFCC" w:fill="D9D9D9"/>
            <w:noWrap/>
            <w:hideMark/>
          </w:tcPr>
          <w:p w14:paraId="3FF7B009"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230</w:t>
            </w:r>
          </w:p>
        </w:tc>
        <w:tc>
          <w:tcPr>
            <w:tcW w:w="1179" w:type="dxa"/>
            <w:tcBorders>
              <w:top w:val="nil"/>
              <w:left w:val="nil"/>
              <w:bottom w:val="single" w:sz="4" w:space="0" w:color="auto"/>
              <w:right w:val="single" w:sz="4" w:space="0" w:color="auto"/>
            </w:tcBorders>
            <w:shd w:val="clear" w:color="FFFFCC" w:fill="D9D9D9"/>
            <w:noWrap/>
            <w:hideMark/>
          </w:tcPr>
          <w:p w14:paraId="1C2925E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300</w:t>
            </w:r>
          </w:p>
        </w:tc>
        <w:tc>
          <w:tcPr>
            <w:tcW w:w="1179" w:type="dxa"/>
            <w:tcBorders>
              <w:top w:val="nil"/>
              <w:left w:val="nil"/>
              <w:bottom w:val="single" w:sz="4" w:space="0" w:color="auto"/>
              <w:right w:val="single" w:sz="4" w:space="0" w:color="auto"/>
            </w:tcBorders>
            <w:shd w:val="clear" w:color="FFFFCC" w:fill="D9D9D9"/>
            <w:noWrap/>
            <w:hideMark/>
          </w:tcPr>
          <w:p w14:paraId="719F160E"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350</w:t>
            </w:r>
          </w:p>
        </w:tc>
      </w:tr>
      <w:tr w:rsidR="00873A9F" w:rsidRPr="00873A9F" w14:paraId="04E846E4"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hideMark/>
          </w:tcPr>
          <w:p w14:paraId="408462C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D9D9D9"/>
            <w:hideMark/>
          </w:tcPr>
          <w:p w14:paraId="31CF1D0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Centralizácia, kde to má zmysel</w:t>
            </w:r>
          </w:p>
        </w:tc>
        <w:tc>
          <w:tcPr>
            <w:tcW w:w="5841" w:type="dxa"/>
            <w:tcBorders>
              <w:top w:val="nil"/>
              <w:left w:val="nil"/>
              <w:bottom w:val="single" w:sz="4" w:space="0" w:color="auto"/>
              <w:right w:val="single" w:sz="4" w:space="0" w:color="auto"/>
            </w:tcBorders>
            <w:shd w:val="clear" w:color="FFFFCC" w:fill="D9D9D9"/>
            <w:hideMark/>
          </w:tcPr>
          <w:p w14:paraId="7199651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Počet evidovaných služieb IaaS, PaaS a SaaS v katalógu vládnych cloudových služieb </w:t>
            </w:r>
          </w:p>
        </w:tc>
        <w:tc>
          <w:tcPr>
            <w:tcW w:w="1224" w:type="dxa"/>
            <w:tcBorders>
              <w:top w:val="nil"/>
              <w:left w:val="nil"/>
              <w:bottom w:val="single" w:sz="4" w:space="0" w:color="auto"/>
              <w:right w:val="single" w:sz="4" w:space="0" w:color="auto"/>
            </w:tcBorders>
            <w:shd w:val="clear" w:color="FFFFCC" w:fill="D9D9D9"/>
            <w:hideMark/>
          </w:tcPr>
          <w:p w14:paraId="24C905FE"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MIRRI</w:t>
            </w:r>
          </w:p>
        </w:tc>
        <w:tc>
          <w:tcPr>
            <w:tcW w:w="1161" w:type="dxa"/>
            <w:tcBorders>
              <w:top w:val="nil"/>
              <w:left w:val="nil"/>
              <w:bottom w:val="single" w:sz="4" w:space="0" w:color="auto"/>
              <w:right w:val="single" w:sz="4" w:space="0" w:color="auto"/>
            </w:tcBorders>
            <w:shd w:val="clear" w:color="FFFFCC" w:fill="D9D9D9"/>
            <w:hideMark/>
          </w:tcPr>
          <w:p w14:paraId="4EF7AFD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MetaIS</w:t>
            </w:r>
          </w:p>
        </w:tc>
        <w:tc>
          <w:tcPr>
            <w:tcW w:w="970" w:type="dxa"/>
            <w:tcBorders>
              <w:top w:val="nil"/>
              <w:left w:val="nil"/>
              <w:bottom w:val="single" w:sz="4" w:space="0" w:color="auto"/>
              <w:right w:val="single" w:sz="4" w:space="0" w:color="auto"/>
            </w:tcBorders>
            <w:shd w:val="clear" w:color="FFFFCC" w:fill="D9D9D9"/>
            <w:hideMark/>
          </w:tcPr>
          <w:p w14:paraId="0F22EC9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IaaS:   40</w:t>
            </w:r>
            <w:r w:rsidRPr="00873A9F">
              <w:rPr>
                <w:rFonts w:ascii="Arial Narrow" w:eastAsia="Times New Roman" w:hAnsi="Arial Narrow" w:cs="Calibri"/>
                <w:color w:val="000000"/>
                <w:sz w:val="20"/>
                <w:szCs w:val="20"/>
                <w:lang w:eastAsia="sk-SK"/>
              </w:rPr>
              <w:br/>
              <w:t>PaaS:  45</w:t>
            </w:r>
            <w:r w:rsidRPr="00873A9F">
              <w:rPr>
                <w:rFonts w:ascii="Arial Narrow" w:eastAsia="Times New Roman" w:hAnsi="Arial Narrow" w:cs="Calibri"/>
                <w:color w:val="000000"/>
                <w:sz w:val="20"/>
                <w:szCs w:val="20"/>
                <w:lang w:eastAsia="sk-SK"/>
              </w:rPr>
              <w:br/>
              <w:t>SaaS:  50</w:t>
            </w:r>
          </w:p>
        </w:tc>
        <w:tc>
          <w:tcPr>
            <w:tcW w:w="1179" w:type="dxa"/>
            <w:tcBorders>
              <w:top w:val="nil"/>
              <w:left w:val="nil"/>
              <w:bottom w:val="single" w:sz="4" w:space="0" w:color="auto"/>
              <w:right w:val="single" w:sz="4" w:space="0" w:color="auto"/>
            </w:tcBorders>
            <w:shd w:val="clear" w:color="FFFFCC" w:fill="D9D9D9"/>
            <w:hideMark/>
          </w:tcPr>
          <w:p w14:paraId="49DBD40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IaaS: 50</w:t>
            </w:r>
            <w:r w:rsidRPr="00873A9F">
              <w:rPr>
                <w:rFonts w:ascii="Arial Narrow" w:eastAsia="Times New Roman" w:hAnsi="Arial Narrow" w:cs="Calibri"/>
                <w:color w:val="000000"/>
                <w:sz w:val="20"/>
                <w:szCs w:val="20"/>
                <w:lang w:eastAsia="sk-SK"/>
              </w:rPr>
              <w:br/>
              <w:t>PaaS: 50</w:t>
            </w:r>
            <w:r w:rsidRPr="00873A9F">
              <w:rPr>
                <w:rFonts w:ascii="Arial Narrow" w:eastAsia="Times New Roman" w:hAnsi="Arial Narrow" w:cs="Calibri"/>
                <w:color w:val="000000"/>
                <w:sz w:val="20"/>
                <w:szCs w:val="20"/>
                <w:lang w:eastAsia="sk-SK"/>
              </w:rPr>
              <w:br/>
              <w:t>SaaS: 100</w:t>
            </w:r>
          </w:p>
        </w:tc>
        <w:tc>
          <w:tcPr>
            <w:tcW w:w="1179" w:type="dxa"/>
            <w:tcBorders>
              <w:top w:val="nil"/>
              <w:left w:val="nil"/>
              <w:bottom w:val="single" w:sz="4" w:space="0" w:color="auto"/>
              <w:right w:val="single" w:sz="4" w:space="0" w:color="auto"/>
            </w:tcBorders>
            <w:shd w:val="clear" w:color="FFFFCC" w:fill="D9D9D9"/>
            <w:hideMark/>
          </w:tcPr>
          <w:p w14:paraId="11628CC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IaaS:   100</w:t>
            </w:r>
            <w:r w:rsidRPr="00873A9F">
              <w:rPr>
                <w:rFonts w:ascii="Arial Narrow" w:eastAsia="Times New Roman" w:hAnsi="Arial Narrow" w:cs="Calibri"/>
                <w:color w:val="000000"/>
                <w:sz w:val="20"/>
                <w:szCs w:val="20"/>
                <w:lang w:eastAsia="sk-SK"/>
              </w:rPr>
              <w:br/>
              <w:t>PaaS: 100</w:t>
            </w:r>
            <w:r w:rsidRPr="00873A9F">
              <w:rPr>
                <w:rFonts w:ascii="Arial Narrow" w:eastAsia="Times New Roman" w:hAnsi="Arial Narrow" w:cs="Calibri"/>
                <w:color w:val="000000"/>
                <w:sz w:val="20"/>
                <w:szCs w:val="20"/>
                <w:lang w:eastAsia="sk-SK"/>
              </w:rPr>
              <w:br/>
              <w:t>SaaS: 200</w:t>
            </w:r>
          </w:p>
        </w:tc>
        <w:tc>
          <w:tcPr>
            <w:tcW w:w="1179" w:type="dxa"/>
            <w:tcBorders>
              <w:top w:val="nil"/>
              <w:left w:val="nil"/>
              <w:bottom w:val="single" w:sz="4" w:space="0" w:color="auto"/>
              <w:right w:val="single" w:sz="4" w:space="0" w:color="auto"/>
            </w:tcBorders>
            <w:shd w:val="clear" w:color="FFFFCC" w:fill="D9D9D9"/>
            <w:hideMark/>
          </w:tcPr>
          <w:p w14:paraId="0CBE8B0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IaaS:  200</w:t>
            </w:r>
            <w:r w:rsidRPr="00873A9F">
              <w:rPr>
                <w:rFonts w:ascii="Arial Narrow" w:eastAsia="Times New Roman" w:hAnsi="Arial Narrow" w:cs="Calibri"/>
                <w:color w:val="000000"/>
                <w:sz w:val="20"/>
                <w:szCs w:val="20"/>
                <w:lang w:eastAsia="sk-SK"/>
              </w:rPr>
              <w:br/>
              <w:t>PaaS: 300</w:t>
            </w:r>
            <w:r w:rsidRPr="00873A9F">
              <w:rPr>
                <w:rFonts w:ascii="Arial Narrow" w:eastAsia="Times New Roman" w:hAnsi="Arial Narrow" w:cs="Calibri"/>
                <w:color w:val="000000"/>
                <w:sz w:val="20"/>
                <w:szCs w:val="20"/>
                <w:lang w:eastAsia="sk-SK"/>
              </w:rPr>
              <w:br/>
              <w:t>SaaS  400</w:t>
            </w:r>
          </w:p>
        </w:tc>
      </w:tr>
      <w:tr w:rsidR="00873A9F" w:rsidRPr="00873A9F" w14:paraId="3D5FF879"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FFFFFF"/>
            <w:noWrap/>
            <w:hideMark/>
          </w:tcPr>
          <w:p w14:paraId="5DF446E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FFFFFF"/>
            <w:hideMark/>
          </w:tcPr>
          <w:p w14:paraId="7F512751"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Ľudské zdroje v štátnom IT</w:t>
            </w:r>
          </w:p>
        </w:tc>
        <w:tc>
          <w:tcPr>
            <w:tcW w:w="5841" w:type="dxa"/>
            <w:tcBorders>
              <w:top w:val="nil"/>
              <w:left w:val="nil"/>
              <w:bottom w:val="single" w:sz="4" w:space="0" w:color="auto"/>
              <w:right w:val="single" w:sz="4" w:space="0" w:color="auto"/>
            </w:tcBorders>
            <w:shd w:val="clear" w:color="FFFFCC" w:fill="FFFFFF"/>
            <w:hideMark/>
          </w:tcPr>
          <w:p w14:paraId="675E43F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IT fitness test štátnych zamestnancov</w:t>
            </w:r>
          </w:p>
        </w:tc>
        <w:tc>
          <w:tcPr>
            <w:tcW w:w="1224" w:type="dxa"/>
            <w:tcBorders>
              <w:top w:val="nil"/>
              <w:left w:val="nil"/>
              <w:bottom w:val="single" w:sz="4" w:space="0" w:color="auto"/>
              <w:right w:val="single" w:sz="4" w:space="0" w:color="auto"/>
            </w:tcBorders>
            <w:shd w:val="clear" w:color="FFFFCC" w:fill="FFFFFF"/>
            <w:noWrap/>
            <w:hideMark/>
          </w:tcPr>
          <w:p w14:paraId="26631A9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MIRRI</w:t>
            </w:r>
          </w:p>
        </w:tc>
        <w:tc>
          <w:tcPr>
            <w:tcW w:w="1161" w:type="dxa"/>
            <w:tcBorders>
              <w:top w:val="nil"/>
              <w:left w:val="nil"/>
              <w:bottom w:val="single" w:sz="4" w:space="0" w:color="auto"/>
              <w:right w:val="single" w:sz="4" w:space="0" w:color="auto"/>
            </w:tcBorders>
            <w:shd w:val="clear" w:color="FFFFCC" w:fill="FFFFFF"/>
            <w:noWrap/>
            <w:hideMark/>
          </w:tcPr>
          <w:p w14:paraId="430049A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prieskum</w:t>
            </w:r>
          </w:p>
        </w:tc>
        <w:tc>
          <w:tcPr>
            <w:tcW w:w="970" w:type="dxa"/>
            <w:tcBorders>
              <w:top w:val="nil"/>
              <w:left w:val="nil"/>
              <w:bottom w:val="single" w:sz="4" w:space="0" w:color="auto"/>
              <w:right w:val="single" w:sz="4" w:space="0" w:color="auto"/>
            </w:tcBorders>
            <w:shd w:val="clear" w:color="FFFFCC" w:fill="FFFFFF"/>
            <w:noWrap/>
            <w:hideMark/>
          </w:tcPr>
          <w:p w14:paraId="7D1779D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54%</w:t>
            </w:r>
          </w:p>
        </w:tc>
        <w:tc>
          <w:tcPr>
            <w:tcW w:w="1179" w:type="dxa"/>
            <w:tcBorders>
              <w:top w:val="nil"/>
              <w:left w:val="nil"/>
              <w:bottom w:val="single" w:sz="4" w:space="0" w:color="auto"/>
              <w:right w:val="single" w:sz="4" w:space="0" w:color="auto"/>
            </w:tcBorders>
            <w:shd w:val="clear" w:color="FFFFCC" w:fill="FFFFFF"/>
            <w:noWrap/>
            <w:hideMark/>
          </w:tcPr>
          <w:p w14:paraId="08AA20F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55%</w:t>
            </w:r>
          </w:p>
        </w:tc>
        <w:tc>
          <w:tcPr>
            <w:tcW w:w="1179" w:type="dxa"/>
            <w:tcBorders>
              <w:top w:val="nil"/>
              <w:left w:val="nil"/>
              <w:bottom w:val="single" w:sz="4" w:space="0" w:color="auto"/>
              <w:right w:val="single" w:sz="4" w:space="0" w:color="auto"/>
            </w:tcBorders>
            <w:shd w:val="clear" w:color="FFFFCC" w:fill="FFFFFF"/>
            <w:noWrap/>
            <w:hideMark/>
          </w:tcPr>
          <w:p w14:paraId="01BEB6DD"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56%</w:t>
            </w:r>
          </w:p>
        </w:tc>
        <w:tc>
          <w:tcPr>
            <w:tcW w:w="1179" w:type="dxa"/>
            <w:tcBorders>
              <w:top w:val="nil"/>
              <w:left w:val="nil"/>
              <w:bottom w:val="single" w:sz="4" w:space="0" w:color="auto"/>
              <w:right w:val="single" w:sz="4" w:space="0" w:color="auto"/>
            </w:tcBorders>
            <w:shd w:val="clear" w:color="FFFFCC" w:fill="FFFFFF"/>
            <w:noWrap/>
            <w:hideMark/>
          </w:tcPr>
          <w:p w14:paraId="0C79F2B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57%</w:t>
            </w:r>
          </w:p>
        </w:tc>
      </w:tr>
      <w:tr w:rsidR="00873A9F" w:rsidRPr="00873A9F" w14:paraId="71D9A47E"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hideMark/>
          </w:tcPr>
          <w:p w14:paraId="25CBFCB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D9D9D9"/>
            <w:hideMark/>
          </w:tcPr>
          <w:p w14:paraId="1DAA969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Kybernetická a informačná bezpečnosť</w:t>
            </w:r>
          </w:p>
        </w:tc>
        <w:tc>
          <w:tcPr>
            <w:tcW w:w="5841" w:type="dxa"/>
            <w:tcBorders>
              <w:top w:val="nil"/>
              <w:left w:val="nil"/>
              <w:bottom w:val="single" w:sz="4" w:space="0" w:color="auto"/>
              <w:right w:val="single" w:sz="4" w:space="0" w:color="auto"/>
            </w:tcBorders>
            <w:shd w:val="clear" w:color="000000" w:fill="D9D9D9"/>
            <w:hideMark/>
          </w:tcPr>
          <w:p w14:paraId="34606C8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Počet nasadených nástrojov na rozpoznávanie, monitorovanie a riadenie bezpečnostných incidentov v prostredí verejnej správy</w:t>
            </w:r>
          </w:p>
        </w:tc>
        <w:tc>
          <w:tcPr>
            <w:tcW w:w="1224" w:type="dxa"/>
            <w:tcBorders>
              <w:top w:val="nil"/>
              <w:left w:val="nil"/>
              <w:bottom w:val="single" w:sz="4" w:space="0" w:color="auto"/>
              <w:right w:val="single" w:sz="4" w:space="0" w:color="auto"/>
            </w:tcBorders>
            <w:shd w:val="clear" w:color="000000" w:fill="D9D9D9"/>
            <w:hideMark/>
          </w:tcPr>
          <w:p w14:paraId="72308E65"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vybrané orgány riadenia</w:t>
            </w:r>
          </w:p>
        </w:tc>
        <w:tc>
          <w:tcPr>
            <w:tcW w:w="1161" w:type="dxa"/>
            <w:tcBorders>
              <w:top w:val="nil"/>
              <w:left w:val="nil"/>
              <w:bottom w:val="single" w:sz="4" w:space="0" w:color="auto"/>
              <w:right w:val="single" w:sz="4" w:space="0" w:color="auto"/>
            </w:tcBorders>
            <w:shd w:val="clear" w:color="000000" w:fill="D9D9D9"/>
            <w:hideMark/>
          </w:tcPr>
          <w:p w14:paraId="4BD3B59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000000" w:fill="D9D9D9"/>
            <w:noWrap/>
            <w:hideMark/>
          </w:tcPr>
          <w:p w14:paraId="13EA80A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79" w:type="dxa"/>
            <w:tcBorders>
              <w:top w:val="nil"/>
              <w:left w:val="nil"/>
              <w:bottom w:val="single" w:sz="4" w:space="0" w:color="auto"/>
              <w:right w:val="single" w:sz="4" w:space="0" w:color="auto"/>
            </w:tcBorders>
            <w:shd w:val="clear" w:color="000000" w:fill="D9D9D9"/>
            <w:noWrap/>
            <w:hideMark/>
          </w:tcPr>
          <w:p w14:paraId="2655765C"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000000" w:fill="D9D9D9"/>
            <w:noWrap/>
            <w:hideMark/>
          </w:tcPr>
          <w:p w14:paraId="37AA610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60</w:t>
            </w:r>
          </w:p>
        </w:tc>
        <w:tc>
          <w:tcPr>
            <w:tcW w:w="1179" w:type="dxa"/>
            <w:tcBorders>
              <w:top w:val="nil"/>
              <w:left w:val="nil"/>
              <w:bottom w:val="single" w:sz="4" w:space="0" w:color="auto"/>
              <w:right w:val="single" w:sz="4" w:space="0" w:color="auto"/>
            </w:tcBorders>
            <w:shd w:val="clear" w:color="000000" w:fill="D9D9D9"/>
            <w:noWrap/>
            <w:hideMark/>
          </w:tcPr>
          <w:p w14:paraId="1E59B0A0"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90</w:t>
            </w:r>
          </w:p>
        </w:tc>
      </w:tr>
      <w:tr w:rsidR="00873A9F" w:rsidRPr="00873A9F" w14:paraId="6CA8B8F1"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hideMark/>
          </w:tcPr>
          <w:p w14:paraId="458862B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D9D9D9"/>
            <w:hideMark/>
          </w:tcPr>
          <w:p w14:paraId="1C400AE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Kybernetická a informačná bezpečnosť</w:t>
            </w:r>
          </w:p>
        </w:tc>
        <w:tc>
          <w:tcPr>
            <w:tcW w:w="5841" w:type="dxa"/>
            <w:tcBorders>
              <w:top w:val="nil"/>
              <w:left w:val="nil"/>
              <w:bottom w:val="single" w:sz="4" w:space="0" w:color="auto"/>
              <w:right w:val="single" w:sz="4" w:space="0" w:color="auto"/>
            </w:tcBorders>
            <w:shd w:val="clear" w:color="000000" w:fill="D9D9D9"/>
            <w:hideMark/>
          </w:tcPr>
          <w:p w14:paraId="5FEE320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Počet vyškolených manažérov kybernetickej a informačnej bezpečnosti v sektore verejnej správy</w:t>
            </w:r>
          </w:p>
        </w:tc>
        <w:tc>
          <w:tcPr>
            <w:tcW w:w="1224" w:type="dxa"/>
            <w:tcBorders>
              <w:top w:val="nil"/>
              <w:left w:val="nil"/>
              <w:bottom w:val="single" w:sz="4" w:space="0" w:color="auto"/>
              <w:right w:val="single" w:sz="4" w:space="0" w:color="auto"/>
            </w:tcBorders>
            <w:shd w:val="clear" w:color="000000" w:fill="D9D9D9"/>
            <w:hideMark/>
          </w:tcPr>
          <w:p w14:paraId="5001292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subjekty VS</w:t>
            </w:r>
          </w:p>
        </w:tc>
        <w:tc>
          <w:tcPr>
            <w:tcW w:w="1161" w:type="dxa"/>
            <w:tcBorders>
              <w:top w:val="nil"/>
              <w:left w:val="nil"/>
              <w:bottom w:val="single" w:sz="4" w:space="0" w:color="auto"/>
              <w:right w:val="single" w:sz="4" w:space="0" w:color="auto"/>
            </w:tcBorders>
            <w:shd w:val="clear" w:color="000000" w:fill="D9D9D9"/>
            <w:hideMark/>
          </w:tcPr>
          <w:p w14:paraId="5794A05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Prieskum MIRRI </w:t>
            </w:r>
          </w:p>
        </w:tc>
        <w:tc>
          <w:tcPr>
            <w:tcW w:w="970" w:type="dxa"/>
            <w:tcBorders>
              <w:top w:val="nil"/>
              <w:left w:val="nil"/>
              <w:bottom w:val="single" w:sz="4" w:space="0" w:color="auto"/>
              <w:right w:val="single" w:sz="4" w:space="0" w:color="auto"/>
            </w:tcBorders>
            <w:shd w:val="clear" w:color="000000" w:fill="D9D9D9"/>
            <w:noWrap/>
            <w:hideMark/>
          </w:tcPr>
          <w:p w14:paraId="7BD9493B"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w:t>
            </w:r>
          </w:p>
        </w:tc>
        <w:tc>
          <w:tcPr>
            <w:tcW w:w="1179" w:type="dxa"/>
            <w:tcBorders>
              <w:top w:val="nil"/>
              <w:left w:val="nil"/>
              <w:bottom w:val="single" w:sz="4" w:space="0" w:color="auto"/>
              <w:right w:val="single" w:sz="4" w:space="0" w:color="auto"/>
            </w:tcBorders>
            <w:shd w:val="clear" w:color="000000" w:fill="D9D9D9"/>
            <w:noWrap/>
            <w:hideMark/>
          </w:tcPr>
          <w:p w14:paraId="59DB4BC7"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30</w:t>
            </w:r>
          </w:p>
        </w:tc>
        <w:tc>
          <w:tcPr>
            <w:tcW w:w="1179" w:type="dxa"/>
            <w:tcBorders>
              <w:top w:val="nil"/>
              <w:left w:val="nil"/>
              <w:bottom w:val="single" w:sz="4" w:space="0" w:color="auto"/>
              <w:right w:val="single" w:sz="4" w:space="0" w:color="auto"/>
            </w:tcBorders>
            <w:shd w:val="clear" w:color="000000" w:fill="D9D9D9"/>
            <w:noWrap/>
            <w:hideMark/>
          </w:tcPr>
          <w:p w14:paraId="4CF6E822"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60</w:t>
            </w:r>
          </w:p>
        </w:tc>
        <w:tc>
          <w:tcPr>
            <w:tcW w:w="1179" w:type="dxa"/>
            <w:tcBorders>
              <w:top w:val="nil"/>
              <w:left w:val="nil"/>
              <w:bottom w:val="single" w:sz="4" w:space="0" w:color="auto"/>
              <w:right w:val="single" w:sz="4" w:space="0" w:color="auto"/>
            </w:tcBorders>
            <w:shd w:val="clear" w:color="000000" w:fill="D9D9D9"/>
            <w:noWrap/>
            <w:hideMark/>
          </w:tcPr>
          <w:p w14:paraId="37344E3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90</w:t>
            </w:r>
          </w:p>
        </w:tc>
      </w:tr>
      <w:tr w:rsidR="00873A9F" w:rsidRPr="00873A9F" w14:paraId="6DDE5F24" w14:textId="77777777" w:rsidTr="00873A9F">
        <w:trPr>
          <w:trHeight w:val="799"/>
        </w:trPr>
        <w:tc>
          <w:tcPr>
            <w:tcW w:w="680" w:type="dxa"/>
            <w:tcBorders>
              <w:top w:val="nil"/>
              <w:left w:val="single" w:sz="4" w:space="0" w:color="auto"/>
              <w:bottom w:val="single" w:sz="4" w:space="0" w:color="auto"/>
              <w:right w:val="single" w:sz="4" w:space="0" w:color="auto"/>
            </w:tcBorders>
            <w:shd w:val="clear" w:color="FFFFCC" w:fill="D9D9D9"/>
            <w:hideMark/>
          </w:tcPr>
          <w:p w14:paraId="1FCBDB2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single" w:sz="4" w:space="0" w:color="auto"/>
              <w:right w:val="single" w:sz="4" w:space="0" w:color="auto"/>
            </w:tcBorders>
            <w:shd w:val="clear" w:color="FFFFCC" w:fill="D9D9D9"/>
            <w:hideMark/>
          </w:tcPr>
          <w:p w14:paraId="6AA34CB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Kybernetická a informačná bezpečnosť</w:t>
            </w:r>
          </w:p>
        </w:tc>
        <w:tc>
          <w:tcPr>
            <w:tcW w:w="5841" w:type="dxa"/>
            <w:tcBorders>
              <w:top w:val="nil"/>
              <w:left w:val="nil"/>
              <w:bottom w:val="single" w:sz="4" w:space="0" w:color="auto"/>
              <w:right w:val="single" w:sz="4" w:space="0" w:color="auto"/>
            </w:tcBorders>
            <w:shd w:val="clear" w:color="000000" w:fill="D9D9D9"/>
            <w:hideMark/>
          </w:tcPr>
          <w:p w14:paraId="15C2273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Posilnenie ľudských kapacít a vzdelávania v oblasti KIB z dôvodu spolupráce pri vzdelávaní a metodickej pomoci verejnej správe, pre zabezpečenie potrebných kapacít a zručností a vývoj nových bezpečnostných riešení.</w:t>
            </w:r>
          </w:p>
        </w:tc>
        <w:tc>
          <w:tcPr>
            <w:tcW w:w="1224" w:type="dxa"/>
            <w:tcBorders>
              <w:top w:val="nil"/>
              <w:left w:val="nil"/>
              <w:bottom w:val="single" w:sz="4" w:space="0" w:color="auto"/>
              <w:right w:val="single" w:sz="4" w:space="0" w:color="auto"/>
            </w:tcBorders>
            <w:shd w:val="clear" w:color="000000" w:fill="D9D9D9"/>
            <w:hideMark/>
          </w:tcPr>
          <w:p w14:paraId="5467986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xml:space="preserve">MIRRI v spolupráci vysoké školy </w:t>
            </w:r>
          </w:p>
        </w:tc>
        <w:tc>
          <w:tcPr>
            <w:tcW w:w="1161" w:type="dxa"/>
            <w:tcBorders>
              <w:top w:val="nil"/>
              <w:left w:val="nil"/>
              <w:bottom w:val="single" w:sz="4" w:space="0" w:color="auto"/>
              <w:right w:val="single" w:sz="4" w:space="0" w:color="auto"/>
            </w:tcBorders>
            <w:shd w:val="clear" w:color="000000" w:fill="D9D9D9"/>
            <w:hideMark/>
          </w:tcPr>
          <w:p w14:paraId="254DF04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prieskum MIRRI</w:t>
            </w:r>
          </w:p>
        </w:tc>
        <w:tc>
          <w:tcPr>
            <w:tcW w:w="970" w:type="dxa"/>
            <w:tcBorders>
              <w:top w:val="nil"/>
              <w:left w:val="nil"/>
              <w:bottom w:val="single" w:sz="4" w:space="0" w:color="auto"/>
              <w:right w:val="single" w:sz="4" w:space="0" w:color="auto"/>
            </w:tcBorders>
            <w:shd w:val="clear" w:color="000000" w:fill="D9D9D9"/>
            <w:noWrap/>
            <w:hideMark/>
          </w:tcPr>
          <w:p w14:paraId="3A076CE5"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0</w:t>
            </w:r>
          </w:p>
        </w:tc>
        <w:tc>
          <w:tcPr>
            <w:tcW w:w="1179" w:type="dxa"/>
            <w:tcBorders>
              <w:top w:val="nil"/>
              <w:left w:val="nil"/>
              <w:bottom w:val="single" w:sz="4" w:space="0" w:color="auto"/>
              <w:right w:val="single" w:sz="4" w:space="0" w:color="auto"/>
            </w:tcBorders>
            <w:shd w:val="clear" w:color="000000" w:fill="D9D9D9"/>
            <w:noWrap/>
            <w:hideMark/>
          </w:tcPr>
          <w:p w14:paraId="49E96143"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1</w:t>
            </w:r>
          </w:p>
        </w:tc>
        <w:tc>
          <w:tcPr>
            <w:tcW w:w="1179" w:type="dxa"/>
            <w:tcBorders>
              <w:top w:val="nil"/>
              <w:left w:val="nil"/>
              <w:bottom w:val="single" w:sz="4" w:space="0" w:color="auto"/>
              <w:right w:val="single" w:sz="4" w:space="0" w:color="auto"/>
            </w:tcBorders>
            <w:shd w:val="clear" w:color="000000" w:fill="D9D9D9"/>
            <w:noWrap/>
            <w:hideMark/>
          </w:tcPr>
          <w:p w14:paraId="1945198A"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3</w:t>
            </w:r>
          </w:p>
        </w:tc>
        <w:tc>
          <w:tcPr>
            <w:tcW w:w="1179" w:type="dxa"/>
            <w:tcBorders>
              <w:top w:val="nil"/>
              <w:left w:val="nil"/>
              <w:bottom w:val="single" w:sz="4" w:space="0" w:color="auto"/>
              <w:right w:val="single" w:sz="4" w:space="0" w:color="auto"/>
            </w:tcBorders>
            <w:shd w:val="clear" w:color="000000" w:fill="D9D9D9"/>
            <w:noWrap/>
            <w:hideMark/>
          </w:tcPr>
          <w:p w14:paraId="0AF18094" w14:textId="77777777" w:rsidR="00873A9F" w:rsidRPr="00873A9F" w:rsidRDefault="00873A9F" w:rsidP="00873A9F">
            <w:pPr>
              <w:spacing w:after="0" w:line="240" w:lineRule="auto"/>
              <w:jc w:val="righ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8</w:t>
            </w:r>
          </w:p>
        </w:tc>
      </w:tr>
      <w:tr w:rsidR="00873A9F" w:rsidRPr="00873A9F" w14:paraId="6F3F76DE" w14:textId="77777777" w:rsidTr="00873A9F">
        <w:trPr>
          <w:trHeight w:val="330"/>
        </w:trPr>
        <w:tc>
          <w:tcPr>
            <w:tcW w:w="680" w:type="dxa"/>
            <w:tcBorders>
              <w:top w:val="nil"/>
              <w:left w:val="nil"/>
              <w:bottom w:val="nil"/>
              <w:right w:val="nil"/>
            </w:tcBorders>
            <w:shd w:val="clear" w:color="FFFFCC" w:fill="FFFFFF"/>
            <w:noWrap/>
            <w:hideMark/>
          </w:tcPr>
          <w:p w14:paraId="06F4DCD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lastRenderedPageBreak/>
              <w:t> </w:t>
            </w:r>
          </w:p>
        </w:tc>
        <w:tc>
          <w:tcPr>
            <w:tcW w:w="1120" w:type="dxa"/>
            <w:tcBorders>
              <w:top w:val="nil"/>
              <w:left w:val="nil"/>
              <w:bottom w:val="nil"/>
              <w:right w:val="nil"/>
            </w:tcBorders>
            <w:shd w:val="clear" w:color="FFFFCC" w:fill="FFFFFF"/>
            <w:hideMark/>
          </w:tcPr>
          <w:p w14:paraId="7AC817C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69448BD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224" w:type="dxa"/>
            <w:tcBorders>
              <w:top w:val="nil"/>
              <w:left w:val="nil"/>
              <w:bottom w:val="nil"/>
              <w:right w:val="nil"/>
            </w:tcBorders>
            <w:shd w:val="clear" w:color="FFFFCC" w:fill="FFFFFF"/>
            <w:noWrap/>
            <w:hideMark/>
          </w:tcPr>
          <w:p w14:paraId="05B6E9E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5538922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764C657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6BDE85D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2C2492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27C226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7AC21D66" w14:textId="77777777" w:rsidTr="00873A9F">
        <w:trPr>
          <w:trHeight w:val="270"/>
        </w:trPr>
        <w:tc>
          <w:tcPr>
            <w:tcW w:w="1800" w:type="dxa"/>
            <w:gridSpan w:val="2"/>
            <w:tcBorders>
              <w:top w:val="nil"/>
              <w:left w:val="nil"/>
              <w:bottom w:val="nil"/>
              <w:right w:val="nil"/>
            </w:tcBorders>
            <w:shd w:val="clear" w:color="FFFFCC" w:fill="FFFFFF"/>
            <w:noWrap/>
            <w:hideMark/>
          </w:tcPr>
          <w:p w14:paraId="70C0131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Použité skratky:</w:t>
            </w:r>
          </w:p>
        </w:tc>
        <w:tc>
          <w:tcPr>
            <w:tcW w:w="5841" w:type="dxa"/>
            <w:tcBorders>
              <w:top w:val="nil"/>
              <w:left w:val="nil"/>
              <w:bottom w:val="nil"/>
              <w:right w:val="nil"/>
            </w:tcBorders>
            <w:shd w:val="clear" w:color="FFFFCC" w:fill="FFFFFF"/>
            <w:noWrap/>
            <w:hideMark/>
          </w:tcPr>
          <w:p w14:paraId="13AA490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224" w:type="dxa"/>
            <w:tcBorders>
              <w:top w:val="nil"/>
              <w:left w:val="nil"/>
              <w:bottom w:val="nil"/>
              <w:right w:val="nil"/>
            </w:tcBorders>
            <w:shd w:val="clear" w:color="FFFFCC" w:fill="FFFFFF"/>
            <w:noWrap/>
            <w:hideMark/>
          </w:tcPr>
          <w:p w14:paraId="06C07760"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20B04B9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2650655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54C04F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06702C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AE127D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6C0171B8" w14:textId="77777777" w:rsidTr="00873A9F">
        <w:trPr>
          <w:trHeight w:val="270"/>
        </w:trPr>
        <w:tc>
          <w:tcPr>
            <w:tcW w:w="680" w:type="dxa"/>
            <w:tcBorders>
              <w:top w:val="nil"/>
              <w:left w:val="nil"/>
              <w:bottom w:val="nil"/>
              <w:right w:val="nil"/>
            </w:tcBorders>
            <w:shd w:val="clear" w:color="FFFFCC" w:fill="FFFFFF"/>
            <w:noWrap/>
            <w:hideMark/>
          </w:tcPr>
          <w:p w14:paraId="03EEC66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20" w:type="dxa"/>
            <w:tcBorders>
              <w:top w:val="nil"/>
              <w:left w:val="nil"/>
              <w:bottom w:val="nil"/>
              <w:right w:val="nil"/>
            </w:tcBorders>
            <w:shd w:val="clear" w:color="FFFFCC" w:fill="FFFFFF"/>
            <w:noWrap/>
            <w:hideMark/>
          </w:tcPr>
          <w:p w14:paraId="7A3E7824"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499400A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224" w:type="dxa"/>
            <w:tcBorders>
              <w:top w:val="nil"/>
              <w:left w:val="nil"/>
              <w:bottom w:val="nil"/>
              <w:right w:val="nil"/>
            </w:tcBorders>
            <w:shd w:val="clear" w:color="FFFFCC" w:fill="FFFFFF"/>
            <w:noWrap/>
            <w:hideMark/>
          </w:tcPr>
          <w:p w14:paraId="4DE9DF0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201D2F7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1AB3872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453EA1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248137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321F0B4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66CA381D" w14:textId="77777777" w:rsidTr="00873A9F">
        <w:trPr>
          <w:trHeight w:val="270"/>
        </w:trPr>
        <w:tc>
          <w:tcPr>
            <w:tcW w:w="680" w:type="dxa"/>
            <w:tcBorders>
              <w:top w:val="nil"/>
              <w:left w:val="nil"/>
              <w:bottom w:val="nil"/>
              <w:right w:val="nil"/>
            </w:tcBorders>
            <w:shd w:val="clear" w:color="FFFFCC" w:fill="FFFFFF"/>
            <w:noWrap/>
            <w:hideMark/>
          </w:tcPr>
          <w:p w14:paraId="0E749D8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DT</w:t>
            </w:r>
          </w:p>
        </w:tc>
        <w:tc>
          <w:tcPr>
            <w:tcW w:w="1120" w:type="dxa"/>
            <w:tcBorders>
              <w:top w:val="nil"/>
              <w:left w:val="nil"/>
              <w:bottom w:val="nil"/>
              <w:right w:val="nil"/>
            </w:tcBorders>
            <w:shd w:val="clear" w:color="FFFFCC" w:fill="FFFFFF"/>
            <w:noWrap/>
            <w:hideMark/>
          </w:tcPr>
          <w:p w14:paraId="2ACB0281"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492BE1E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Digitálna transformácia</w:t>
            </w:r>
          </w:p>
        </w:tc>
        <w:tc>
          <w:tcPr>
            <w:tcW w:w="1224" w:type="dxa"/>
            <w:tcBorders>
              <w:top w:val="nil"/>
              <w:left w:val="nil"/>
              <w:bottom w:val="nil"/>
              <w:right w:val="nil"/>
            </w:tcBorders>
            <w:shd w:val="clear" w:color="FFFFCC" w:fill="FFFFFF"/>
            <w:noWrap/>
            <w:hideMark/>
          </w:tcPr>
          <w:p w14:paraId="33857ED5"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235F822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2210E4A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D21271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BE4CB2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1352B3D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24500C8C" w14:textId="77777777" w:rsidTr="00873A9F">
        <w:trPr>
          <w:trHeight w:val="270"/>
        </w:trPr>
        <w:tc>
          <w:tcPr>
            <w:tcW w:w="1800" w:type="dxa"/>
            <w:gridSpan w:val="2"/>
            <w:tcBorders>
              <w:top w:val="nil"/>
              <w:left w:val="nil"/>
              <w:bottom w:val="nil"/>
              <w:right w:val="nil"/>
            </w:tcBorders>
            <w:shd w:val="clear" w:color="FFFFCC" w:fill="FFFFFF"/>
            <w:noWrap/>
            <w:hideMark/>
          </w:tcPr>
          <w:p w14:paraId="76D797C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xml:space="preserve">eGov Benchmark </w:t>
            </w:r>
          </w:p>
        </w:tc>
        <w:tc>
          <w:tcPr>
            <w:tcW w:w="5841" w:type="dxa"/>
            <w:tcBorders>
              <w:top w:val="nil"/>
              <w:left w:val="nil"/>
              <w:bottom w:val="nil"/>
              <w:right w:val="nil"/>
            </w:tcBorders>
            <w:shd w:val="clear" w:color="FFFFCC" w:fill="FFFFFF"/>
            <w:noWrap/>
            <w:hideMark/>
          </w:tcPr>
          <w:p w14:paraId="47E6DF6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eGovernment Benchmark Method Paper 2020 - 2023</w:t>
            </w:r>
          </w:p>
        </w:tc>
        <w:tc>
          <w:tcPr>
            <w:tcW w:w="1224" w:type="dxa"/>
            <w:tcBorders>
              <w:top w:val="nil"/>
              <w:left w:val="nil"/>
              <w:bottom w:val="nil"/>
              <w:right w:val="nil"/>
            </w:tcBorders>
            <w:shd w:val="clear" w:color="FFFFCC" w:fill="FFFFFF"/>
            <w:noWrap/>
            <w:hideMark/>
          </w:tcPr>
          <w:p w14:paraId="7F151CC0"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67FCE3A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6BB5E80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3C92A85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6150BEC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1B4132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59DBDE9A" w14:textId="77777777" w:rsidTr="00873A9F">
        <w:trPr>
          <w:trHeight w:val="270"/>
        </w:trPr>
        <w:tc>
          <w:tcPr>
            <w:tcW w:w="680" w:type="dxa"/>
            <w:tcBorders>
              <w:top w:val="nil"/>
              <w:left w:val="nil"/>
              <w:bottom w:val="nil"/>
              <w:right w:val="nil"/>
            </w:tcBorders>
            <w:shd w:val="clear" w:color="FFFFCC" w:fill="FFFFFF"/>
            <w:noWrap/>
            <w:hideMark/>
          </w:tcPr>
          <w:p w14:paraId="2DFE2C0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EK</w:t>
            </w:r>
          </w:p>
        </w:tc>
        <w:tc>
          <w:tcPr>
            <w:tcW w:w="1120" w:type="dxa"/>
            <w:tcBorders>
              <w:top w:val="nil"/>
              <w:left w:val="nil"/>
              <w:bottom w:val="nil"/>
              <w:right w:val="nil"/>
            </w:tcBorders>
            <w:shd w:val="clear" w:color="FFFFCC" w:fill="FFFFFF"/>
            <w:noWrap/>
            <w:hideMark/>
          </w:tcPr>
          <w:p w14:paraId="0AECDCB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3BDC4B3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Európska komisia</w:t>
            </w:r>
          </w:p>
        </w:tc>
        <w:tc>
          <w:tcPr>
            <w:tcW w:w="1224" w:type="dxa"/>
            <w:tcBorders>
              <w:top w:val="nil"/>
              <w:left w:val="nil"/>
              <w:bottom w:val="nil"/>
              <w:right w:val="nil"/>
            </w:tcBorders>
            <w:shd w:val="clear" w:color="FFFFCC" w:fill="FFFFFF"/>
            <w:noWrap/>
            <w:hideMark/>
          </w:tcPr>
          <w:p w14:paraId="0D3D9A87"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0F5DECF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21584A8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32FB02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678587D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8B9C58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2D360C2F" w14:textId="77777777" w:rsidTr="00873A9F">
        <w:trPr>
          <w:trHeight w:val="270"/>
        </w:trPr>
        <w:tc>
          <w:tcPr>
            <w:tcW w:w="680" w:type="dxa"/>
            <w:tcBorders>
              <w:top w:val="nil"/>
              <w:left w:val="nil"/>
              <w:bottom w:val="nil"/>
              <w:right w:val="nil"/>
            </w:tcBorders>
            <w:shd w:val="clear" w:color="FFFFCC" w:fill="FFFFFF"/>
            <w:noWrap/>
            <w:hideMark/>
          </w:tcPr>
          <w:p w14:paraId="62F79ED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ER</w:t>
            </w:r>
          </w:p>
        </w:tc>
        <w:tc>
          <w:tcPr>
            <w:tcW w:w="1120" w:type="dxa"/>
            <w:tcBorders>
              <w:top w:val="nil"/>
              <w:left w:val="nil"/>
              <w:bottom w:val="nil"/>
              <w:right w:val="nil"/>
            </w:tcBorders>
            <w:shd w:val="clear" w:color="FFFFCC" w:fill="FFFFFF"/>
            <w:noWrap/>
            <w:hideMark/>
          </w:tcPr>
          <w:p w14:paraId="5096C48D"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42FF328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Efektívne riadenie</w:t>
            </w:r>
          </w:p>
        </w:tc>
        <w:tc>
          <w:tcPr>
            <w:tcW w:w="1224" w:type="dxa"/>
            <w:tcBorders>
              <w:top w:val="nil"/>
              <w:left w:val="nil"/>
              <w:bottom w:val="nil"/>
              <w:right w:val="nil"/>
            </w:tcBorders>
            <w:shd w:val="clear" w:color="FFFFCC" w:fill="FFFFFF"/>
            <w:noWrap/>
            <w:hideMark/>
          </w:tcPr>
          <w:p w14:paraId="53418489"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1386576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23D4103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197FDDB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96A4C8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E0627E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2CF79F1A" w14:textId="77777777" w:rsidTr="00873A9F">
        <w:trPr>
          <w:trHeight w:val="270"/>
        </w:trPr>
        <w:tc>
          <w:tcPr>
            <w:tcW w:w="680" w:type="dxa"/>
            <w:tcBorders>
              <w:top w:val="nil"/>
              <w:left w:val="nil"/>
              <w:bottom w:val="nil"/>
              <w:right w:val="nil"/>
            </w:tcBorders>
            <w:shd w:val="clear" w:color="FFFFCC" w:fill="FFFFFF"/>
            <w:noWrap/>
            <w:hideMark/>
          </w:tcPr>
          <w:p w14:paraId="0D7E283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KS</w:t>
            </w:r>
          </w:p>
        </w:tc>
        <w:tc>
          <w:tcPr>
            <w:tcW w:w="1120" w:type="dxa"/>
            <w:tcBorders>
              <w:top w:val="nil"/>
              <w:left w:val="nil"/>
              <w:bottom w:val="nil"/>
              <w:right w:val="nil"/>
            </w:tcBorders>
            <w:shd w:val="clear" w:color="FFFFCC" w:fill="FFFFFF"/>
            <w:noWrap/>
            <w:hideMark/>
          </w:tcPr>
          <w:p w14:paraId="3BD88D5C"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7DB3C6A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Koncová služba</w:t>
            </w:r>
          </w:p>
        </w:tc>
        <w:tc>
          <w:tcPr>
            <w:tcW w:w="1224" w:type="dxa"/>
            <w:tcBorders>
              <w:top w:val="nil"/>
              <w:left w:val="nil"/>
              <w:bottom w:val="nil"/>
              <w:right w:val="nil"/>
            </w:tcBorders>
            <w:shd w:val="clear" w:color="FFFFCC" w:fill="FFFFFF"/>
            <w:noWrap/>
            <w:hideMark/>
          </w:tcPr>
          <w:p w14:paraId="74D9ED41"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676FD41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4829665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7477FC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CFDD84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15ECD5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00DB0C33" w14:textId="77777777" w:rsidTr="00873A9F">
        <w:trPr>
          <w:trHeight w:val="270"/>
        </w:trPr>
        <w:tc>
          <w:tcPr>
            <w:tcW w:w="680" w:type="dxa"/>
            <w:tcBorders>
              <w:top w:val="nil"/>
              <w:left w:val="nil"/>
              <w:bottom w:val="nil"/>
              <w:right w:val="nil"/>
            </w:tcBorders>
            <w:shd w:val="clear" w:color="FFFFCC" w:fill="FFFFFF"/>
            <w:noWrap/>
            <w:hideMark/>
          </w:tcPr>
          <w:p w14:paraId="329F79E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DS</w:t>
            </w:r>
          </w:p>
        </w:tc>
        <w:tc>
          <w:tcPr>
            <w:tcW w:w="1120" w:type="dxa"/>
            <w:tcBorders>
              <w:top w:val="nil"/>
              <w:left w:val="nil"/>
              <w:bottom w:val="nil"/>
              <w:right w:val="nil"/>
            </w:tcBorders>
            <w:shd w:val="clear" w:color="FFFFCC" w:fill="FFFFFF"/>
            <w:noWrap/>
            <w:hideMark/>
          </w:tcPr>
          <w:p w14:paraId="2B14162E"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3CA3A59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Digitálne služby</w:t>
            </w:r>
          </w:p>
        </w:tc>
        <w:tc>
          <w:tcPr>
            <w:tcW w:w="1224" w:type="dxa"/>
            <w:tcBorders>
              <w:top w:val="nil"/>
              <w:left w:val="nil"/>
              <w:bottom w:val="nil"/>
              <w:right w:val="nil"/>
            </w:tcBorders>
            <w:shd w:val="clear" w:color="FFFFCC" w:fill="FFFFFF"/>
            <w:noWrap/>
            <w:hideMark/>
          </w:tcPr>
          <w:p w14:paraId="6D143688"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3B7CE90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42059C6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6C4EA90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20B6A06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1934277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64B3717C" w14:textId="77777777" w:rsidTr="00873A9F">
        <w:trPr>
          <w:trHeight w:val="270"/>
        </w:trPr>
        <w:tc>
          <w:tcPr>
            <w:tcW w:w="680" w:type="dxa"/>
            <w:tcBorders>
              <w:top w:val="nil"/>
              <w:left w:val="nil"/>
              <w:bottom w:val="nil"/>
              <w:right w:val="nil"/>
            </w:tcBorders>
            <w:shd w:val="clear" w:color="FFFFCC" w:fill="FFFFFF"/>
            <w:noWrap/>
            <w:hideMark/>
          </w:tcPr>
          <w:p w14:paraId="6E6FBFB0"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NA</w:t>
            </w:r>
          </w:p>
        </w:tc>
        <w:tc>
          <w:tcPr>
            <w:tcW w:w="1120" w:type="dxa"/>
            <w:tcBorders>
              <w:top w:val="nil"/>
              <w:left w:val="nil"/>
              <w:bottom w:val="nil"/>
              <w:right w:val="nil"/>
            </w:tcBorders>
            <w:shd w:val="clear" w:color="FFFFCC" w:fill="FFFFFF"/>
            <w:noWrap/>
            <w:hideMark/>
          </w:tcPr>
          <w:p w14:paraId="5019C7DC"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0815312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neaplikuje sa</w:t>
            </w:r>
          </w:p>
        </w:tc>
        <w:tc>
          <w:tcPr>
            <w:tcW w:w="1224" w:type="dxa"/>
            <w:tcBorders>
              <w:top w:val="nil"/>
              <w:left w:val="nil"/>
              <w:bottom w:val="nil"/>
              <w:right w:val="nil"/>
            </w:tcBorders>
            <w:shd w:val="clear" w:color="FFFFCC" w:fill="FFFFFF"/>
            <w:noWrap/>
            <w:hideMark/>
          </w:tcPr>
          <w:p w14:paraId="300B1356"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33F19B3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56DD5A8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4E8134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637E01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389C714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6241B54A" w14:textId="77777777" w:rsidTr="00873A9F">
        <w:trPr>
          <w:trHeight w:val="270"/>
        </w:trPr>
        <w:tc>
          <w:tcPr>
            <w:tcW w:w="680" w:type="dxa"/>
            <w:tcBorders>
              <w:top w:val="nil"/>
              <w:left w:val="nil"/>
              <w:bottom w:val="nil"/>
              <w:right w:val="nil"/>
            </w:tcBorders>
            <w:shd w:val="clear" w:color="FFFFCC" w:fill="FFFFFF"/>
            <w:noWrap/>
            <w:hideMark/>
          </w:tcPr>
          <w:p w14:paraId="53158C1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ŽS</w:t>
            </w:r>
          </w:p>
        </w:tc>
        <w:tc>
          <w:tcPr>
            <w:tcW w:w="1120" w:type="dxa"/>
            <w:tcBorders>
              <w:top w:val="nil"/>
              <w:left w:val="nil"/>
              <w:bottom w:val="nil"/>
              <w:right w:val="nil"/>
            </w:tcBorders>
            <w:shd w:val="clear" w:color="FFFFCC" w:fill="FFFFFF"/>
            <w:noWrap/>
            <w:hideMark/>
          </w:tcPr>
          <w:p w14:paraId="7CAB6933"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56EFC17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životné situácie</w:t>
            </w:r>
          </w:p>
        </w:tc>
        <w:tc>
          <w:tcPr>
            <w:tcW w:w="1224" w:type="dxa"/>
            <w:tcBorders>
              <w:top w:val="nil"/>
              <w:left w:val="nil"/>
              <w:bottom w:val="nil"/>
              <w:right w:val="nil"/>
            </w:tcBorders>
            <w:shd w:val="clear" w:color="FFFFCC" w:fill="FFFFFF"/>
            <w:noWrap/>
            <w:hideMark/>
          </w:tcPr>
          <w:p w14:paraId="46DEAAE8"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674F5F9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6B1337D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B5202F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44922EF"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34CE1D2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5811D6F1" w14:textId="77777777" w:rsidTr="00873A9F">
        <w:trPr>
          <w:trHeight w:val="270"/>
        </w:trPr>
        <w:tc>
          <w:tcPr>
            <w:tcW w:w="7641" w:type="dxa"/>
            <w:gridSpan w:val="3"/>
            <w:tcBorders>
              <w:top w:val="nil"/>
              <w:left w:val="nil"/>
              <w:bottom w:val="nil"/>
              <w:right w:val="nil"/>
            </w:tcBorders>
            <w:shd w:val="clear" w:color="FFFFCC" w:fill="FFFFFF"/>
            <w:noWrap/>
            <w:hideMark/>
          </w:tcPr>
          <w:p w14:paraId="0DD4BA5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Prioritné KS sú tie, ktoré sú súčasťou ŽS hodnotených EK, ich zoznam bude zverejnený na portáli MIRRI</w:t>
            </w:r>
          </w:p>
        </w:tc>
        <w:tc>
          <w:tcPr>
            <w:tcW w:w="1224" w:type="dxa"/>
            <w:tcBorders>
              <w:top w:val="nil"/>
              <w:left w:val="nil"/>
              <w:bottom w:val="nil"/>
              <w:right w:val="nil"/>
            </w:tcBorders>
            <w:shd w:val="clear" w:color="FFFFCC" w:fill="FFFFFF"/>
            <w:noWrap/>
            <w:hideMark/>
          </w:tcPr>
          <w:p w14:paraId="34FD6902"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78B23D8D"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68F04388"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645B953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2879476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4FB46EF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487D4CFF" w14:textId="77777777" w:rsidTr="00873A9F">
        <w:trPr>
          <w:trHeight w:val="330"/>
        </w:trPr>
        <w:tc>
          <w:tcPr>
            <w:tcW w:w="680" w:type="dxa"/>
            <w:tcBorders>
              <w:top w:val="nil"/>
              <w:left w:val="nil"/>
              <w:bottom w:val="nil"/>
              <w:right w:val="nil"/>
            </w:tcBorders>
            <w:shd w:val="clear" w:color="FFFFCC" w:fill="FFFFFF"/>
            <w:noWrap/>
            <w:hideMark/>
          </w:tcPr>
          <w:p w14:paraId="3F6FB3E4"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20" w:type="dxa"/>
            <w:tcBorders>
              <w:top w:val="nil"/>
              <w:left w:val="nil"/>
              <w:bottom w:val="nil"/>
              <w:right w:val="nil"/>
            </w:tcBorders>
            <w:shd w:val="clear" w:color="FFFFCC" w:fill="FFFFFF"/>
            <w:hideMark/>
          </w:tcPr>
          <w:p w14:paraId="3B551196"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4990869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224" w:type="dxa"/>
            <w:tcBorders>
              <w:top w:val="nil"/>
              <w:left w:val="nil"/>
              <w:bottom w:val="nil"/>
              <w:right w:val="nil"/>
            </w:tcBorders>
            <w:shd w:val="clear" w:color="FFFFCC" w:fill="FFFFFF"/>
            <w:noWrap/>
            <w:hideMark/>
          </w:tcPr>
          <w:p w14:paraId="4887A27F"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1671CDF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26F7187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071FBE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FDA682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8DA445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3754F66F" w14:textId="77777777" w:rsidTr="00873A9F">
        <w:trPr>
          <w:trHeight w:val="330"/>
        </w:trPr>
        <w:tc>
          <w:tcPr>
            <w:tcW w:w="1800" w:type="dxa"/>
            <w:gridSpan w:val="2"/>
            <w:tcBorders>
              <w:top w:val="nil"/>
              <w:left w:val="nil"/>
              <w:bottom w:val="nil"/>
              <w:right w:val="nil"/>
            </w:tcBorders>
            <w:shd w:val="clear" w:color="FFFFCC" w:fill="FFFFFF"/>
            <w:noWrap/>
            <w:hideMark/>
          </w:tcPr>
          <w:p w14:paraId="09FFA8B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Poznámka:</w:t>
            </w:r>
          </w:p>
        </w:tc>
        <w:tc>
          <w:tcPr>
            <w:tcW w:w="5841" w:type="dxa"/>
            <w:tcBorders>
              <w:top w:val="nil"/>
              <w:left w:val="nil"/>
              <w:bottom w:val="nil"/>
              <w:right w:val="nil"/>
            </w:tcBorders>
            <w:shd w:val="clear" w:color="FFFFCC" w:fill="FFFFFF"/>
            <w:noWrap/>
            <w:hideMark/>
          </w:tcPr>
          <w:p w14:paraId="2FF8DC7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224" w:type="dxa"/>
            <w:tcBorders>
              <w:top w:val="nil"/>
              <w:left w:val="nil"/>
              <w:bottom w:val="nil"/>
              <w:right w:val="nil"/>
            </w:tcBorders>
            <w:shd w:val="clear" w:color="FFFFCC" w:fill="FFFFFF"/>
            <w:noWrap/>
            <w:hideMark/>
          </w:tcPr>
          <w:p w14:paraId="792E5C20"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02913FD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194B240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72B0E85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07CF633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3A1E4BF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36BA0527" w14:textId="77777777" w:rsidTr="00873A9F">
        <w:trPr>
          <w:trHeight w:val="330"/>
        </w:trPr>
        <w:tc>
          <w:tcPr>
            <w:tcW w:w="7641" w:type="dxa"/>
            <w:gridSpan w:val="3"/>
            <w:tcBorders>
              <w:top w:val="nil"/>
              <w:left w:val="nil"/>
              <w:bottom w:val="nil"/>
              <w:right w:val="nil"/>
            </w:tcBorders>
            <w:shd w:val="clear" w:color="FFFFCC" w:fill="FFFFFF"/>
            <w:noWrap/>
            <w:hideMark/>
          </w:tcPr>
          <w:p w14:paraId="517EC089"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Ciele, priority a opatrenia sú povinné aplikovať všetky subjekty verejnej správy, vrátane samosprávy.</w:t>
            </w:r>
          </w:p>
        </w:tc>
        <w:tc>
          <w:tcPr>
            <w:tcW w:w="1224" w:type="dxa"/>
            <w:tcBorders>
              <w:top w:val="nil"/>
              <w:left w:val="nil"/>
              <w:bottom w:val="nil"/>
              <w:right w:val="nil"/>
            </w:tcBorders>
            <w:shd w:val="clear" w:color="FFFFCC" w:fill="FFFFFF"/>
            <w:noWrap/>
            <w:hideMark/>
          </w:tcPr>
          <w:p w14:paraId="06AD3B2A"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3EC3633E"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68C32912"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220B98C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31F163E3"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1491C187"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r w:rsidR="00873A9F" w:rsidRPr="00873A9F" w14:paraId="4DCCB5DD" w14:textId="77777777" w:rsidTr="00873A9F">
        <w:trPr>
          <w:trHeight w:val="330"/>
        </w:trPr>
        <w:tc>
          <w:tcPr>
            <w:tcW w:w="680" w:type="dxa"/>
            <w:tcBorders>
              <w:top w:val="nil"/>
              <w:left w:val="nil"/>
              <w:bottom w:val="nil"/>
              <w:right w:val="nil"/>
            </w:tcBorders>
            <w:shd w:val="clear" w:color="FFFFCC" w:fill="FFFFFF"/>
            <w:noWrap/>
            <w:hideMark/>
          </w:tcPr>
          <w:p w14:paraId="196469FC"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20" w:type="dxa"/>
            <w:tcBorders>
              <w:top w:val="nil"/>
              <w:left w:val="nil"/>
              <w:bottom w:val="nil"/>
              <w:right w:val="nil"/>
            </w:tcBorders>
            <w:shd w:val="clear" w:color="FFFFCC" w:fill="FFFFFF"/>
            <w:hideMark/>
          </w:tcPr>
          <w:p w14:paraId="3C42A098"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5841" w:type="dxa"/>
            <w:tcBorders>
              <w:top w:val="nil"/>
              <w:left w:val="nil"/>
              <w:bottom w:val="nil"/>
              <w:right w:val="nil"/>
            </w:tcBorders>
            <w:shd w:val="clear" w:color="FFFFCC" w:fill="FFFFFF"/>
            <w:noWrap/>
            <w:hideMark/>
          </w:tcPr>
          <w:p w14:paraId="6317BBF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224" w:type="dxa"/>
            <w:tcBorders>
              <w:top w:val="nil"/>
              <w:left w:val="nil"/>
              <w:bottom w:val="nil"/>
              <w:right w:val="nil"/>
            </w:tcBorders>
            <w:shd w:val="clear" w:color="FFFFCC" w:fill="FFFFFF"/>
            <w:noWrap/>
            <w:hideMark/>
          </w:tcPr>
          <w:p w14:paraId="2092B6EB" w14:textId="77777777" w:rsidR="00873A9F" w:rsidRPr="00873A9F" w:rsidRDefault="00873A9F" w:rsidP="00873A9F">
            <w:pPr>
              <w:spacing w:after="0" w:line="240" w:lineRule="auto"/>
              <w:jc w:val="left"/>
              <w:rPr>
                <w:rFonts w:ascii="Arial Narrow" w:eastAsia="Times New Roman" w:hAnsi="Arial Narrow" w:cs="Calibri"/>
                <w:color w:val="000000"/>
                <w:sz w:val="18"/>
                <w:szCs w:val="18"/>
                <w:lang w:eastAsia="sk-SK"/>
              </w:rPr>
            </w:pPr>
            <w:r w:rsidRPr="00873A9F">
              <w:rPr>
                <w:rFonts w:ascii="Arial Narrow" w:eastAsia="Times New Roman" w:hAnsi="Arial Narrow" w:cs="Calibri"/>
                <w:color w:val="000000"/>
                <w:sz w:val="18"/>
                <w:szCs w:val="18"/>
                <w:lang w:eastAsia="sk-SK"/>
              </w:rPr>
              <w:t> </w:t>
            </w:r>
          </w:p>
        </w:tc>
        <w:tc>
          <w:tcPr>
            <w:tcW w:w="1161" w:type="dxa"/>
            <w:tcBorders>
              <w:top w:val="nil"/>
              <w:left w:val="nil"/>
              <w:bottom w:val="nil"/>
              <w:right w:val="nil"/>
            </w:tcBorders>
            <w:shd w:val="clear" w:color="FFFFCC" w:fill="FFFFFF"/>
            <w:noWrap/>
            <w:hideMark/>
          </w:tcPr>
          <w:p w14:paraId="37801416"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970" w:type="dxa"/>
            <w:tcBorders>
              <w:top w:val="nil"/>
              <w:left w:val="nil"/>
              <w:bottom w:val="nil"/>
              <w:right w:val="nil"/>
            </w:tcBorders>
            <w:shd w:val="clear" w:color="FFFFCC" w:fill="FFFFFF"/>
            <w:noWrap/>
            <w:hideMark/>
          </w:tcPr>
          <w:p w14:paraId="478F6B1B"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640CBFDA"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5828EE41"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c>
          <w:tcPr>
            <w:tcW w:w="1179" w:type="dxa"/>
            <w:tcBorders>
              <w:top w:val="nil"/>
              <w:left w:val="nil"/>
              <w:bottom w:val="nil"/>
              <w:right w:val="nil"/>
            </w:tcBorders>
            <w:shd w:val="clear" w:color="FFFFCC" w:fill="FFFFFF"/>
            <w:noWrap/>
            <w:hideMark/>
          </w:tcPr>
          <w:p w14:paraId="35490835" w14:textId="77777777" w:rsidR="00873A9F" w:rsidRPr="00873A9F" w:rsidRDefault="00873A9F" w:rsidP="00873A9F">
            <w:pPr>
              <w:spacing w:after="0" w:line="240" w:lineRule="auto"/>
              <w:jc w:val="left"/>
              <w:rPr>
                <w:rFonts w:ascii="Arial Narrow" w:eastAsia="Times New Roman" w:hAnsi="Arial Narrow" w:cs="Calibri"/>
                <w:color w:val="000000"/>
                <w:sz w:val="20"/>
                <w:szCs w:val="20"/>
                <w:lang w:eastAsia="sk-SK"/>
              </w:rPr>
            </w:pPr>
            <w:r w:rsidRPr="00873A9F">
              <w:rPr>
                <w:rFonts w:ascii="Arial Narrow" w:eastAsia="Times New Roman" w:hAnsi="Arial Narrow" w:cs="Calibri"/>
                <w:color w:val="000000"/>
                <w:sz w:val="20"/>
                <w:szCs w:val="20"/>
                <w:lang w:eastAsia="sk-SK"/>
              </w:rPr>
              <w:t> </w:t>
            </w:r>
          </w:p>
        </w:tc>
      </w:tr>
    </w:tbl>
    <w:p w14:paraId="42DFA10B" w14:textId="708151E2" w:rsidR="00873A9F" w:rsidRDefault="00873A9F">
      <w:pPr>
        <w:spacing w:after="200" w:line="276" w:lineRule="auto"/>
        <w:jc w:val="left"/>
      </w:pPr>
    </w:p>
    <w:p w14:paraId="3A95FD55" w14:textId="77777777" w:rsidR="00873A9F" w:rsidRDefault="00873A9F">
      <w:pPr>
        <w:spacing w:after="200" w:line="276" w:lineRule="auto"/>
        <w:jc w:val="left"/>
        <w:sectPr w:rsidR="00873A9F" w:rsidSect="00873A9F">
          <w:footerReference w:type="default" r:id="rId39"/>
          <w:endnotePr>
            <w:numFmt w:val="decimal"/>
          </w:endnotePr>
          <w:pgSz w:w="16838" w:h="11906" w:orient="landscape" w:code="9"/>
          <w:pgMar w:top="720" w:right="720" w:bottom="720" w:left="720" w:header="567" w:footer="567" w:gutter="0"/>
          <w:cols w:space="708"/>
          <w:docGrid w:linePitch="360"/>
        </w:sectPr>
      </w:pPr>
    </w:p>
    <w:p w14:paraId="74A2A673" w14:textId="5036557E" w:rsidR="00250001" w:rsidRPr="004D73C4" w:rsidRDefault="00250001" w:rsidP="002B60D7">
      <w:pPr>
        <w:pStyle w:val="Nadpis2"/>
        <w:numPr>
          <w:ilvl w:val="0"/>
          <w:numId w:val="0"/>
        </w:numPr>
        <w:ind w:left="275"/>
      </w:pPr>
      <w:bookmarkStart w:id="219" w:name="_Toc69297733"/>
      <w:bookmarkStart w:id="220" w:name="_Toc70369696"/>
      <w:bookmarkStart w:id="221" w:name="_Toc70711637"/>
      <w:r w:rsidRPr="004D73C4">
        <w:lastRenderedPageBreak/>
        <w:t>Príloha č. 3 – Prepojenosť na iné strategické dokumenty</w:t>
      </w:r>
      <w:bookmarkEnd w:id="219"/>
      <w:bookmarkEnd w:id="220"/>
      <w:bookmarkEnd w:id="221"/>
    </w:p>
    <w:p w14:paraId="1ED87620" w14:textId="77777777" w:rsidR="00250001" w:rsidRPr="004D73C4" w:rsidRDefault="00250001" w:rsidP="001C457F">
      <w:r w:rsidRPr="004D73C4">
        <w:t>Nasledujúca príloha obsahuje zoznam rôznych strategických a koncepčných dokumentov, ktoré boli identifikované ako vstupy pre spracovanie tejto Koncepcie:</w:t>
      </w:r>
    </w:p>
    <w:p w14:paraId="71387646" w14:textId="77777777" w:rsidR="00250001" w:rsidRPr="004D73C4" w:rsidRDefault="00250001" w:rsidP="005C2D9D">
      <w:pPr>
        <w:pStyle w:val="Odsekzoznamu"/>
        <w:rPr>
          <w:b/>
          <w:bCs/>
        </w:rPr>
      </w:pPr>
      <w:r w:rsidRPr="190F7DBA">
        <w:rPr>
          <w:b/>
          <w:bCs/>
        </w:rPr>
        <w:t>Programové vyhlásenie vlády SR 2020</w:t>
      </w:r>
      <w:r>
        <w:t xml:space="preserve"> (schválené uznesením vlády SR č. 239 z 19.4.2020)</w:t>
      </w:r>
    </w:p>
    <w:p w14:paraId="1E1E54AB" w14:textId="77777777" w:rsidR="00250001" w:rsidRPr="004D73C4" w:rsidRDefault="00250001" w:rsidP="005C2D9D">
      <w:r w:rsidRPr="004D73C4">
        <w:t>Ústredné motto PVV – Zmysluplnou informatizáciou premeniť Slovensko na inteligentnú, inovatívnu a transparentnú krajinu</w:t>
      </w:r>
    </w:p>
    <w:p w14:paraId="0CA2D3B4" w14:textId="77777777" w:rsidR="00250001" w:rsidRPr="004D73C4" w:rsidRDefault="00250001" w:rsidP="005C2D9D">
      <w:pPr>
        <w:pStyle w:val="Odsekzoznamu"/>
        <w:rPr>
          <w:b/>
          <w:bCs/>
        </w:rPr>
      </w:pPr>
      <w:r w:rsidRPr="190F7DBA">
        <w:rPr>
          <w:b/>
          <w:bCs/>
        </w:rPr>
        <w:t>Stratégia digitálnej transformácie Slovenska 2030</w:t>
      </w:r>
      <w:r>
        <w:t xml:space="preserve"> (schválená uznesením vlády SR č. 206 zo 7.5.2019) </w:t>
      </w:r>
    </w:p>
    <w:p w14:paraId="5DA060FA" w14:textId="77777777" w:rsidR="00250001" w:rsidRPr="004D73C4" w:rsidRDefault="00250001" w:rsidP="005C2D9D">
      <w:r w:rsidRPr="004D73C4">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14:paraId="6CB546B0" w14:textId="77777777" w:rsidR="00250001" w:rsidRPr="004D73C4" w:rsidRDefault="00250001" w:rsidP="005C2D9D">
      <w:pPr>
        <w:pStyle w:val="Odsekzoznamu"/>
        <w:rPr>
          <w:b/>
          <w:bCs/>
        </w:rPr>
      </w:pPr>
      <w:r w:rsidRPr="190F7DBA">
        <w:rPr>
          <w:b/>
          <w:bCs/>
        </w:rPr>
        <w:t>Stratégia pre zlepšenie postavenia SR v indexe DESI</w:t>
      </w:r>
      <w:r>
        <w:t xml:space="preserve"> (aktuálne v príprave a plánuje sa predložiť vláde na schválenie v </w:t>
      </w:r>
      <w:r w:rsidR="4CF1357B">
        <w:t>2</w:t>
      </w:r>
      <w:r>
        <w:t>Q21)</w:t>
      </w:r>
    </w:p>
    <w:p w14:paraId="0165AF0C" w14:textId="77777777" w:rsidR="00250001" w:rsidRPr="004D73C4" w:rsidRDefault="00250001" w:rsidP="005C2D9D">
      <w:r w:rsidRPr="004D73C4">
        <w:t>Dokument je rámcovou nadrezortnou vládnou stratégiou, ktorá analyzuje postavenie Slovenska v Indexe digitálnej ekonomiky a spoločnosti, a navrhuje opatrenia, ktoré musia byť príslušnými orgánmi i prijaté, aby sa postavenie Slovenska v indexe výrazne zlepšilo.</w:t>
      </w:r>
    </w:p>
    <w:p w14:paraId="34F9226C" w14:textId="77777777" w:rsidR="00250001" w:rsidRPr="004D73C4" w:rsidRDefault="00250001" w:rsidP="005C2D9D">
      <w:pPr>
        <w:pStyle w:val="Odsekzoznamu"/>
        <w:rPr>
          <w:b/>
          <w:bCs/>
        </w:rPr>
      </w:pPr>
      <w:r w:rsidRPr="190F7DBA">
        <w:rPr>
          <w:b/>
          <w:bCs/>
        </w:rPr>
        <w:t>Koncepcia digitálnej transformácie verejnej správy 2030</w:t>
      </w:r>
      <w:r>
        <w:t xml:space="preserve"> (schválená v PS Governance a Delivery dňa 28.9.2020 a je vo významnej miere využívaná ako zdrojový podklad pre túto Koncepciu)</w:t>
      </w:r>
    </w:p>
    <w:p w14:paraId="54AA5284" w14:textId="77777777" w:rsidR="00250001" w:rsidRPr="004D73C4" w:rsidRDefault="00250001" w:rsidP="005C2D9D">
      <w:r w:rsidRPr="004D73C4">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14:paraId="252C69A9" w14:textId="77777777" w:rsidR="00250001" w:rsidRPr="004D73C4" w:rsidRDefault="00250001" w:rsidP="005C2D9D">
      <w:pPr>
        <w:pStyle w:val="Odsekzoznamu"/>
      </w:pPr>
      <w:r w:rsidRPr="190F7DBA">
        <w:rPr>
          <w:b/>
          <w:bCs/>
        </w:rPr>
        <w:t>Odporúčanie postupu informatizácie územnej samosprávy</w:t>
      </w:r>
      <w:r>
        <w:t xml:space="preserve"> (schválené uznesením vlády SR č. 604 z 11.12.2019)</w:t>
      </w:r>
    </w:p>
    <w:p w14:paraId="33DE3024" w14:textId="77777777" w:rsidR="00250001" w:rsidRPr="004D73C4" w:rsidRDefault="00250001" w:rsidP="005C2D9D">
      <w:r w:rsidRPr="004D73C4">
        <w:t>Dokument spresňuje zámery v oblasti informatizácie a navrhuje odporúčania pre územnú samosprávu.</w:t>
      </w:r>
    </w:p>
    <w:p w14:paraId="6DE9B44F" w14:textId="77777777" w:rsidR="00250001" w:rsidRPr="004D73C4" w:rsidRDefault="00250001" w:rsidP="005C2D9D">
      <w:pPr>
        <w:pStyle w:val="Odsekzoznamu"/>
      </w:pPr>
      <w:r w:rsidRPr="190F7DBA">
        <w:rPr>
          <w:b/>
          <w:bCs/>
        </w:rPr>
        <w:t>Informatizácia 2.0 – Revízia výdavkov</w:t>
      </w:r>
      <w:r>
        <w:t xml:space="preserve"> (schválená uznesením vlády SR č. 297 z 18.5.2020 k Programu stability SR na roky 2020 až 2023)</w:t>
      </w:r>
    </w:p>
    <w:p w14:paraId="39B735BB" w14:textId="77777777" w:rsidR="00250001" w:rsidRPr="004D73C4" w:rsidRDefault="00250001" w:rsidP="005C2D9D">
      <w:r w:rsidRPr="004D73C4">
        <w:t>Materiál MF SR (ÚHP) a MIRRI SR z marca 2020 prináša</w:t>
      </w:r>
      <w:r w:rsidRPr="004D73C4" w:rsidDel="009514F8">
        <w:t xml:space="preserve"> </w:t>
      </w:r>
      <w:r w:rsidRPr="004D73C4">
        <w:t xml:space="preserve">aktualizovanú revíziu výdavkov na informatizáciu, kde bolo prijatých 39 opatrení na zlepšenie. </w:t>
      </w:r>
    </w:p>
    <w:p w14:paraId="44952AAA" w14:textId="77777777" w:rsidR="00250001" w:rsidRPr="004D73C4" w:rsidRDefault="00250001" w:rsidP="00F06821">
      <w:pPr>
        <w:pStyle w:val="Odsekzoznamu"/>
        <w:numPr>
          <w:ilvl w:val="0"/>
          <w:numId w:val="16"/>
        </w:numPr>
      </w:pPr>
      <w:r w:rsidRPr="004D73C4">
        <w:rPr>
          <w:b/>
          <w:bCs/>
        </w:rPr>
        <w:t>Národná stratégia kybernetickej bezpečnosti na roky 2021 až 2025</w:t>
      </w:r>
      <w:r w:rsidRPr="004D73C4">
        <w:t xml:space="preserve"> (schválená uznesením vlády SR č. 5/2021 zo 7.1.2021)</w:t>
      </w:r>
    </w:p>
    <w:p w14:paraId="29928C88" w14:textId="77777777" w:rsidR="00250001" w:rsidRPr="004D73C4" w:rsidRDefault="00250001" w:rsidP="005C2D9D">
      <w:r w:rsidRPr="004D73C4">
        <w:t xml:space="preserve">Materiál Národného bezpečnostného úradu je východiskový strategický dokument, ktorý komplexne určuje strategický prístup SR k zabezpečeniu kybernetickej bezpečnosti. </w:t>
      </w:r>
    </w:p>
    <w:p w14:paraId="76260FE6" w14:textId="77777777" w:rsidR="00250001" w:rsidRPr="004D73C4" w:rsidRDefault="00250001" w:rsidP="005C2D9D">
      <w:pPr>
        <w:pStyle w:val="Odsekzoznamu"/>
        <w:rPr>
          <w:b/>
          <w:bCs/>
        </w:rPr>
      </w:pPr>
      <w:r w:rsidRPr="190F7DBA">
        <w:rPr>
          <w:b/>
          <w:bCs/>
        </w:rPr>
        <w:t>Základná zákonná právna úprava</w:t>
      </w:r>
    </w:p>
    <w:p w14:paraId="2D3CEA3C" w14:textId="77777777" w:rsidR="00250001" w:rsidRPr="004D73C4" w:rsidRDefault="00250001" w:rsidP="005C2D9D">
      <w:r w:rsidRPr="004D73C4">
        <w:t>Zákon č. 305/2013 Z. z. o elektronickej podobe výkonu pôsobnosti orgánov verejnej moci a o zmene a doplnení niektorých zákonov v znení neskorších predpisov (ďalej len „zákon o e-Governmente“)</w:t>
      </w:r>
      <w:r w:rsidRPr="004D73C4">
        <w:rPr>
          <w:rStyle w:val="Odkaznapoznmkupodiarou"/>
        </w:rPr>
        <w:footnoteReference w:id="23"/>
      </w:r>
      <w:r w:rsidRPr="004D73C4">
        <w:t>)</w:t>
      </w:r>
    </w:p>
    <w:p w14:paraId="14F2C70E" w14:textId="77777777" w:rsidR="00250001" w:rsidRPr="004D73C4" w:rsidRDefault="00250001" w:rsidP="005C2D9D">
      <w:r w:rsidRPr="004D73C4">
        <w:lastRenderedPageBreak/>
        <w:t>Zákon o ITVS</w:t>
      </w:r>
      <w:r w:rsidRPr="004D73C4">
        <w:rPr>
          <w:rStyle w:val="Odkaznapoznmkupodiarou"/>
        </w:rPr>
        <w:footnoteReference w:id="24"/>
      </w:r>
      <w:r w:rsidRPr="004D73C4">
        <w:t xml:space="preserve">) </w:t>
      </w:r>
    </w:p>
    <w:p w14:paraId="40CB33F6" w14:textId="77777777" w:rsidR="00250001" w:rsidRPr="004D73C4" w:rsidRDefault="00250001" w:rsidP="005C2D9D">
      <w:r w:rsidRPr="004D73C4">
        <w:t>Zákon č. 177/2018 Z. z. o niektorých opatreniach na znižovanie administratívnej záťaže využívaním informačných systémov verejnej správy a o zmene a doplnení niektorých zákonov v znení zákona č. 221/2019 Z. z. (ďalej len „zákon proti byrokracii“)</w:t>
      </w:r>
    </w:p>
    <w:p w14:paraId="4E952FF8" w14:textId="77777777" w:rsidR="00250001" w:rsidRPr="004D73C4" w:rsidRDefault="00250001" w:rsidP="005C2D9D">
      <w:r w:rsidRPr="004D73C4">
        <w:t>Zákon č. 69/2018 Z. z. o kybernetickej bezpečnosti a o zmene a doplnení niektorých zákonov v znení neskorších predpisov</w:t>
      </w:r>
    </w:p>
    <w:p w14:paraId="4C5E217F" w14:textId="77777777" w:rsidR="00250001" w:rsidRPr="004D73C4" w:rsidRDefault="00250001" w:rsidP="005C2D9D">
      <w:r w:rsidRPr="004D73C4">
        <w:t>Zákon č. 272/2016 Z. z. o dôveryhodných službách pre elektronické transakcie na vnútornom trhu a o zmene a doplnení niektorých zákonov (zákon o dôveryhodných službách)</w:t>
      </w:r>
    </w:p>
    <w:p w14:paraId="5237EE43" w14:textId="77777777" w:rsidR="00250001" w:rsidRPr="004D73C4" w:rsidRDefault="00250001" w:rsidP="005C2D9D">
      <w:r w:rsidRPr="004D73C4">
        <w:t>Návrh zákona o údajoch, ktorý je v legislatívnom procese.</w:t>
      </w:r>
    </w:p>
    <w:p w14:paraId="46BC541C" w14:textId="77777777" w:rsidR="00250001" w:rsidRPr="004D73C4" w:rsidRDefault="00250001" w:rsidP="005C2D9D">
      <w:pPr>
        <w:pStyle w:val="Odsekzoznamu"/>
      </w:pPr>
      <w:r w:rsidRPr="190F7DBA">
        <w:rPr>
          <w:b/>
          <w:bCs/>
        </w:rPr>
        <w:t>Národný integrovaný reformný plán</w:t>
      </w:r>
      <w:r>
        <w:t xml:space="preserve"> (Moderné a úspešné Slovensko)</w:t>
      </w:r>
    </w:p>
    <w:p w14:paraId="41F392DC" w14:textId="77777777" w:rsidR="00250001" w:rsidRPr="004D73C4" w:rsidRDefault="00250001" w:rsidP="005C2D9D">
      <w:r w:rsidRPr="004D73C4">
        <w:t>Vychádzajúc z mechanizmu na podporu obnovy a odolnosti EK (Recovery and Resilience Facility – ďalej len „RRF“), MF SR pripravuje Národný integrovaný reformný plán Moderné a úspešné Slovensko, v ktorom identifikuje 8 prioritných oblastí na financovanie a reformy na obdobie 2020 – 2030, pričom jednou z prioritných oblastí je oblasť Digitalizácia.</w:t>
      </w:r>
      <w:r w:rsidRPr="004D73C4">
        <w:rPr>
          <w:rStyle w:val="Odkaznapoznmkupodiarou"/>
        </w:rPr>
        <w:footnoteReference w:id="25"/>
      </w:r>
      <w:r w:rsidRPr="004D73C4">
        <w:t>) Pri financovaní primárne pôjde o zdroje EÚ a dobeh súčasných programov, či štátny rozpočet.</w:t>
      </w:r>
    </w:p>
    <w:p w14:paraId="3855CFD9" w14:textId="77777777" w:rsidR="00250001" w:rsidRPr="004D73C4" w:rsidRDefault="00250001" w:rsidP="005C2D9D">
      <w:pPr>
        <w:pStyle w:val="Odsekzoznamu"/>
        <w:rPr>
          <w:b/>
          <w:bCs/>
        </w:rPr>
      </w:pPr>
      <w:r>
        <w:t>Pripravovaný</w:t>
      </w:r>
      <w:r w:rsidRPr="190F7DBA">
        <w:rPr>
          <w:b/>
          <w:bCs/>
        </w:rPr>
        <w:t xml:space="preserve"> Operačný program Slovensko 2021 – 2027 </w:t>
      </w:r>
    </w:p>
    <w:p w14:paraId="4F138E13" w14:textId="77777777" w:rsidR="00250001" w:rsidRPr="004D73C4" w:rsidRDefault="00250001" w:rsidP="005C2D9D">
      <w:r w:rsidRPr="004D73C4">
        <w:t>Pripravovaný programový dokument Operačný program Slovensko na roky 2021 – 2027 o čerpaní pomoci z fondov EÚ identifikuje 5 prioritných oblastí.</w:t>
      </w:r>
      <w:r w:rsidRPr="004D73C4">
        <w:rPr>
          <w:rStyle w:val="Odkaznapoznmkupodiarou"/>
        </w:rPr>
        <w:footnoteReference w:id="26"/>
      </w:r>
      <w:r w:rsidRPr="004D73C4">
        <w:t xml:space="preserve">) Pre oblasť informatizácie budú implementované projekty v rámci cieľa 1 politiky súdržnosti (a more competitive and smarter Europe by promoting innovative and smart economic transformation and regional ICT connectivity), pričom pomoc bude možné čerpať </w:t>
      </w:r>
      <w:r w:rsidR="00433BD6">
        <w:t>Do roku 2030</w:t>
      </w:r>
      <w:r w:rsidRPr="004D73C4">
        <w:t>.</w:t>
      </w:r>
    </w:p>
    <w:p w14:paraId="3C3E4B5D" w14:textId="77777777" w:rsidR="00250001" w:rsidRPr="004D73C4" w:rsidRDefault="00250001" w:rsidP="005C2D9D">
      <w:pPr>
        <w:pStyle w:val="Odsekzoznamu"/>
      </w:pPr>
      <w:r w:rsidRPr="190F7DBA">
        <w:rPr>
          <w:b/>
          <w:bCs/>
        </w:rPr>
        <w:t>Operačný program Integrovaná infraštruktúra</w:t>
      </w:r>
      <w:r>
        <w:t xml:space="preserve"> (schválený uznesením vlády SR č. 171 zo 16.4.2014), </w:t>
      </w:r>
    </w:p>
    <w:p w14:paraId="3CDE0E2B" w14:textId="77777777" w:rsidR="00250001" w:rsidRPr="004D73C4" w:rsidRDefault="00036B92" w:rsidP="005C2D9D">
      <w:r w:rsidRPr="004D73C4">
        <w:t>OP</w:t>
      </w:r>
      <w:r w:rsidR="00250001" w:rsidRPr="004D73C4">
        <w:t xml:space="preserve">II predstavuje programový dokument SR o čerpaní pomoci z fondov EÚ v sektore dopravy, informatizácie spoločnosti a podpory výskumu, vývoja a inovácií na roky 2014 – 2020 (Kohézny fond, Európsky fond regionálneho rozvoja). Projekty budú implementované a pomoc možno čerpať </w:t>
      </w:r>
      <w:r w:rsidR="00433BD6">
        <w:t>Do roku 2023</w:t>
      </w:r>
      <w:r w:rsidR="00250001" w:rsidRPr="004D73C4">
        <w:t>. Jeho prioritná os 7 umožňuje z fondov EÚ budovať modernú, na občana orientovanú a efektívnu elektronizovanú verejnú správu, podporiť služby a aplikácie IKT pre malé a stredné podniky, vytvoriť kvalitný digitálny obsah a umožniť prístup k širokopásmovému internetu a službám každému občanovi, vrátane starších, zdravotne a sociálne znevýhodnených občanov.</w:t>
      </w:r>
    </w:p>
    <w:p w14:paraId="2DD26A3A" w14:textId="77777777" w:rsidR="00250001" w:rsidRPr="004D73C4" w:rsidRDefault="00250001" w:rsidP="005C2D9D">
      <w:pPr>
        <w:pStyle w:val="Odsekzoznamu"/>
      </w:pPr>
      <w:r w:rsidRPr="190F7DBA">
        <w:rPr>
          <w:b/>
          <w:bCs/>
        </w:rPr>
        <w:lastRenderedPageBreak/>
        <w:t>Operačný program Efektívna verejná správa</w:t>
      </w:r>
      <w:r>
        <w:t xml:space="preserve"> (schválený uznesením vlády SR č. 228 zo 14.5.2014)</w:t>
      </w:r>
    </w:p>
    <w:p w14:paraId="7C420E68" w14:textId="77777777" w:rsidR="00250001" w:rsidRPr="004D73C4" w:rsidRDefault="00250001" w:rsidP="005C2D9D">
      <w:r w:rsidRPr="004D73C4">
        <w:t xml:space="preserve">Tento operačný program prináša pomoc z fondov EÚ na programové obdobie 2014 – 2020. Projekty budú implementované a pomoc možno čerpať </w:t>
      </w:r>
      <w:r w:rsidR="00433BD6">
        <w:t>Do roku 2023</w:t>
      </w:r>
      <w:r w:rsidRPr="004D73C4">
        <w:t>. Z operačného programu budú podporené aktivity, ktoré skvalitnia a zefektívnia verejnú správu a tiež oblasť súdnictva.</w:t>
      </w:r>
    </w:p>
    <w:p w14:paraId="0D2F95BC" w14:textId="77777777" w:rsidR="00250001" w:rsidRPr="004D73C4" w:rsidRDefault="00250001" w:rsidP="005C2D9D">
      <w:pPr>
        <w:pStyle w:val="Odsekzoznamu"/>
        <w:rPr>
          <w:b/>
          <w:bCs/>
        </w:rPr>
      </w:pPr>
      <w:r w:rsidRPr="190F7DBA">
        <w:rPr>
          <w:b/>
          <w:bCs/>
        </w:rPr>
        <w:t xml:space="preserve">Relevantné politiky EÚ </w:t>
      </w:r>
      <w:r>
        <w:t>– v prílohe č. 1</w:t>
      </w:r>
    </w:p>
    <w:p w14:paraId="758FFAC7" w14:textId="77777777" w:rsidR="00250001" w:rsidRPr="004D73C4" w:rsidRDefault="00250001" w:rsidP="005C2D9D">
      <w:r w:rsidRPr="004D73C4">
        <w:t>Okrem relevantnej legislatívy, iniciatív a programov EÚ ide predovšetkým o Európsku digitálnu stratégiu (tzv. „digitálny balíček EÚ“). Stratégia obsahuje kľúčové trendy a priority EÚ. Na Európsku digitálnu stratégiu nadväzujú „Závery Rady o formovaní digitálnej budúcnosti Európy“ z 8.6.2020. Spomenúť treba aj EIF, ktorý poskytuje usmernenia orgánom verejnej správy o tom, ako zlepšiť riadenie svojich činností na báze interoperability, nadviazať vzťahy medzi organizáciami, zjednotiť postupy, ktoré podporujú koncové digitálne služby.</w:t>
      </w:r>
    </w:p>
    <w:p w14:paraId="2F9487F3" w14:textId="77777777" w:rsidR="00250001" w:rsidRPr="004D73C4" w:rsidRDefault="00250001" w:rsidP="005C2D9D">
      <w:pPr>
        <w:pStyle w:val="Odsekzoznamu"/>
        <w:rPr>
          <w:b/>
          <w:bCs/>
        </w:rPr>
      </w:pPr>
      <w:r w:rsidRPr="190F7DBA">
        <w:rPr>
          <w:b/>
          <w:bCs/>
        </w:rPr>
        <w:t>Európska dátová stratégia</w:t>
      </w:r>
    </w:p>
    <w:p w14:paraId="70303F3B" w14:textId="77777777" w:rsidR="00250001" w:rsidRPr="004D73C4" w:rsidRDefault="00250001" w:rsidP="005C2D9D">
      <w:r w:rsidRPr="004D73C4">
        <w:t>Rámcový dokument EK, ktorý je súčasťou Európskej digitálne stratégie,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w:t>
      </w:r>
    </w:p>
    <w:p w14:paraId="05F69EFE" w14:textId="77777777" w:rsidR="00250001" w:rsidRPr="004D73C4" w:rsidRDefault="00250001" w:rsidP="005C2D9D">
      <w:pPr>
        <w:pStyle w:val="Odsekzoznamu"/>
        <w:rPr>
          <w:b/>
          <w:bCs/>
        </w:rPr>
      </w:pPr>
      <w:r w:rsidRPr="190F7DBA">
        <w:rPr>
          <w:b/>
          <w:bCs/>
        </w:rPr>
        <w:t xml:space="preserve">Berlínska deklarácia </w:t>
      </w:r>
    </w:p>
    <w:p w14:paraId="613E20C2" w14:textId="77777777" w:rsidR="00250001" w:rsidRPr="004D73C4" w:rsidRDefault="00250001" w:rsidP="005C2D9D">
      <w:r w:rsidRPr="004D73C4">
        <w:t>Dokument predstavuje politický záväzok ministrov členských štátov EÚ, ktorý bol podpísaný dňa 08.12.2020. Obsahuje princípy pre digitálnu transformáciu a konkrétne opatrenia na jej dosiahnutie, ako napríklad zavedenie mobilného Governmentu („mGovernment by default</w:t>
      </w:r>
      <w:r w:rsidR="00B611AB" w:rsidRPr="004D73C4">
        <w:t>“</w:t>
      </w:r>
      <w:r w:rsidRPr="004D73C4">
        <w:t>), podpora využívania eID nielen vo verejnej správe, ale aj v súkromnom sektore, či zlepšenie transparentnosti služieb zverejnením informácie o tom, kedy bolo na dosiahnutie výsledku použité automatizované rozhodovanie.</w:t>
      </w:r>
    </w:p>
    <w:p w14:paraId="277B8BF1" w14:textId="77777777" w:rsidR="00250001" w:rsidRPr="004D73C4" w:rsidRDefault="00250001" w:rsidP="005C2D9D">
      <w:pPr>
        <w:pStyle w:val="Odsekzoznamu"/>
      </w:pPr>
      <w:r w:rsidRPr="190F7DBA">
        <w:rPr>
          <w:b/>
          <w:bCs/>
        </w:rPr>
        <w:t>Deklarácia o budovaní cloudu ďalšej generácie</w:t>
      </w:r>
      <w:r>
        <w:t xml:space="preserve"> pre biznis a verejný sektor v EÚ</w:t>
      </w:r>
    </w:p>
    <w:p w14:paraId="49B471BE" w14:textId="77777777" w:rsidR="00250001" w:rsidRPr="004D73C4" w:rsidRDefault="00250001" w:rsidP="005C2D9D">
      <w:r w:rsidRPr="004D73C4">
        <w:t>Dokument EK, ktorý podpísali členské štáty EÚ 15.10.2020, týkajúci sa významných priorít aj v oblasti budovania cloudu ďalšej generácie, identifikuje 3 prioritné oblasti.</w:t>
      </w:r>
      <w:r w:rsidRPr="004D73C4">
        <w:rPr>
          <w:rStyle w:val="Odkaznapoznmkupodiarou"/>
        </w:rPr>
        <w:footnoteReference w:id="27"/>
      </w:r>
      <w:r w:rsidRPr="004D73C4">
        <w:t>) Členské štáty sa zaviazali spojiť sily a vybudovať európske cloudové úložisko novej generácie.</w:t>
      </w:r>
    </w:p>
    <w:p w14:paraId="2A7C7405" w14:textId="77777777" w:rsidR="00250001" w:rsidRPr="004D73C4" w:rsidRDefault="00250001" w:rsidP="005C2D9D">
      <w:pPr>
        <w:pStyle w:val="Odsekzoznamu"/>
        <w:rPr>
          <w:rFonts w:eastAsiaTheme="minorEastAsia" w:cstheme="minorBidi"/>
          <w:b/>
          <w:bCs/>
        </w:rPr>
      </w:pPr>
      <w:r w:rsidRPr="190F7DBA">
        <w:rPr>
          <w:b/>
          <w:bCs/>
        </w:rPr>
        <w:t>Globálne trendy</w:t>
      </w:r>
      <w:r>
        <w:t xml:space="preserve"> (EÚ, OECD, OSN/ITU, Rada Európy, ISO a pod.)</w:t>
      </w:r>
    </w:p>
    <w:p w14:paraId="3B223EFB" w14:textId="201E030C" w:rsidR="00250001" w:rsidRPr="004D73C4" w:rsidRDefault="00250001" w:rsidP="0060626D">
      <w:r w:rsidRPr="004D73C4">
        <w:t>Digitálna transformácia, otvorenosť a zdieľanie dát, otvorené a interoperabilné riešenia, zdieľané služby, širokopásmové pripojenie, RPA, Machine learning, AI, Industry 4.0 (big data, IoT, cloudové služby, ...)</w:t>
      </w:r>
    </w:p>
    <w:p w14:paraId="2BD70976" w14:textId="0DAF76B2" w:rsidR="00250001" w:rsidRPr="004D73C4" w:rsidRDefault="00250001" w:rsidP="005C2D9D">
      <w:pPr>
        <w:pStyle w:val="Popis"/>
      </w:pPr>
      <w:r w:rsidRPr="004D73C4">
        <w:rPr>
          <w:noProof/>
          <w:color w:val="2B579A"/>
          <w:shd w:val="clear" w:color="auto" w:fill="E6E6E6"/>
          <w:lang w:eastAsia="sk-SK"/>
        </w:rPr>
        <w:lastRenderedPageBreak/>
        <w:drawing>
          <wp:anchor distT="0" distB="0" distL="114300" distR="114300" simplePos="0" relativeHeight="251637760" behindDoc="0" locked="0" layoutInCell="1" allowOverlap="1" wp14:anchorId="24EE370A" wp14:editId="4E0F2979">
            <wp:simplePos x="895350" y="895350"/>
            <wp:positionH relativeFrom="column">
              <wp:align>center</wp:align>
            </wp:positionH>
            <wp:positionV relativeFrom="paragraph">
              <wp:posOffset>0</wp:posOffset>
            </wp:positionV>
            <wp:extent cx="4085994" cy="2880000"/>
            <wp:effectExtent l="0" t="0" r="0"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5994" cy="2880000"/>
                    </a:xfrm>
                    <a:prstGeom prst="rect">
                      <a:avLst/>
                    </a:prstGeom>
                    <a:noFill/>
                  </pic:spPr>
                </pic:pic>
              </a:graphicData>
            </a:graphic>
            <wp14:sizeRelH relativeFrom="margin">
              <wp14:pctWidth>0</wp14:pctWidth>
            </wp14:sizeRelH>
            <wp14:sizeRelV relativeFrom="margin">
              <wp14:pctHeight>0</wp14:pctHeight>
            </wp14:sizeRelV>
          </wp:anchor>
        </w:drawing>
      </w:r>
      <w:r w:rsidRPr="004D73C4">
        <w:t xml:space="preserve">Obrázok </w:t>
      </w:r>
      <w:r>
        <w:fldChar w:fldCharType="begin"/>
      </w:r>
      <w:r>
        <w:instrText>SEQ Obrázok \* ARABIC</w:instrText>
      </w:r>
      <w:r>
        <w:fldChar w:fldCharType="separate"/>
      </w:r>
      <w:r w:rsidR="00873A9F">
        <w:rPr>
          <w:noProof/>
        </w:rPr>
        <w:t>7</w:t>
      </w:r>
      <w:r>
        <w:fldChar w:fldCharType="end"/>
      </w:r>
      <w:r w:rsidRPr="004D73C4">
        <w:t>: Zdroje dokumentu NKIVS 2021</w:t>
      </w:r>
    </w:p>
    <w:p w14:paraId="78077CAA" w14:textId="77777777" w:rsidR="00873A9F" w:rsidRDefault="00873A9F">
      <w:pPr>
        <w:spacing w:after="200" w:line="276" w:lineRule="auto"/>
        <w:jc w:val="left"/>
        <w:rPr>
          <w:rFonts w:eastAsiaTheme="majorEastAsia" w:cs="Times New Roman"/>
          <w:sz w:val="28"/>
          <w:szCs w:val="26"/>
        </w:rPr>
      </w:pPr>
      <w:bookmarkStart w:id="222" w:name="_Toc69297734"/>
      <w:bookmarkStart w:id="223" w:name="_Toc70369697"/>
      <w:r>
        <w:br w:type="page"/>
      </w:r>
    </w:p>
    <w:p w14:paraId="7392CB61" w14:textId="3CCBF875" w:rsidR="00250001" w:rsidRPr="004D73C4" w:rsidRDefault="00250001" w:rsidP="002B60D7">
      <w:pPr>
        <w:pStyle w:val="Nadpis2"/>
        <w:numPr>
          <w:ilvl w:val="0"/>
          <w:numId w:val="0"/>
        </w:numPr>
        <w:ind w:left="275"/>
      </w:pPr>
      <w:bookmarkStart w:id="224" w:name="_Toc70711638"/>
      <w:r w:rsidRPr="004D73C4">
        <w:lastRenderedPageBreak/>
        <w:t>Príloha č. 4 – Princípy riadenia architektúry ITVS</w:t>
      </w:r>
      <w:bookmarkEnd w:id="222"/>
      <w:bookmarkEnd w:id="223"/>
      <w:bookmarkEnd w:id="224"/>
    </w:p>
    <w:p w14:paraId="61914E6F" w14:textId="77777777" w:rsidR="00250001" w:rsidRPr="004D73C4" w:rsidRDefault="00250001" w:rsidP="0090664A">
      <w:r w:rsidRPr="004D73C4">
        <w:t>Pri rozvoji ITVS budú uplatňované princípy popísané v tejto kapitole. Princípy sú všeobecné pravidlá, ktoré vyjadrujú hlavné myšlienky podporujúce ciele informatizácie verejnej správy a ktoré by mali byť stelesnené Enterprise architektúrou a architektúrou informačných systémov verejnej správy.</w:t>
      </w:r>
      <w:r w:rsidRPr="004D73C4">
        <w:rPr>
          <w:rStyle w:val="Odkaznapoznmkupodiarou"/>
        </w:rPr>
        <w:footnoteReference w:id="28"/>
      </w:r>
      <w:r w:rsidRPr="004D73C4">
        <w:t>)</w:t>
      </w:r>
    </w:p>
    <w:p w14:paraId="1E7ADE74" w14:textId="77777777" w:rsidR="00250001" w:rsidRPr="004D73C4" w:rsidRDefault="00250001" w:rsidP="0090664A">
      <w:r w:rsidRPr="004D73C4">
        <w:t>Kľúčovým faktorom úspešnosti realizácie cieľov informatizácie verejnej správy je spolupráca a vyššia úroveň integrácie komponentov architektúry verejnej správy. Okrem integrácie v rámci krajiny je dôležité podporiť spoločnú politiku EÚ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w:t>
      </w:r>
    </w:p>
    <w:p w14:paraId="6AB4D1B8" w14:textId="77777777" w:rsidR="00250001" w:rsidRPr="004D73C4" w:rsidRDefault="00250001" w:rsidP="0090664A">
      <w:r w:rsidRPr="004D73C4">
        <w:t>EIF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 EIF poskytuje spoločný základ zásad pre dosiahnutie interoperability na európskej úrovni a zároveň poskytuje potrebnú flexibilitu na riešenie osobitných vnútroštátnych požiadaviek.</w:t>
      </w:r>
      <w:r w:rsidRPr="004D73C4">
        <w:rPr>
          <w:rStyle w:val="Odkaznapoznmkupodiarou"/>
        </w:rPr>
        <w:footnoteReference w:id="29"/>
      </w:r>
      <w:r w:rsidRPr="004D73C4">
        <w:t xml:space="preserve">) Princípy v ňom vyjadrené silne podporujú ciele informatizácie verejnej správy a preto sa stal základom návrhu princípov aj pre NKIVS. </w:t>
      </w:r>
    </w:p>
    <w:p w14:paraId="35DE67EC" w14:textId="77777777" w:rsidR="00250001" w:rsidRPr="004D73C4" w:rsidRDefault="00250001" w:rsidP="004F065A">
      <w:pPr>
        <w:rPr>
          <w:b/>
          <w:sz w:val="24"/>
        </w:rPr>
      </w:pPr>
      <w:bookmarkStart w:id="225" w:name="_Toc64365416"/>
      <w:r w:rsidRPr="6CAFDB33">
        <w:rPr>
          <w:b/>
          <w:bCs/>
          <w:sz w:val="24"/>
          <w:szCs w:val="24"/>
        </w:rPr>
        <w:t>Princíp P1: Orientácia na používateľa</w:t>
      </w:r>
      <w:r w:rsidRPr="6CAFDB33">
        <w:rPr>
          <w:rStyle w:val="Odkaznapoznmkupodiarou"/>
          <w:sz w:val="24"/>
          <w:szCs w:val="24"/>
        </w:rPr>
        <w:footnoteReference w:id="30"/>
      </w:r>
      <w:bookmarkEnd w:id="225"/>
      <w:r w:rsidRPr="6CAFDB33">
        <w:rPr>
          <w:sz w:val="24"/>
          <w:szCs w:val="24"/>
        </w:rPr>
        <w:t xml:space="preserve">) </w:t>
      </w:r>
    </w:p>
    <w:p w14:paraId="304587AD" w14:textId="77777777" w:rsidR="00250001" w:rsidRPr="004D73C4" w:rsidRDefault="00250001" w:rsidP="0090664A">
      <w:r w:rsidRPr="004D73C4">
        <w:t>Používateľmi služieb verejnej správy sú nielen občania alebo podniky, ale aj orgány verejnej správy SR a EÚ a tiež úradníci týchto verejných úradov. Potreby používateľov by sa mali vziať do úvahy pri určovaní toho, ktoré verejné služby by sa mali poskytovať a akým spôsobom. Orientácia na používateľa by mala byť podporovaná splnením nasledovných požiadaviek:</w:t>
      </w:r>
    </w:p>
    <w:p w14:paraId="7672C180" w14:textId="77777777" w:rsidR="00250001" w:rsidRPr="004D73C4" w:rsidRDefault="00250001" w:rsidP="0090664A">
      <w:r w:rsidRPr="004D73C4">
        <w:rPr>
          <w:b/>
        </w:rPr>
        <w:t xml:space="preserve">P1.1 </w:t>
      </w:r>
      <w:r w:rsidRPr="004D73C4">
        <w:rPr>
          <w:b/>
          <w:bCs/>
        </w:rPr>
        <w:t>Prístupnosť</w:t>
      </w:r>
      <w:r w:rsidRPr="004D73C4">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14:paraId="2B763A8C" w14:textId="77777777" w:rsidR="00250001" w:rsidRPr="004D73C4" w:rsidRDefault="00250001" w:rsidP="0090664A">
      <w:r w:rsidRPr="004D73C4">
        <w:rPr>
          <w:b/>
        </w:rPr>
        <w:t xml:space="preserve">P1.2 </w:t>
      </w:r>
      <w:r w:rsidRPr="004D73C4">
        <w:rPr>
          <w:b/>
          <w:bCs/>
        </w:rPr>
        <w:t>Uniformita</w:t>
      </w:r>
      <w:r w:rsidRPr="004D73C4">
        <w:t xml:space="preserve"> – Z pohľadu používateľa je obsluha používateľa cez akýkoľvek kanál jednotná a používa štandardné postupy a riešenia.</w:t>
      </w:r>
    </w:p>
    <w:p w14:paraId="71B0C7D3" w14:textId="77777777" w:rsidR="00250001" w:rsidRPr="004D73C4" w:rsidRDefault="00250001" w:rsidP="0090664A">
      <w:r w:rsidRPr="004D73C4">
        <w:rPr>
          <w:b/>
          <w:bCs/>
        </w:rPr>
        <w:t>P1.3 Jednoduchá navigácia</w:t>
      </w:r>
      <w:r w:rsidRPr="004D73C4">
        <w:t xml:space="preserve"> – Používatelia jednoducho nájdu požadovanú službu a môžu ju jednoduchým spôsobom použiť. Služba by mala skryť vnútornú zložitosť verejnej správy.</w:t>
      </w:r>
    </w:p>
    <w:p w14:paraId="25EEE7FC" w14:textId="77777777" w:rsidR="00250001" w:rsidRPr="004D73C4" w:rsidRDefault="00250001" w:rsidP="0090664A">
      <w:r w:rsidRPr="004D73C4">
        <w:rPr>
          <w:b/>
          <w:bCs/>
        </w:rPr>
        <w:t xml:space="preserve">P1.4 Služby ako </w:t>
      </w:r>
      <w:r w:rsidRPr="6CAFDB33">
        <w:rPr>
          <w:b/>
          <w:bCs/>
        </w:rPr>
        <w:t>ŽS</w:t>
      </w:r>
      <w:r w:rsidRPr="004D73C4">
        <w:rPr>
          <w:rStyle w:val="Odkaznapoznmkupodiarou"/>
        </w:rPr>
        <w:footnoteReference w:id="31"/>
      </w:r>
      <w:r w:rsidRPr="004D73C4">
        <w:t>) – Používateľom sú ponúkané služby ako súčasť riešenia ich ŽS</w:t>
      </w:r>
      <w:r w:rsidRPr="004D73C4" w:rsidDel="007937EB">
        <w:t xml:space="preserve"> </w:t>
      </w:r>
      <w:r w:rsidRPr="004D73C4">
        <w:t>.</w:t>
      </w:r>
    </w:p>
    <w:p w14:paraId="59466B9D" w14:textId="77777777" w:rsidR="00250001" w:rsidRPr="004D73C4" w:rsidRDefault="00250001" w:rsidP="0090664A">
      <w:r w:rsidRPr="004D73C4">
        <w:rPr>
          <w:b/>
          <w:bCs/>
        </w:rPr>
        <w:t>P1.6 Spätná väzba</w:t>
      </w:r>
      <w:r w:rsidRPr="004D73C4">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r w:rsidRPr="004D73C4" w:rsidDel="00FF10B1">
        <w:t xml:space="preserve"> </w:t>
      </w:r>
    </w:p>
    <w:p w14:paraId="7D9B414B" w14:textId="77777777" w:rsidR="00250001" w:rsidRPr="004D73C4" w:rsidRDefault="00250001" w:rsidP="0090664A">
      <w:r w:rsidRPr="004D73C4">
        <w:rPr>
          <w:b/>
          <w:bCs/>
        </w:rPr>
        <w:t>P 1.7 Personalizácia a Proaktivita</w:t>
      </w:r>
      <w:r w:rsidRPr="004D73C4">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14:paraId="4824E397" w14:textId="77777777" w:rsidR="00250001" w:rsidRPr="004D73C4" w:rsidRDefault="00250001" w:rsidP="0090664A">
      <w:r w:rsidRPr="004D73C4">
        <w:rPr>
          <w:b/>
        </w:rPr>
        <w:t>P 1.8 Viacjazyčnosť</w:t>
      </w:r>
      <w:r w:rsidRPr="004D73C4">
        <w:t xml:space="preserve"> – Služby môže potenciálne používať každý v ktoromkoľvek členskom štáte, ale aj v rámci SR môžu existovať občania, ktorí by preferovali iný jazyk pri používaní služby. O potrebnej úrovni podpory viacjazyčnosti by malo byť rozhodnuté na základe potrieb predpokladaných </w:t>
      </w:r>
      <w:r w:rsidRPr="004D73C4">
        <w:lastRenderedPageBreak/>
        <w:t>používateľov. Informačné systémy a služby by mali byť pripravované tak, aby boli schopné jednoduchým konfiguračným spôsobom zabezpečiť viacjazyčnosť služby.</w:t>
      </w:r>
    </w:p>
    <w:p w14:paraId="4A3BEFBF" w14:textId="77777777" w:rsidR="00250001" w:rsidRPr="004D73C4" w:rsidRDefault="00250001" w:rsidP="0090664A">
      <w:r w:rsidRPr="004D73C4">
        <w:rPr>
          <w:b/>
          <w:bCs/>
        </w:rPr>
        <w:t>P1.9 Kvalita a spoľahlivosť</w:t>
      </w:r>
      <w:r w:rsidRPr="004D73C4">
        <w:t xml:space="preserve"> – Používatelia sa môžu spoľahnúť, že poskytovateľ služieb bude garantovať kvalitu, dostupnosť a spoľahlivosť služieb. Napríklad akákoľvek poskytnutá informácia musí byť správna, autentická, aktuálna a úplná. </w:t>
      </w:r>
    </w:p>
    <w:p w14:paraId="78694EB2" w14:textId="77777777" w:rsidR="00250001" w:rsidRPr="004D73C4" w:rsidRDefault="00250001" w:rsidP="004F065A">
      <w:pPr>
        <w:rPr>
          <w:b/>
          <w:sz w:val="24"/>
        </w:rPr>
      </w:pPr>
      <w:bookmarkStart w:id="226" w:name="_Toc64365417"/>
      <w:r w:rsidRPr="6CAFDB33">
        <w:rPr>
          <w:b/>
          <w:bCs/>
          <w:sz w:val="24"/>
          <w:szCs w:val="24"/>
        </w:rPr>
        <w:t>Princíp P2: Prirodzene digitálna verejná správa</w:t>
      </w:r>
      <w:r w:rsidRPr="6CAFDB33">
        <w:rPr>
          <w:sz w:val="24"/>
          <w:szCs w:val="24"/>
          <w:vertAlign w:val="superscript"/>
        </w:rPr>
        <w:footnoteReference w:id="32"/>
      </w:r>
      <w:bookmarkEnd w:id="226"/>
      <w:r w:rsidRPr="6CAFDB33">
        <w:rPr>
          <w:sz w:val="24"/>
          <w:szCs w:val="24"/>
        </w:rPr>
        <w:t>)</w:t>
      </w:r>
    </w:p>
    <w:p w14:paraId="7AFCFA79" w14:textId="77777777" w:rsidR="00250001" w:rsidRPr="004D73C4" w:rsidRDefault="00250001" w:rsidP="0090664A">
      <w:r w:rsidRPr="004D73C4">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14:paraId="5621DEE1" w14:textId="77777777" w:rsidR="00250001" w:rsidRPr="004D73C4" w:rsidRDefault="00250001" w:rsidP="0090664A">
      <w:r w:rsidRPr="004D73C4">
        <w:rPr>
          <w:b/>
        </w:rPr>
        <w:t>P2.1 Prednostné využívanie digitálnych služieb</w:t>
      </w:r>
      <w:r w:rsidRPr="004D73C4">
        <w:t xml:space="preserve"> – Bude sa uprednostňovať využívanie služieb, ktoré využívajú možnosti informačno-komunikačných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IS a ich integráciou ale aj legislatívnymi zmenami. </w:t>
      </w:r>
    </w:p>
    <w:p w14:paraId="6C703F5E" w14:textId="77777777" w:rsidR="00250001" w:rsidRPr="004D73C4" w:rsidRDefault="00250001" w:rsidP="0090664A">
      <w:r w:rsidRPr="004D73C4">
        <w:rPr>
          <w:b/>
        </w:rPr>
        <w:t>P2.2 Administratívne zjednodušenie</w:t>
      </w:r>
      <w:r w:rsidRPr="004D73C4">
        <w:t xml:space="preserve"> – Procesy verejnej správy musia byť kontinuálne zlepšované nielen využitím IKT ale aj organizačnými a legislatívnymi zmenami, aby sa odstránili duplicity, manuálne a zbytočné aktivity.</w:t>
      </w:r>
    </w:p>
    <w:p w14:paraId="293BECFD" w14:textId="77777777" w:rsidR="00250001" w:rsidRPr="004D73C4" w:rsidRDefault="00250001" w:rsidP="0090664A">
      <w:r w:rsidRPr="004D73C4">
        <w:rPr>
          <w:b/>
          <w:bCs/>
        </w:rPr>
        <w:t>P2.3 Efektívnosť a pridaná hodnota</w:t>
      </w:r>
      <w:r w:rsidRPr="004D73C4">
        <w:t xml:space="preserve"> – Informatizácia verejnej správy sleduje najvyššiu hodnotu za peniaze pri zvážení potrieb používateľov a prebieha na základe kontinuálneho vyhodnocovania nákladov a prínosov.</w:t>
      </w:r>
    </w:p>
    <w:p w14:paraId="7AFF78DA" w14:textId="77777777" w:rsidR="00250001" w:rsidRPr="004D73C4" w:rsidRDefault="00250001" w:rsidP="004F065A">
      <w:pPr>
        <w:rPr>
          <w:b/>
          <w:sz w:val="24"/>
        </w:rPr>
      </w:pPr>
      <w:bookmarkStart w:id="227" w:name="_Toc457355485"/>
      <w:bookmarkStart w:id="228" w:name="_Toc64365418"/>
      <w:bookmarkEnd w:id="227"/>
      <w:r w:rsidRPr="6CAFDB33">
        <w:rPr>
          <w:b/>
          <w:bCs/>
          <w:sz w:val="24"/>
          <w:szCs w:val="24"/>
        </w:rPr>
        <w:t>Princíp P3: Údaje sú aktíva</w:t>
      </w:r>
      <w:r w:rsidRPr="6CAFDB33">
        <w:rPr>
          <w:sz w:val="24"/>
          <w:szCs w:val="24"/>
          <w:vertAlign w:val="superscript"/>
        </w:rPr>
        <w:footnoteReference w:id="33"/>
      </w:r>
      <w:bookmarkEnd w:id="228"/>
      <w:r w:rsidRPr="6CAFDB33">
        <w:rPr>
          <w:sz w:val="24"/>
          <w:szCs w:val="24"/>
        </w:rPr>
        <w:t>)</w:t>
      </w:r>
    </w:p>
    <w:p w14:paraId="35CC4652" w14:textId="77777777" w:rsidR="00250001" w:rsidRPr="004D73C4" w:rsidRDefault="00250001" w:rsidP="0090664A">
      <w:r w:rsidRPr="004D73C4">
        <w:t>Údaje sú aktíva, ktorých správnosť, aktuálnosť a dostupnosť majú kritický význam pri rozhodovaní a posudzovaní práv a právom chránených záujmoch alebo povinnostiach fyzických osôb a právnických osôb. Údaje sú základným nástrojom integrácie, rozhodovania a verejnej kontroly.</w:t>
      </w:r>
    </w:p>
    <w:p w14:paraId="78B28CD4" w14:textId="77777777" w:rsidR="00250001" w:rsidRPr="004D73C4" w:rsidRDefault="00250001" w:rsidP="0090664A">
      <w:r w:rsidRPr="004D73C4">
        <w:rPr>
          <w:b/>
        </w:rPr>
        <w:t>P3.1 Ochrana a uchovávanie údajov</w:t>
      </w:r>
      <w:r w:rsidRPr="004D73C4">
        <w:t xml:space="preserve"> – ITVS ale aj procesy verejnej správy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Používateľ by mal pracovať len s údajmi, ktorých hodnovernosť a pôvod sú zabezpečené napríklad ich autorizáciou, a ktoré sú z dôveryhodného zdroja s garantovanou identitou.</w:t>
      </w:r>
    </w:p>
    <w:p w14:paraId="74D1A76F" w14:textId="77777777" w:rsidR="00250001" w:rsidRPr="004D73C4" w:rsidRDefault="00250001" w:rsidP="0090664A">
      <w:r w:rsidRPr="004D73C4">
        <w:rPr>
          <w:b/>
          <w:bCs/>
        </w:rPr>
        <w:t>P3.2 Správca údajov</w:t>
      </w:r>
      <w:r w:rsidRPr="004D73C4">
        <w:t xml:space="preserve"> – každý údajový prvok má jasne definovaného vlastníka a správcu zodpovedného za jeho kvalitu a ochranu.</w:t>
      </w:r>
    </w:p>
    <w:p w14:paraId="2A11486F" w14:textId="77777777" w:rsidR="00250001" w:rsidRPr="004D73C4" w:rsidRDefault="00250001" w:rsidP="0090664A">
      <w:r w:rsidRPr="004D73C4">
        <w:rPr>
          <w:b/>
          <w:bCs/>
        </w:rPr>
        <w:t>P3.3 Zdieľanie údajov</w:t>
      </w:r>
      <w:r w:rsidRPr="004D73C4">
        <w:t xml:space="preserve"> – princíp „jedenkrát a dosť“ –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EÚ a bude zabezpečovaný pomocou platformy dátovej integrácie. Zároveň bude umožnené elektronické zdieľanie rozhodnutí, ktoré vydala verejná správa.</w:t>
      </w:r>
    </w:p>
    <w:p w14:paraId="74148E95" w14:textId="77777777" w:rsidR="00250001" w:rsidRPr="004D73C4" w:rsidRDefault="00250001" w:rsidP="0090664A">
      <w:r w:rsidRPr="004D73C4">
        <w:rPr>
          <w:b/>
          <w:bCs/>
        </w:rPr>
        <w:t xml:space="preserve">P3.4 Údaje sú zrozumiteľné (sémantická a syntaktická interoperabilita) </w:t>
      </w:r>
      <w:r w:rsidRPr="004D73C4">
        <w:t xml:space="preserve">– Požiadavka zabezpečuje, aby sa zachoval a chápal presný formát a význam vymieňaných údajov. Využívajú sa spoločné údajové ontológie a definície konceptov, referenčné údaje a číselníky. Koncepty a vzťahy medzi nimi sú </w:t>
      </w:r>
      <w:r w:rsidRPr="004D73C4">
        <w:lastRenderedPageBreak/>
        <w:t>konzistentne definované v celej verejnej správe pre danú problematiku a definície sú zrozumiteľné a sú k dispozícii.</w:t>
      </w:r>
    </w:p>
    <w:p w14:paraId="53AED62D" w14:textId="77777777" w:rsidR="00250001" w:rsidRPr="004D73C4" w:rsidRDefault="00250001" w:rsidP="004F065A">
      <w:pPr>
        <w:rPr>
          <w:b/>
          <w:sz w:val="24"/>
        </w:rPr>
      </w:pPr>
      <w:bookmarkStart w:id="229" w:name="_Toc64365419"/>
      <w:r w:rsidRPr="6CAFDB33">
        <w:rPr>
          <w:b/>
          <w:bCs/>
          <w:sz w:val="24"/>
          <w:szCs w:val="24"/>
        </w:rPr>
        <w:t>Princíp P4: Opätovná použiteľnosť</w:t>
      </w:r>
      <w:r w:rsidRPr="6CAFDB33">
        <w:rPr>
          <w:sz w:val="24"/>
          <w:szCs w:val="24"/>
          <w:vertAlign w:val="superscript"/>
        </w:rPr>
        <w:footnoteReference w:id="34"/>
      </w:r>
      <w:bookmarkEnd w:id="229"/>
      <w:r w:rsidRPr="6CAFDB33">
        <w:rPr>
          <w:sz w:val="24"/>
          <w:szCs w:val="24"/>
        </w:rPr>
        <w:t>)</w:t>
      </w:r>
    </w:p>
    <w:p w14:paraId="755B537D" w14:textId="77777777" w:rsidR="00250001" w:rsidRPr="004D73C4" w:rsidRDefault="00250001" w:rsidP="0090664A">
      <w:r w:rsidRPr="004D73C4">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14:paraId="4B9EC5C4" w14:textId="77777777" w:rsidR="00250001" w:rsidRPr="004D73C4" w:rsidRDefault="00250001" w:rsidP="302C2BCE">
      <w:pPr>
        <w:rPr>
          <w:rFonts w:ascii="Calibri" w:eastAsia="Calibri" w:hAnsi="Calibri" w:cs="Calibri"/>
        </w:rPr>
      </w:pPr>
      <w:r w:rsidRPr="004D73C4">
        <w:rPr>
          <w:b/>
          <w:bCs/>
        </w:rPr>
        <w:t>P4.1 Používanie</w:t>
      </w:r>
      <w:r w:rsidRPr="004D73C4">
        <w:t xml:space="preserve"> </w:t>
      </w:r>
      <w:r w:rsidRPr="004D73C4">
        <w:rPr>
          <w:b/>
          <w:bCs/>
        </w:rPr>
        <w:t>centrálnych spoločných blokov</w:t>
      </w:r>
      <w:r w:rsidRPr="6CAFDB33">
        <w:rPr>
          <w:rStyle w:val="Odkaznapoznmkupodiarou"/>
        </w:rPr>
        <w:footnoteReference w:id="35"/>
      </w:r>
      <w:r w:rsidRPr="004D73C4">
        <w:rPr>
          <w:bCs/>
        </w:rPr>
        <w:t>)</w:t>
      </w:r>
      <w:r w:rsidRPr="004D73C4">
        <w:t xml:space="preserve"> – Centrálny spoločný blok </w:t>
      </w:r>
      <w:r w:rsidR="6B6BA632" w:rsidRPr="004D73C4">
        <w:t>u</w:t>
      </w:r>
      <w:r w:rsidRPr="004D73C4">
        <w:t>možňuje poskytovať spoločné služby a realizovať funkcie verejnej správy prostredníctvom zdieľaných služieb (buď ako Software-as-a-Service alebo s využitím konceptu Business-process-as-a-Service). Vychádza z potreby efektívneho vyriešenia životných situácií a procesov používateľov (v prípade verejných orgánov), zvýšenia kvality poskytovaných služieb, ako aj racionalizácie vnútorného fungovania verejnej správy.</w:t>
      </w:r>
      <w:r w:rsidR="002D7AD4">
        <w:t xml:space="preserve"> </w:t>
      </w:r>
      <w:r w:rsidR="6B13BECD" w:rsidRPr="302C2BCE">
        <w:rPr>
          <w:rFonts w:ascii="Calibri" w:eastAsia="Calibri" w:hAnsi="Calibri" w:cs="Calibri"/>
        </w:rPr>
        <w:t>Identifikácia a definovanie</w:t>
      </w:r>
      <w:r w:rsidRPr="004D73C4">
        <w:t xml:space="preserve"> centrálnych spoločných blokov patrí medzi kľúčové rozhodnutia pri návrhu architektúry a predstavuje významný krok na ceste k zlepšeniu, zjednodušeniu a sprehľadneniu fungovania a správy IS vo verejnej správe</w:t>
      </w:r>
      <w:r w:rsidR="388B6977" w:rsidRPr="004D73C4">
        <w:t xml:space="preserve"> </w:t>
      </w:r>
      <w:r w:rsidR="388B6977" w:rsidRPr="302C2BCE">
        <w:rPr>
          <w:rFonts w:ascii="Calibri" w:eastAsia="Calibri" w:hAnsi="Calibri" w:cs="Calibri"/>
        </w:rPr>
        <w:t xml:space="preserve">tým, že podporuje </w:t>
      </w:r>
      <w:r w:rsidR="3748F0A0" w:rsidRPr="302C2BCE">
        <w:rPr>
          <w:rFonts w:ascii="Calibri" w:eastAsia="Calibri" w:hAnsi="Calibri" w:cs="Calibri"/>
        </w:rPr>
        <w:t xml:space="preserve">znovu použitie </w:t>
      </w:r>
      <w:r w:rsidR="388B6977" w:rsidRPr="302C2BCE">
        <w:rPr>
          <w:rFonts w:ascii="Calibri" w:eastAsia="Calibri" w:hAnsi="Calibri" w:cs="Calibri"/>
        </w:rPr>
        <w:t>komponentov a riešení, vytvárnie nových služieb ich kompozíciou a elimináciu duplicít.</w:t>
      </w:r>
    </w:p>
    <w:p w14:paraId="2515C4A6" w14:textId="77777777" w:rsidR="00250001" w:rsidRPr="004D73C4" w:rsidRDefault="00250001" w:rsidP="0090664A">
      <w:r w:rsidRPr="004D73C4">
        <w:rPr>
          <w:b/>
          <w:bCs/>
        </w:rPr>
        <w:t>P4.2 Otvorené API</w:t>
      </w:r>
      <w:r w:rsidRPr="004D73C4">
        <w:t xml:space="preserve"> – Aplikačné rozhrania v IS sú budované spôsobom umožňujúcim ich použitie komukoľvek pri splnení podmienok bezpečnosti a ďalších podmienok sprístupnenia služieb a dát (napr. úroveň služieb, obmedzenie množiny dát). Špecificky všetky služby IS, ktoré sú dostupné grafickým rozhraním majú byť dostupné aj otvoreným aplikačným rozhraním.</w:t>
      </w:r>
    </w:p>
    <w:p w14:paraId="4F25E2FB" w14:textId="77777777" w:rsidR="00250001" w:rsidRPr="004D73C4" w:rsidRDefault="00250001" w:rsidP="0090664A">
      <w:r w:rsidRPr="55E2BB36">
        <w:rPr>
          <w:b/>
          <w:bCs/>
        </w:rPr>
        <w:t>P4.3 Modulárnosť</w:t>
      </w:r>
      <w:r>
        <w:t xml:space="preserve"> – ITVS sú členené na menšie samostatné funkčne konzistentné a pokiaľ možno vzájomne nezávislé časti, ktoré sú prepojené dobre definovanými rozhraniami s cieľom zvýšiť škálovateľnosť, flexibilitu a </w:t>
      </w:r>
      <w:r w:rsidR="065A1EA7">
        <w:t xml:space="preserve">opakované </w:t>
      </w:r>
      <w:r>
        <w:t>použitie riešení.</w:t>
      </w:r>
    </w:p>
    <w:p w14:paraId="7B818661" w14:textId="77777777" w:rsidR="00250001" w:rsidRPr="004D73C4" w:rsidRDefault="00250001" w:rsidP="0090664A">
      <w:r w:rsidRPr="004D73C4">
        <w:rPr>
          <w:b/>
          <w:bCs/>
        </w:rPr>
        <w:t>P4.4 Otvorené štandardy</w:t>
      </w:r>
      <w:r w:rsidRPr="004D73C4">
        <w:t xml:space="preserve"> – Prednostne sa používajú otvorené štandardy a formáty a dôraz sa kladie na zabezpečenie technologickej neutrálnosti.</w:t>
      </w:r>
    </w:p>
    <w:p w14:paraId="330D3738" w14:textId="77777777" w:rsidR="00250001" w:rsidRPr="004D73C4" w:rsidRDefault="00250001" w:rsidP="0090664A">
      <w:r w:rsidRPr="004D73C4">
        <w:rPr>
          <w:b/>
          <w:bCs/>
        </w:rPr>
        <w:t>P4.5 Cloudové služby prednostne</w:t>
      </w:r>
      <w:r w:rsidRPr="004D73C4">
        <w:t xml:space="preserve"> – ITVS budú rozvíjané a budované s cieľom prevádzky v prostredí cloudových infraštruktúrnych a platformových služieb na základe princípov natívnej cloudovej architektúry. </w:t>
      </w:r>
    </w:p>
    <w:p w14:paraId="1D0C1C1D" w14:textId="77777777" w:rsidR="00250001" w:rsidRPr="004D73C4" w:rsidRDefault="00250001" w:rsidP="0090664A">
      <w:r w:rsidRPr="004D73C4">
        <w:rPr>
          <w:b/>
          <w:bCs/>
        </w:rPr>
        <w:t>P4.6 Technologická interoperabilita</w:t>
      </w:r>
      <w:r w:rsidRPr="004D73C4">
        <w:t xml:space="preserve"> – Softvér a hardvér vo verejnej správe musí byť v súlade s definovanými štandardmi, ktoré podporujú interoperabilitu údajov, aplikácií a technológií, </w:t>
      </w:r>
      <w:r w:rsidRPr="004D73C4">
        <w:br/>
        <w:t>a to v celom európskom priestore.</w:t>
      </w:r>
    </w:p>
    <w:p w14:paraId="749F43EC" w14:textId="77777777" w:rsidR="00250001" w:rsidRPr="004D73C4" w:rsidRDefault="00250001" w:rsidP="0090664A">
      <w:r w:rsidRPr="55E2BB36">
        <w:rPr>
          <w:b/>
          <w:bCs/>
        </w:rPr>
        <w:t xml:space="preserve">P4.7 Voľné </w:t>
      </w:r>
      <w:r w:rsidR="150111CC" w:rsidRPr="55E2BB36">
        <w:rPr>
          <w:b/>
          <w:bCs/>
        </w:rPr>
        <w:t xml:space="preserve">opakované </w:t>
      </w:r>
      <w:r w:rsidRPr="55E2BB36">
        <w:rPr>
          <w:b/>
          <w:bCs/>
        </w:rPr>
        <w:t xml:space="preserve">použitie zdrojového kódu riešenia </w:t>
      </w:r>
      <w:r>
        <w:t xml:space="preserve">– Používanie produktov slobodného softvéru (tzv. open source softvéru) </w:t>
      </w:r>
      <w:r w:rsidRPr="55E2BB36">
        <w:t xml:space="preserve">a zaistenie možnosti voľného </w:t>
      </w:r>
      <w:r w:rsidR="6D4EB024" w:rsidRPr="55E2BB36">
        <w:t xml:space="preserve">opakovaného </w:t>
      </w:r>
      <w:r w:rsidRPr="55E2BB36">
        <w:t>použitia riešenia alebo jeho zdrojového kódu vo verejnej správe</w:t>
      </w:r>
      <w:r w:rsidRPr="55E2BB36">
        <w:rPr>
          <w:rFonts w:eastAsia="Cambria"/>
        </w:rPr>
        <w:t xml:space="preserve"> </w:t>
      </w:r>
      <w:r>
        <w:t>môže pomôcť ušetriť náklady na vývoj, vyhnúť sa efektu zablokovania dodávateľom riešenia (vendor lock-in) a umožniť rýchle prispôsobenie špecifickým potrebám verejnej správy.</w:t>
      </w:r>
    </w:p>
    <w:p w14:paraId="1CFDA834" w14:textId="77777777" w:rsidR="00250001" w:rsidRPr="004D73C4" w:rsidRDefault="00250001" w:rsidP="004F065A">
      <w:pPr>
        <w:rPr>
          <w:b/>
          <w:sz w:val="24"/>
        </w:rPr>
      </w:pPr>
      <w:bookmarkStart w:id="230" w:name="_Toc64365420"/>
      <w:r w:rsidRPr="6CAFDB33">
        <w:rPr>
          <w:b/>
          <w:bCs/>
          <w:sz w:val="24"/>
          <w:szCs w:val="24"/>
        </w:rPr>
        <w:t>Princíp P5: Transparentnosť</w:t>
      </w:r>
      <w:r w:rsidRPr="6CAFDB33">
        <w:rPr>
          <w:sz w:val="24"/>
          <w:szCs w:val="24"/>
          <w:vertAlign w:val="superscript"/>
        </w:rPr>
        <w:footnoteReference w:id="36"/>
      </w:r>
      <w:r w:rsidRPr="6CAFDB33">
        <w:rPr>
          <w:sz w:val="24"/>
          <w:szCs w:val="24"/>
        </w:rPr>
        <w:t xml:space="preserve">) </w:t>
      </w:r>
      <w:r w:rsidRPr="6CAFDB33">
        <w:rPr>
          <w:b/>
          <w:bCs/>
          <w:sz w:val="24"/>
          <w:szCs w:val="24"/>
        </w:rPr>
        <w:t>verejnej správy</w:t>
      </w:r>
      <w:bookmarkEnd w:id="230"/>
    </w:p>
    <w:p w14:paraId="4A2A82EB" w14:textId="77777777" w:rsidR="00250001" w:rsidRPr="004D73C4" w:rsidRDefault="00250001" w:rsidP="0090664A">
      <w:pPr>
        <w:rPr>
          <w:b/>
        </w:rPr>
      </w:pPr>
      <w:r w:rsidRPr="004D73C4">
        <w:t>Služby verejnej správy sú realizované tak, že umožňujú používateľom a kontrolným orgánom vnímať a pochopiť administratívne pravidlá, procesy, údaje a rozhodovanie použité pri realizácii služby.</w:t>
      </w:r>
    </w:p>
    <w:p w14:paraId="5BED5BC5" w14:textId="77777777" w:rsidR="00250001" w:rsidRPr="004D73C4" w:rsidRDefault="00250001" w:rsidP="0090664A">
      <w:r w:rsidRPr="004D73C4">
        <w:rPr>
          <w:b/>
        </w:rPr>
        <w:t>P5.1 Občan má kontrolu nad svojimi údajmi</w:t>
      </w:r>
      <w:r w:rsidRPr="004D73C4">
        <w:t xml:space="preserve"> – Používateľ (občan SR aj EÚ) bude mať jednoducho dostupné informácie, aké údaje o ňom eviduje a používa verejná správa a prehľad jeho sa týkajúcich konaní (služba Moje Dáta).</w:t>
      </w:r>
    </w:p>
    <w:p w14:paraId="3BE66BB5" w14:textId="77777777" w:rsidR="00250001" w:rsidRPr="004D73C4" w:rsidRDefault="00250001" w:rsidP="0090664A">
      <w:r w:rsidRPr="004D73C4">
        <w:rPr>
          <w:b/>
          <w:bCs/>
        </w:rPr>
        <w:lastRenderedPageBreak/>
        <w:t xml:space="preserve">P5.2 Otvorenosť údajov </w:t>
      </w:r>
      <w:r w:rsidRPr="004D73C4">
        <w:t>–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lepšiu kontrolu nad rozhodovacími procesmi verejnej správy a poskytnúť možnosť využiť verejné údaje na získanie nových znalostí a poskytnutie nadstavbových služieb.</w:t>
      </w:r>
    </w:p>
    <w:p w14:paraId="11BEE21D" w14:textId="77777777" w:rsidR="00250001" w:rsidRPr="004D73C4" w:rsidRDefault="00250001" w:rsidP="0090664A">
      <w:r w:rsidRPr="004D73C4">
        <w:rPr>
          <w:b/>
          <w:bCs/>
        </w:rPr>
        <w:t>P5.3 Auditovateľnosť</w:t>
      </w:r>
      <w:r w:rsidRPr="004D73C4" w:rsidDel="00E47095">
        <w:t xml:space="preserve"> </w:t>
      </w:r>
      <w:r w:rsidRPr="004D73C4">
        <w:t>–</w:t>
      </w:r>
      <w:r w:rsidRPr="004D73C4" w:rsidDel="00E47095">
        <w:t xml:space="preserve"> </w:t>
      </w:r>
      <w:r w:rsidRPr="004D73C4">
        <w:t>Realizácia služieb verejnej správy</w:t>
      </w:r>
      <w:r w:rsidRPr="004D73C4" w:rsidDel="00E47095">
        <w:t xml:space="preserve"> musí používať princípy a pravidlá, ktoré umožňujú výkon kontroly a zároveň umožňujú generovanie auditných záznamov s požadovanou úrovňou ich ochrany.</w:t>
      </w:r>
      <w:r w:rsidRPr="004D73C4">
        <w:t xml:space="preserve"> Používateľ (či už žiadateľ služby ale aj pracovník využívajúci výsledky realizácie služby) má priebežnú informáciu o stave spracovania žiadosti o službu ako aj informácie o na základe akých pravidiel došlo k realizácii rozhodnutia</w:t>
      </w:r>
      <w:r w:rsidRPr="004D73C4" w:rsidDel="00E47095">
        <w:t>.</w:t>
      </w:r>
    </w:p>
    <w:p w14:paraId="62F52077" w14:textId="77777777" w:rsidR="00250001" w:rsidRPr="004D73C4" w:rsidRDefault="00250001" w:rsidP="004F065A">
      <w:pPr>
        <w:rPr>
          <w:b/>
          <w:sz w:val="24"/>
        </w:rPr>
      </w:pPr>
      <w:bookmarkStart w:id="231" w:name="_Toc432348194"/>
      <w:bookmarkStart w:id="232" w:name="_Toc460261196"/>
      <w:bookmarkStart w:id="233" w:name="_Toc57535596"/>
      <w:bookmarkStart w:id="234" w:name="_Toc64365421"/>
      <w:r w:rsidRPr="6CAFDB33">
        <w:rPr>
          <w:b/>
          <w:bCs/>
          <w:sz w:val="24"/>
          <w:szCs w:val="24"/>
        </w:rPr>
        <w:t xml:space="preserve">Princíp </w:t>
      </w:r>
      <w:bookmarkEnd w:id="231"/>
      <w:bookmarkEnd w:id="232"/>
      <w:bookmarkEnd w:id="233"/>
      <w:r w:rsidRPr="6CAFDB33">
        <w:rPr>
          <w:b/>
          <w:bCs/>
          <w:sz w:val="24"/>
          <w:szCs w:val="24"/>
        </w:rPr>
        <w:t>P6: Bezpečnosť</w:t>
      </w:r>
      <w:r w:rsidRPr="6CAFDB33">
        <w:rPr>
          <w:sz w:val="24"/>
          <w:szCs w:val="24"/>
          <w:vertAlign w:val="superscript"/>
        </w:rPr>
        <w:footnoteReference w:id="37"/>
      </w:r>
      <w:bookmarkEnd w:id="234"/>
      <w:r w:rsidRPr="6CAFDB33">
        <w:rPr>
          <w:sz w:val="24"/>
          <w:szCs w:val="24"/>
        </w:rPr>
        <w:t>)</w:t>
      </w:r>
    </w:p>
    <w:p w14:paraId="70EB5C54" w14:textId="77777777" w:rsidR="0090664A" w:rsidRPr="004D73C4" w:rsidRDefault="0090664A" w:rsidP="0090664A">
      <w:r w:rsidRPr="004D73C4">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14:paraId="10420053" w14:textId="77777777" w:rsidR="0090664A" w:rsidRPr="004D73C4" w:rsidRDefault="0090664A" w:rsidP="0090664A">
      <w:pPr>
        <w:rPr>
          <w:b/>
        </w:rPr>
      </w:pPr>
      <w:r w:rsidRPr="004D73C4">
        <w:rPr>
          <w:b/>
        </w:rPr>
        <w:t>P6.1 Včasné riešenie bezpečnosti</w:t>
      </w:r>
      <w:r w:rsidRPr="004D73C4">
        <w:t xml:space="preserve"> </w:t>
      </w:r>
      <w:r w:rsidRPr="004D73C4">
        <w:rPr>
          <w:rFonts w:ascii="Times New Roman" w:hAnsi="Times New Roman"/>
          <w:sz w:val="24"/>
        </w:rPr>
        <w:t xml:space="preserve">– </w:t>
      </w:r>
      <w:r w:rsidRPr="004D73C4">
        <w:t>Kvôli prierezovému charakteru je v záujme zabezpečenia kompletnej architektúry riešenia a infraštruktúry nevyhnutné, aby bol návrh riešenia bezpečnosti služieb pripravovaný už v štádiu návrhu.</w:t>
      </w:r>
    </w:p>
    <w:p w14:paraId="4F1322BA" w14:textId="77777777" w:rsidR="0090664A" w:rsidRPr="004D73C4" w:rsidRDefault="0090664A" w:rsidP="0090664A">
      <w:r w:rsidRPr="004D73C4">
        <w:rPr>
          <w:b/>
          <w:bCs/>
        </w:rPr>
        <w:t xml:space="preserve">P6.2 Dostupnosť </w:t>
      </w:r>
      <w:r w:rsidRPr="004D73C4">
        <w:rPr>
          <w:bCs/>
        </w:rPr>
        <w:t>–</w:t>
      </w:r>
      <w:r w:rsidRPr="004D73C4">
        <w:rPr>
          <w:b/>
          <w:bCs/>
        </w:rPr>
        <w:t xml:space="preserve"> </w:t>
      </w:r>
      <w:r w:rsidRPr="004D73C4">
        <w:t>Okrem ochrany dát a služieb pred zneužitím je potrebné zabezpečiť, aby služby neboli zraniteľné voči výpadkom a útokom, ktoré by mohli prerušiť ich prevádzku a následne spôsobiť aj stratu a poškodenie dát.</w:t>
      </w:r>
    </w:p>
    <w:p w14:paraId="2C282AB7" w14:textId="77777777" w:rsidR="0090664A" w:rsidRPr="004D73C4" w:rsidRDefault="0090664A" w:rsidP="0090664A">
      <w:r w:rsidRPr="004D73C4">
        <w:rPr>
          <w:b/>
          <w:bCs/>
        </w:rPr>
        <w:t>P6.3 Bezpečnosť údajov a služieb</w:t>
      </w:r>
      <w:r w:rsidRPr="004D73C4">
        <w:t xml:space="preserve"> –</w:t>
      </w:r>
      <w:r w:rsidRPr="004D73C4" w:rsidDel="00E47095">
        <w:t xml:space="preserve"> Údaje </w:t>
      </w:r>
      <w:r w:rsidRPr="004D73C4">
        <w:t xml:space="preserve">a služby </w:t>
      </w:r>
      <w:r w:rsidRPr="004D73C4" w:rsidDel="00E47095">
        <w:t>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14:paraId="1BFB6C99" w14:textId="77777777" w:rsidR="0090664A" w:rsidRPr="004D73C4" w:rsidRDefault="0090664A" w:rsidP="0090664A">
      <w:r w:rsidRPr="004D73C4">
        <w:rPr>
          <w:b/>
        </w:rPr>
        <w:t>P6.4 Optimálna úroveň bezpečnosti</w:t>
      </w:r>
      <w:r w:rsidRPr="004D73C4">
        <w:t xml:space="preserve"> – Požiadavka na mieru bezpečnosti pre určitý komponent alebo riešenie e-Governmentu má byť určená tak, aby táto úroveň predstavovala optimálne zníženie rizík pri čo najmenších nákladoch na realizáciu bezpečnostných opatrení a obmedzenie flexibility riešenia.</w:t>
      </w:r>
    </w:p>
    <w:p w14:paraId="1781F350" w14:textId="77777777" w:rsidR="000E1784" w:rsidRDefault="000E1784">
      <w:pPr>
        <w:spacing w:after="200" w:line="276" w:lineRule="auto"/>
        <w:jc w:val="left"/>
      </w:pPr>
      <w:r>
        <w:br w:type="page"/>
      </w:r>
    </w:p>
    <w:p w14:paraId="6F6013B5" w14:textId="77777777" w:rsidR="000E1784" w:rsidRPr="00F948D3" w:rsidRDefault="000E1784" w:rsidP="002B60D7">
      <w:pPr>
        <w:pStyle w:val="Nadpis2"/>
        <w:numPr>
          <w:ilvl w:val="0"/>
          <w:numId w:val="0"/>
        </w:numPr>
        <w:ind w:left="275"/>
      </w:pPr>
      <w:bookmarkStart w:id="235" w:name="_Toc69108455"/>
      <w:bookmarkStart w:id="236" w:name="_Ref69108525"/>
      <w:bookmarkStart w:id="237" w:name="_Toc69297735"/>
      <w:bookmarkStart w:id="238" w:name="_Toc70711639"/>
      <w:r>
        <w:lastRenderedPageBreak/>
        <w:t>Príloha č. 5</w:t>
      </w:r>
      <w:r w:rsidRPr="00FD5053">
        <w:t xml:space="preserve"> – </w:t>
      </w:r>
      <w:r>
        <w:t>Základné členenie architektúry verejnej správy</w:t>
      </w:r>
      <w:bookmarkEnd w:id="235"/>
      <w:bookmarkEnd w:id="236"/>
      <w:bookmarkEnd w:id="237"/>
      <w:bookmarkEnd w:id="238"/>
    </w:p>
    <w:p w14:paraId="53E10A2D" w14:textId="77777777" w:rsidR="000E1784" w:rsidRPr="00FD5053" w:rsidRDefault="000E1784" w:rsidP="000E1784">
      <w:r w:rsidRPr="00FD5053">
        <w:t xml:space="preserve">Enterprise architektúra verejnej správy SR je súborom individuálnych architektúr jednotlivých orgánov riadenia. Nakoľko je ale potrebné tieto architektúry vzájomne integrovať, musí byť vytvorený integračný architektonický rámec, ktorého úlohou je definovať jednotnú metodiku, požiadavky na interoperabilitu, požiadavky na súlad architektúr, požiadavky na kvalitatívne vlastnosti jednotlivých architektúr, definovať základné stavebné bloky (princípy, požiadavky, spoločné funkčnosti, a podobne) záväzné pre všetky architektúry orgánov riadenia a strategickú víziu rozvoja týchto architektúr. Týmto rámcom je pre verejnú správu Centrálna architektúra. </w:t>
      </w:r>
    </w:p>
    <w:p w14:paraId="7B505143" w14:textId="77777777" w:rsidR="000E1784" w:rsidRPr="00FD5053" w:rsidRDefault="000E1784" w:rsidP="000E1784">
      <w:r>
        <w:t xml:space="preserve">Na základe centrálnej architektúry, vízie a stratégie rozvoja architektúry verejnej správy a aktuálnych trendov je definovaná Referenčná architektúra, ktorá poskytuje smernice orgánom riadenia a základnú štruktúru architektúry pre určitú doménu alebo sektor, spoločný slovník, princípy, architektonické vzory, spoločné stavebné bloky, </w:t>
      </w:r>
      <w:r w:rsidR="0CC0B50B">
        <w:t xml:space="preserve">opakovane </w:t>
      </w:r>
      <w:r>
        <w:t>použiteľný návrh architektúry a najlepšie praktiky z danej oblasti. Referenčná architektúra je neustále vyvíjaná a aktualizovaná na základe projektových skúseností a aktuálneho stavu budovania celkovej architektúry ITVS.</w:t>
      </w:r>
    </w:p>
    <w:p w14:paraId="534A6D47" w14:textId="77777777" w:rsidR="000E1784" w:rsidRPr="00FD5053" w:rsidRDefault="000E1784" w:rsidP="000E1784">
      <w:r w:rsidRPr="00FD5053">
        <w:t>Architektúry orgánov riadenia pokrývajú a aktualizujú proces tvorby koncepcie rozvoja architektúry konkrétneho úradu a rezortu, sú najdetailnejšími architektúrami a zachytávajú konkrétne stavebné bloky a ich štruktúru a vzťahy tak ako existujú v realite a ako sa majú vyvíjať do budúcnosti. Iniciálne architektúry riešení vznikajú už počas vypracovania projektov rozvoja orgánom riadenia, ktoré sú následne počas projektov rozpracované do detailov. Centrálna a referenčná architektúra vymedzujú spôsob, akým sa architektúry orgánov riadenia tvoria a to najmä preto, aby bolo možné realizovať strategické nadrezortné ciele a iniciatívy (ako napríklad implementáciu životných situácií, presun spoločných a základných funkčností do vládneho cloudu a podobne).</w:t>
      </w:r>
    </w:p>
    <w:p w14:paraId="694F1309" w14:textId="77777777" w:rsidR="000E1784" w:rsidRPr="00FD5053" w:rsidRDefault="000E1784" w:rsidP="000E1784"/>
    <w:p w14:paraId="199A1CBC" w14:textId="33030BDA" w:rsidR="000E1784" w:rsidRPr="00FD5053" w:rsidRDefault="000E1784" w:rsidP="000E1784">
      <w:pPr>
        <w:pStyle w:val="Popis"/>
      </w:pPr>
      <w:r w:rsidRPr="00FD5053">
        <w:rPr>
          <w:noProof/>
          <w:color w:val="2B579A"/>
          <w:shd w:val="clear" w:color="auto" w:fill="E6E6E6"/>
          <w:lang w:eastAsia="sk-SK"/>
        </w:rPr>
        <w:drawing>
          <wp:anchor distT="0" distB="0" distL="114300" distR="114300" simplePos="0" relativeHeight="251702272" behindDoc="0" locked="0" layoutInCell="1" allowOverlap="1" wp14:anchorId="72588F5E" wp14:editId="4A80EE00">
            <wp:simplePos x="0" y="0"/>
            <wp:positionH relativeFrom="column">
              <wp:align>center</wp:align>
            </wp:positionH>
            <wp:positionV relativeFrom="paragraph">
              <wp:posOffset>0</wp:posOffset>
            </wp:positionV>
            <wp:extent cx="3250800" cy="2084400"/>
            <wp:effectExtent l="0" t="0" r="6985" b="0"/>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0800" cy="2084400"/>
                    </a:xfrm>
                    <a:prstGeom prst="rect">
                      <a:avLst/>
                    </a:prstGeom>
                    <a:noFill/>
                  </pic:spPr>
                </pic:pic>
              </a:graphicData>
            </a:graphic>
            <wp14:sizeRelH relativeFrom="margin">
              <wp14:pctWidth>0</wp14:pctWidth>
            </wp14:sizeRelH>
            <wp14:sizeRelV relativeFrom="margin">
              <wp14:pctHeight>0</wp14:pctHeight>
            </wp14:sizeRelV>
          </wp:anchor>
        </w:drawing>
      </w:r>
      <w:r w:rsidR="0185C329" w:rsidRPr="00FD5053">
        <w:t xml:space="preserve">Obrázok </w:t>
      </w:r>
      <w:r>
        <w:fldChar w:fldCharType="begin"/>
      </w:r>
      <w:r>
        <w:instrText>SEQ Obrázok \* ARABIC</w:instrText>
      </w:r>
      <w:r>
        <w:fldChar w:fldCharType="separate"/>
      </w:r>
      <w:r w:rsidR="00873A9F">
        <w:rPr>
          <w:noProof/>
        </w:rPr>
        <w:t>8</w:t>
      </w:r>
      <w:r>
        <w:fldChar w:fldCharType="end"/>
      </w:r>
      <w:r w:rsidR="0185C329" w:rsidRPr="00FD5053">
        <w:t>: Architektúry verejnej správy a ich vzťah</w:t>
      </w:r>
    </w:p>
    <w:p w14:paraId="484D1151" w14:textId="77777777" w:rsidR="000E1784" w:rsidRPr="00FD5053" w:rsidRDefault="000E1784" w:rsidP="000E1784">
      <w:r w:rsidRPr="00FD5053">
        <w:t>Pre potreby verejnej správy v zmysle uvedeného definujeme tri úrovne architektúry:</w:t>
      </w:r>
      <w:r w:rsidRPr="00FD5053">
        <w:rPr>
          <w:lang w:eastAsia="sk-SK"/>
        </w:rPr>
        <w:t xml:space="preserve"> </w:t>
      </w:r>
    </w:p>
    <w:p w14:paraId="4F9E3308" w14:textId="77777777" w:rsidR="000E1784" w:rsidRPr="00674411" w:rsidRDefault="2C51D176" w:rsidP="00674411">
      <w:pPr>
        <w:pStyle w:val="Odsekzoznamu"/>
      </w:pPr>
      <w:r>
        <w:t>Centrálna a Referenčná architektúra – definujú základný rámec a smerovanie pre architektúry jednotlivých orgánov riadenia.</w:t>
      </w:r>
    </w:p>
    <w:p w14:paraId="0318953F" w14:textId="77777777" w:rsidR="000E1784" w:rsidRPr="00674411" w:rsidRDefault="2C51D176" w:rsidP="00674411">
      <w:pPr>
        <w:pStyle w:val="Odsekzoznamu"/>
      </w:pPr>
      <w:r>
        <w:t>Architektúry orgánov riadenia – zachytávajú detailnú Enterprise architektúru orgánu riadenia a definujú rámec a smerovanie pre architektúru riešenia. Špeciálnym prípadom konkrétnej architektúry je Centrálna informačná infraštruktúra, ktorá obsahuje nadrezortné informačné systémy v správe ústredného orgánu štátnej správy a spoločné moduly verejnej správy.</w:t>
      </w:r>
    </w:p>
    <w:p w14:paraId="61225578" w14:textId="77777777" w:rsidR="000E1784" w:rsidRPr="00674411" w:rsidRDefault="2C51D176" w:rsidP="00674411">
      <w:pPr>
        <w:pStyle w:val="Odsekzoznamu"/>
      </w:pPr>
      <w:r>
        <w:t xml:space="preserve">Architektúra riešenia – detailne zachytáva architektúru jednotlivých riešení, dodávaných príslušnými realizačnými projektmi. </w:t>
      </w:r>
    </w:p>
    <w:p w14:paraId="159947A7" w14:textId="77777777" w:rsidR="0060626D" w:rsidRDefault="0060626D">
      <w:pPr>
        <w:spacing w:after="200" w:line="276" w:lineRule="auto"/>
        <w:jc w:val="left"/>
        <w:rPr>
          <w:b/>
          <w:sz w:val="24"/>
          <w:szCs w:val="24"/>
        </w:rPr>
      </w:pPr>
      <w:r>
        <w:rPr>
          <w:b/>
          <w:sz w:val="24"/>
          <w:szCs w:val="24"/>
        </w:rPr>
        <w:br w:type="page"/>
      </w:r>
    </w:p>
    <w:p w14:paraId="7D35D6A7" w14:textId="55BED90A" w:rsidR="000E1784" w:rsidRPr="00173E63" w:rsidRDefault="000E1784" w:rsidP="000E1784">
      <w:pPr>
        <w:rPr>
          <w:b/>
          <w:sz w:val="24"/>
          <w:szCs w:val="24"/>
        </w:rPr>
      </w:pPr>
      <w:r w:rsidRPr="00173E63">
        <w:rPr>
          <w:b/>
          <w:sz w:val="24"/>
          <w:szCs w:val="24"/>
        </w:rPr>
        <w:lastRenderedPageBreak/>
        <w:t>Centrálna architektúra verejnej správy</w:t>
      </w:r>
    </w:p>
    <w:p w14:paraId="1578B164" w14:textId="77777777" w:rsidR="000E1784" w:rsidRPr="00FD5053" w:rsidRDefault="000E1784" w:rsidP="000E1784">
      <w:r w:rsidRPr="00FD5053">
        <w:t>Stavebné bloky centrálnej architektúry verejnej správy sú rozdelené a definované v čiastkových architektúrach:</w:t>
      </w:r>
    </w:p>
    <w:p w14:paraId="523A1262" w14:textId="77777777" w:rsidR="000E1784" w:rsidRPr="00FD5053" w:rsidRDefault="2C51D176" w:rsidP="00674411">
      <w:pPr>
        <w:pStyle w:val="Odsekzoznamu"/>
      </w:pPr>
      <w:r w:rsidRPr="190F7DBA">
        <w:rPr>
          <w:b/>
          <w:bCs/>
        </w:rPr>
        <w:t>na horizontálnej úrovni</w:t>
      </w:r>
      <w:r>
        <w:t xml:space="preserve"> v architektúre stratégie, biznis architektúre, architektúre informačných systémov (aplikácií) a dát, technologickej architektúre a architektúre implementácie</w:t>
      </w:r>
    </w:p>
    <w:p w14:paraId="18E01744" w14:textId="77777777" w:rsidR="000E1784" w:rsidRPr="00FD5053" w:rsidRDefault="2C51D176" w:rsidP="00674411">
      <w:pPr>
        <w:pStyle w:val="Odsekzoznamu"/>
      </w:pPr>
      <w:r w:rsidRPr="190F7DBA">
        <w:rPr>
          <w:b/>
          <w:bCs/>
        </w:rPr>
        <w:t>vo vertikálnej úrovni</w:t>
      </w:r>
      <w:r>
        <w:t xml:space="preserve"> (prierezovej) na architektúru smerovania, architektúru výkonnosti, bezpečnostnú architektúru a štandardizačnú architektúru, ktoré musia byť zohľadňované v čiastkových architektúrach. </w:t>
      </w:r>
    </w:p>
    <w:p w14:paraId="67E94120" w14:textId="77777777" w:rsidR="000E1784" w:rsidRPr="00FD5053" w:rsidRDefault="000E1784" w:rsidP="000E1784">
      <w:pPr>
        <w:ind w:left="360"/>
      </w:pPr>
    </w:p>
    <w:p w14:paraId="7A745604" w14:textId="2F767EAC" w:rsidR="000E1784" w:rsidRPr="00FD5053" w:rsidRDefault="000E1784" w:rsidP="000E1784">
      <w:pPr>
        <w:pStyle w:val="Popis"/>
      </w:pPr>
      <w:r w:rsidRPr="00FD5053">
        <w:rPr>
          <w:noProof/>
          <w:color w:val="2B579A"/>
          <w:shd w:val="clear" w:color="auto" w:fill="E6E6E6"/>
          <w:lang w:eastAsia="sk-SK"/>
        </w:rPr>
        <w:drawing>
          <wp:anchor distT="0" distB="0" distL="114300" distR="114300" simplePos="0" relativeHeight="251701248" behindDoc="0" locked="0" layoutInCell="1" allowOverlap="1" wp14:anchorId="4F3762B8" wp14:editId="1AD31C31">
            <wp:simplePos x="0" y="0"/>
            <wp:positionH relativeFrom="column">
              <wp:align>center</wp:align>
            </wp:positionH>
            <wp:positionV relativeFrom="paragraph">
              <wp:posOffset>0</wp:posOffset>
            </wp:positionV>
            <wp:extent cx="3391200" cy="2880000"/>
            <wp:effectExtent l="0" t="0" r="0" b="0"/>
            <wp:wrapTopAndBottom/>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Arch NKVIS schema.jpg"/>
                    <pic:cNvPicPr/>
                  </pic:nvPicPr>
                  <pic:blipFill>
                    <a:blip r:embed="rId42">
                      <a:extLst>
                        <a:ext uri="{28A0092B-C50C-407E-A947-70E740481C1C}">
                          <a14:useLocalDpi xmlns:a14="http://schemas.microsoft.com/office/drawing/2010/main" val="0"/>
                        </a:ext>
                      </a:extLst>
                    </a:blip>
                    <a:stretch>
                      <a:fillRect/>
                    </a:stretch>
                  </pic:blipFill>
                  <pic:spPr>
                    <a:xfrm>
                      <a:off x="0" y="0"/>
                      <a:ext cx="3391200" cy="2880000"/>
                    </a:xfrm>
                    <a:prstGeom prst="rect">
                      <a:avLst/>
                    </a:prstGeom>
                  </pic:spPr>
                </pic:pic>
              </a:graphicData>
            </a:graphic>
            <wp14:sizeRelH relativeFrom="margin">
              <wp14:pctWidth>0</wp14:pctWidth>
            </wp14:sizeRelH>
            <wp14:sizeRelV relativeFrom="margin">
              <wp14:pctHeight>0</wp14:pctHeight>
            </wp14:sizeRelV>
          </wp:anchor>
        </w:drawing>
      </w:r>
      <w:r w:rsidR="0185C329" w:rsidRPr="00FD5053">
        <w:t xml:space="preserve">Obrázok </w:t>
      </w:r>
      <w:r>
        <w:fldChar w:fldCharType="begin"/>
      </w:r>
      <w:r>
        <w:instrText>SEQ Obrázok \* ARABIC</w:instrText>
      </w:r>
      <w:r>
        <w:fldChar w:fldCharType="separate"/>
      </w:r>
      <w:r w:rsidR="00873A9F">
        <w:rPr>
          <w:noProof/>
        </w:rPr>
        <w:t>9</w:t>
      </w:r>
      <w:r>
        <w:fldChar w:fldCharType="end"/>
      </w:r>
      <w:r w:rsidR="0185C329" w:rsidRPr="00FD5053">
        <w:t>: Stavebné bloky architektúry verejnej správy</w:t>
      </w:r>
    </w:p>
    <w:p w14:paraId="5C14DF26" w14:textId="77777777" w:rsidR="00454A86" w:rsidRDefault="00454A86" w:rsidP="000E1784"/>
    <w:p w14:paraId="27C18CD9" w14:textId="77777777" w:rsidR="000E1784" w:rsidRPr="00FD5053" w:rsidRDefault="000E1784" w:rsidP="000E1784">
      <w:pPr>
        <w:rPr>
          <w:lang w:eastAsia="cs-CZ"/>
        </w:rPr>
      </w:pPr>
      <w:r>
        <w:t xml:space="preserve">Horizontálne architektúry predstavujú oblasti činností, ktoré orgán verejnej správy vykonáva, zatiaľ čo vertikálne architektúry reprezentujú motivačné faktory. Celostný prístup k architektúre verejnej správy predstavuje </w:t>
      </w:r>
      <w:r w:rsidRPr="0D533E45">
        <w:rPr>
          <w:lang w:eastAsia="cs-CZ"/>
        </w:rPr>
        <w:t>budovanie</w:t>
      </w:r>
      <w:r>
        <w:t xml:space="preserve"> </w:t>
      </w:r>
      <w:r w:rsidR="2B66300B">
        <w:t>vzájomne</w:t>
      </w:r>
      <w:r>
        <w:t xml:space="preserve"> prepojených vrstiev horizontálnych a vertikálnych architektúr tak, aby boli neustále čo najviac aj vzájomne a aj ako celok zladené. P</w:t>
      </w:r>
      <w:r w:rsidRPr="0D533E45">
        <w:rPr>
          <w:lang w:eastAsia="cs-CZ"/>
        </w:rPr>
        <w:t>okrok v schopnostiach implementovaný v jednej čiastkovej architektúry je nutné primerane zrkadliť aj pokrokom schopností na ostatných vrstvách architektúry verejnej správy. Ak sa tak nedeje, niektoré vrstvy predbiehajú iné a investície do takýchto vylepšení nedosahujú navrhované benefity v plnom rozsahu, čím predstavujú v skutočnosti znehodnotenú investíciu. Pre praktické sledovanie a zachovanie uvedeného vnútorného súladu architektúry verejnej správy bude zavedený systém riadenia založený na modeli vyspelosti pre jednotlivé vrstvy architektúry. Zlepšenia vrstiev sa budú realizovať tak, aby boli čo najlepšie synchronizované.</w:t>
      </w:r>
    </w:p>
    <w:p w14:paraId="474524B8" w14:textId="77777777" w:rsidR="000E1784" w:rsidRPr="00FD5053" w:rsidRDefault="000E1784" w:rsidP="000E1784">
      <w:r w:rsidRPr="00FD5053">
        <w:t>Nasledujúci obrázok predstavuje základné trojvrstvové jadro horizontálneho členenia centrálnej architektúry verejnej správy SR vo väčšej miere detailu.</w:t>
      </w:r>
    </w:p>
    <w:p w14:paraId="429E700D" w14:textId="0780C09C" w:rsidR="000E1784" w:rsidRPr="00FD5053" w:rsidRDefault="000E1784" w:rsidP="000E1784">
      <w:pPr>
        <w:pStyle w:val="Popis"/>
      </w:pPr>
      <w:r w:rsidRPr="00FD5053">
        <w:rPr>
          <w:noProof/>
          <w:color w:val="2B579A"/>
          <w:shd w:val="clear" w:color="auto" w:fill="E6E6E6"/>
          <w:lang w:eastAsia="sk-SK"/>
        </w:rPr>
        <w:lastRenderedPageBreak/>
        <w:drawing>
          <wp:anchor distT="0" distB="0" distL="114300" distR="114300" simplePos="0" relativeHeight="251703296" behindDoc="0" locked="0" layoutInCell="1" allowOverlap="1" wp14:anchorId="2FED3421" wp14:editId="39F5B5E6">
            <wp:simplePos x="0" y="0"/>
            <wp:positionH relativeFrom="margin">
              <wp:align>center</wp:align>
            </wp:positionH>
            <wp:positionV relativeFrom="paragraph">
              <wp:posOffset>0</wp:posOffset>
            </wp:positionV>
            <wp:extent cx="4960800" cy="5760000"/>
            <wp:effectExtent l="0" t="0" r="0" b="0"/>
            <wp:wrapTopAndBottom/>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60800" cy="5760000"/>
                    </a:xfrm>
                    <a:prstGeom prst="rect">
                      <a:avLst/>
                    </a:prstGeom>
                    <a:noFill/>
                  </pic:spPr>
                </pic:pic>
              </a:graphicData>
            </a:graphic>
            <wp14:sizeRelH relativeFrom="page">
              <wp14:pctWidth>0</wp14:pctWidth>
            </wp14:sizeRelH>
            <wp14:sizeRelV relativeFrom="page">
              <wp14:pctHeight>0</wp14:pctHeight>
            </wp14:sizeRelV>
          </wp:anchor>
        </w:drawing>
      </w:r>
      <w:r w:rsidR="0185C329" w:rsidRPr="00FD5053">
        <w:t xml:space="preserve">Obrázok </w:t>
      </w:r>
      <w:r>
        <w:fldChar w:fldCharType="begin"/>
      </w:r>
      <w:r>
        <w:instrText>SEQ Obrázok \* ARABIC</w:instrText>
      </w:r>
      <w:r>
        <w:fldChar w:fldCharType="separate"/>
      </w:r>
      <w:r w:rsidR="00873A9F">
        <w:rPr>
          <w:noProof/>
        </w:rPr>
        <w:t>10</w:t>
      </w:r>
      <w:r>
        <w:fldChar w:fldCharType="end"/>
      </w:r>
      <w:r w:rsidR="0185C329" w:rsidRPr="00FD5053">
        <w:t>: Centrálna architektúra verejnej správy SR</w:t>
      </w:r>
    </w:p>
    <w:p w14:paraId="533D67F5" w14:textId="77777777" w:rsidR="000E1784" w:rsidRPr="00173E63" w:rsidRDefault="000E1784" w:rsidP="000E1784">
      <w:pPr>
        <w:rPr>
          <w:b/>
          <w:sz w:val="24"/>
          <w:szCs w:val="24"/>
        </w:rPr>
      </w:pPr>
      <w:r w:rsidRPr="00173E63">
        <w:rPr>
          <w:b/>
          <w:sz w:val="24"/>
          <w:szCs w:val="24"/>
        </w:rPr>
        <w:t>Biznis architektúra verejnej správy</w:t>
      </w:r>
      <w:r w:rsidR="007C1318">
        <w:rPr>
          <w:b/>
          <w:sz w:val="24"/>
          <w:szCs w:val="24"/>
        </w:rPr>
        <w:t xml:space="preserve"> </w:t>
      </w:r>
    </w:p>
    <w:p w14:paraId="75C9F58C" w14:textId="77777777" w:rsidR="000E1784" w:rsidRPr="00FD5053" w:rsidRDefault="000E1784" w:rsidP="000E1784">
      <w:r w:rsidRPr="00FD5053">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14:paraId="5FDDEA01" w14:textId="77777777" w:rsidR="000E1784" w:rsidRPr="00FD5053" w:rsidRDefault="0185C329" w:rsidP="00674411">
      <w:pPr>
        <w:pStyle w:val="Odsekzoznamu"/>
      </w:pPr>
      <w:r w:rsidRPr="00FD5053">
        <w:rPr>
          <w:b/>
          <w:bCs/>
        </w:rPr>
        <w:t xml:space="preserve">Komunikačné kanály </w:t>
      </w:r>
      <w:r w:rsidRPr="00FD5053">
        <w:t>– Komunikačné kanály predstavujú spôsoby komunikácie s orgánmi verejnej správy a realizujú sa prostredníctvom prístupových miest.</w:t>
      </w:r>
      <w:r w:rsidR="000E1784" w:rsidRPr="00FD5053">
        <w:rPr>
          <w:vertAlign w:val="superscript"/>
        </w:rPr>
        <w:footnoteReference w:id="38"/>
      </w:r>
      <w:r w:rsidRPr="00FD5053">
        <w:t>) Tie môžu poskytovať nasledovné rozhrania: web stránky, mobilné aplikácie, osobná návšteva, telefonická komunikácia, e-mail, SMS, listinná komunikácia, verejné aplikačné rozhranie (OpenAPI).</w:t>
      </w:r>
    </w:p>
    <w:p w14:paraId="5F6702CD" w14:textId="77777777" w:rsidR="000E1784" w:rsidRPr="00FD5053" w:rsidRDefault="2C51D176" w:rsidP="00674411">
      <w:pPr>
        <w:pStyle w:val="Odsekzoznamu"/>
      </w:pPr>
      <w:r w:rsidRPr="190F7DBA">
        <w:rPr>
          <w:b/>
          <w:bCs/>
        </w:rPr>
        <w:t>Poskytovanie služieb</w:t>
      </w:r>
      <w:r>
        <w:t xml:space="preserve"> – základnou funkciou verejnej správy je poskytovať služby občanom, podnikateľom, cudzincom, ale i organizáciám verejnej správy a európskej administratíve, a to aj v podobe aktuálneho informovania o právach a povinnostiach a pod. Služby poskytujú viditeľnú hodnotu, napr. v podobe udeľovania povolení alebo licencií, vydávania rozhodnutí </w:t>
      </w:r>
      <w:r>
        <w:lastRenderedPageBreak/>
        <w:t>alebo iných výstupov a umožňujú efektívne riešiť ŽS, v ktorých sa občania alebo podnikatelia môžu nachádzať.</w:t>
      </w:r>
    </w:p>
    <w:p w14:paraId="0DE35588" w14:textId="77777777" w:rsidR="000E1784" w:rsidRPr="00FD5053" w:rsidRDefault="2C51D176" w:rsidP="00674411">
      <w:pPr>
        <w:pStyle w:val="Odsekzoznamu"/>
      </w:pPr>
      <w:r w:rsidRPr="190F7DBA">
        <w:rPr>
          <w:b/>
          <w:bCs/>
        </w:rPr>
        <w:t>Návrh politík a regulácií</w:t>
      </w:r>
      <w:r>
        <w:t xml:space="preserve"> – reprezentuje činnosti verejnej správy zabezpečujúce vytváranie a udržiavanie stratégie, politiky a regulácie aktivít v národnom hospodárstve. Dôležitým faktorom je možnosť analyzovať relevantné údaje a na základe týchto údajov, respektíve ich analýz, vytvárať odporúčania a zlepšovať politiky, regulačné aj vnútorné prostredie.</w:t>
      </w:r>
    </w:p>
    <w:p w14:paraId="6554FAD3" w14:textId="77777777" w:rsidR="000E1784" w:rsidRPr="00FD5053" w:rsidRDefault="2C51D176" w:rsidP="00674411">
      <w:pPr>
        <w:pStyle w:val="Odsekzoznamu"/>
      </w:pPr>
      <w:r w:rsidRPr="190F7DBA">
        <w:rPr>
          <w:b/>
          <w:bCs/>
        </w:rPr>
        <w:t>Rozvoj verejnej správy</w:t>
      </w:r>
      <w:r>
        <w:t xml:space="preserve"> – predstavuje činnosti verejnej správy, ktorých cieľom je udržiavať jej efektívnu činnosť a reagovať na podnety a zmeny, identifikovať svoje slabé miesta a na ich základe definovať ich odstraňovanie a zabezpečovať kontinuálny rozvoj vo všetkých dôležitých oblastiach vzhľadom na aktuálny vývoj a pokrok spoločnosti. Táto funkcia by mala byť vhodne podporená analytickými nástrojmi pre verejnú správu, vrátane účtovného a štatistického výkazníctva verejných financií, či manažmentom kvality.</w:t>
      </w:r>
    </w:p>
    <w:p w14:paraId="0827683E" w14:textId="77777777" w:rsidR="000E1784" w:rsidRPr="00FD5053" w:rsidRDefault="2C51D176" w:rsidP="00674411">
      <w:pPr>
        <w:pStyle w:val="Odsekzoznamu"/>
      </w:pPr>
      <w:r w:rsidRPr="190F7DBA">
        <w:rPr>
          <w:b/>
          <w:bCs/>
        </w:rPr>
        <w:t>Vnútorná správa</w:t>
      </w:r>
      <w:r>
        <w:t xml:space="preserve"> – funkcia verejnej správy zabezpečujúca výkon činností verejnej správy spojených s realizáciou všetkých procesov potrebných k jej vlastnému chodu (napr. ekonomická agenda, verejné obstarávanie, správa IKT, prevádzka vozového parku a pod.).</w:t>
      </w:r>
    </w:p>
    <w:p w14:paraId="6AD6C21A" w14:textId="77777777" w:rsidR="000E1784" w:rsidRPr="00FD5053" w:rsidRDefault="2C51D176" w:rsidP="00674411">
      <w:pPr>
        <w:pStyle w:val="Odsekzoznamu"/>
      </w:pPr>
      <w:r w:rsidRPr="190F7DBA">
        <w:rPr>
          <w:b/>
          <w:bCs/>
        </w:rPr>
        <w:t xml:space="preserve">Spoločné služby </w:t>
      </w:r>
      <w:r>
        <w:t>– spoločné služby realizujú funkcie verejnej správy prostredníctvom zdieľaných služieb využitím konceptu Business process as a Service (ďalej len „BPaaS“). Zdieľané služby budú riešené na aplikačnej, metodickej alebo organizačnej úrovni v tých oblastiach, kde sa takáto reforma ukáže ako možná, efektívna a užitočná.</w:t>
      </w:r>
    </w:p>
    <w:p w14:paraId="4BE14665" w14:textId="77777777" w:rsidR="000E1784" w:rsidRPr="00173E63" w:rsidRDefault="000E1784" w:rsidP="000E1784">
      <w:pPr>
        <w:rPr>
          <w:b/>
          <w:sz w:val="24"/>
          <w:szCs w:val="24"/>
        </w:rPr>
      </w:pPr>
      <w:r w:rsidRPr="00173E63">
        <w:rPr>
          <w:b/>
          <w:sz w:val="24"/>
          <w:szCs w:val="24"/>
        </w:rPr>
        <w:t>Aplikačná architektúra verejnej správy</w:t>
      </w:r>
    </w:p>
    <w:p w14:paraId="1C5680B6" w14:textId="77777777" w:rsidR="000E1784" w:rsidRPr="00FD5053" w:rsidRDefault="000E1784" w:rsidP="000E1784">
      <w:r w:rsidRPr="00FD5053">
        <w:t>Aplikačná architektúra verejnej správy predstavuje úroveň IS, ktoré primárne podporujú výkon funkcií a činností definovaných na úrovni biznis architektúry. Súčasťou aplikačnej vrstvy architektúry je aj dátová architektúra.</w:t>
      </w:r>
    </w:p>
    <w:p w14:paraId="3D948ECC" w14:textId="77777777" w:rsidR="000E1784" w:rsidRPr="00FD5053" w:rsidRDefault="000E1784" w:rsidP="000E1784">
      <w:r w:rsidRPr="00FD5053">
        <w:t>Aplikačná časť tejto vrstvy Je rozdelená do nasledujúcich funkcií:</w:t>
      </w:r>
    </w:p>
    <w:p w14:paraId="0737094C" w14:textId="77777777" w:rsidR="000E1784" w:rsidRPr="00674411" w:rsidRDefault="0185C329" w:rsidP="00674411">
      <w:pPr>
        <w:pStyle w:val="Odsekzoznamu"/>
      </w:pPr>
      <w:r w:rsidRPr="6CAFDB33">
        <w:rPr>
          <w:b/>
          <w:bCs/>
        </w:rPr>
        <w:t>Moduly prístupových miest</w:t>
      </w:r>
      <w:r w:rsidRPr="00674411">
        <w:t xml:space="preserve"> – predstavujú komponenty, ktoré riešia interakciu s používateľmi (občanmi, podnikateľmi, zamestnancami verejnej správy a IS) cez prístupové miesta.</w:t>
      </w:r>
      <w:r w:rsidR="000E1784" w:rsidRPr="00674411">
        <w:rPr>
          <w:vertAlign w:val="superscript"/>
        </w:rPr>
        <w:footnoteReference w:id="39"/>
      </w:r>
      <w:r w:rsidRPr="00674411">
        <w:t xml:space="preserve">) </w:t>
      </w:r>
    </w:p>
    <w:p w14:paraId="656C4C46" w14:textId="77777777" w:rsidR="000E1784" w:rsidRPr="00674411" w:rsidRDefault="0185C329" w:rsidP="00674411">
      <w:pPr>
        <w:pStyle w:val="Odsekzoznamu"/>
      </w:pPr>
      <w:r w:rsidRPr="6CAFDB33">
        <w:rPr>
          <w:b/>
          <w:bCs/>
        </w:rPr>
        <w:t>Moduly procesnej integrácie a integrácie údajov</w:t>
      </w:r>
      <w:r w:rsidR="000E1784" w:rsidRPr="00674411">
        <w:rPr>
          <w:vertAlign w:val="superscript"/>
        </w:rPr>
        <w:footnoteReference w:id="40"/>
      </w:r>
      <w:r w:rsidRPr="00674411">
        <w:t>) – riešia prepojenie a vzájomnú interoperabilitu IS verejnej správy SR a EÚ administratívy na úrovni aplikačnej a dátovej integrácie a zabezpečuje služby orchestrácie najmä pre ŽS a vnútorné procesy verejnej správy.</w:t>
      </w:r>
    </w:p>
    <w:p w14:paraId="06B704F5" w14:textId="77777777" w:rsidR="000E1784" w:rsidRPr="00674411" w:rsidRDefault="0185C329" w:rsidP="00674411">
      <w:pPr>
        <w:pStyle w:val="Odsekzoznamu"/>
      </w:pPr>
      <w:r w:rsidRPr="6CAFDB33">
        <w:rPr>
          <w:b/>
          <w:bCs/>
        </w:rPr>
        <w:t>Agendové informačné systémy</w:t>
      </w:r>
      <w:r w:rsidRPr="00674411">
        <w:t xml:space="preserve"> – podporujú výkon konkrétnej agendy a realizujú kľúčové aplikačné služby.</w:t>
      </w:r>
      <w:r w:rsidR="000E1784" w:rsidRPr="00674411">
        <w:rPr>
          <w:vertAlign w:val="superscript"/>
        </w:rPr>
        <w:footnoteReference w:id="41"/>
      </w:r>
      <w:r w:rsidRPr="00674411">
        <w:t>)</w:t>
      </w:r>
    </w:p>
    <w:p w14:paraId="3645D138" w14:textId="77777777" w:rsidR="000E1784" w:rsidRPr="00674411" w:rsidRDefault="0185C329" w:rsidP="00674411">
      <w:pPr>
        <w:pStyle w:val="Odsekzoznamu"/>
      </w:pPr>
      <w:r w:rsidRPr="6CAFDB33">
        <w:rPr>
          <w:b/>
          <w:bCs/>
        </w:rPr>
        <w:t>Spoločné moduly</w:t>
      </w:r>
      <w:r w:rsidRPr="00674411">
        <w:t xml:space="preserve"> – sú IS pre spoločné biznis bloky najmä v rámci oblastí: podpora výkonu agendy, podpora výkonu organizácie, správa a rozvoj verejnej správy, a poskytovanie referenčných údajov. Spoločné moduly v súčasnosti tvoria moduly: modul elektronických schránok autentifikačný modul, , platobný modul, modul centrálnej elektronickej podateľne, modul elektronických formulárov, modul elektronického doručovania, notifikačný modul, modul procesnej integrácie a integrácie údajov, modul dlhodobého uchovávania.</w:t>
      </w:r>
      <w:r w:rsidR="000E1784" w:rsidRPr="00674411">
        <w:rPr>
          <w:vertAlign w:val="superscript"/>
        </w:rPr>
        <w:footnoteReference w:id="42"/>
      </w:r>
      <w:r w:rsidRPr="00674411">
        <w:t>)</w:t>
      </w:r>
    </w:p>
    <w:p w14:paraId="2F781D3F" w14:textId="77777777" w:rsidR="000E1784" w:rsidRPr="00674411" w:rsidRDefault="0185C329" w:rsidP="00674411">
      <w:pPr>
        <w:pStyle w:val="Odsekzoznamu"/>
      </w:pPr>
      <w:r w:rsidRPr="6CAFDB33">
        <w:rPr>
          <w:b/>
          <w:bCs/>
        </w:rPr>
        <w:t>Nadrezortné ISVS</w:t>
      </w:r>
      <w:r w:rsidRPr="00674411">
        <w:t xml:space="preserve"> – sú IS verejnej správy, ktoré do hierarchicky vyššieho IS verejnej správy v pôsobnosti jedného správcu hierarchicky integrujú spoločné časti jednotlivých IS verejnej správy, ktoré sú v pôsobnosti iných správcov.</w:t>
      </w:r>
      <w:r w:rsidR="000E1784" w:rsidRPr="00674411">
        <w:rPr>
          <w:vertAlign w:val="superscript"/>
        </w:rPr>
        <w:footnoteReference w:id="43"/>
      </w:r>
      <w:r w:rsidRPr="00674411">
        <w:t>)</w:t>
      </w:r>
    </w:p>
    <w:p w14:paraId="2E06D3CD" w14:textId="77777777" w:rsidR="000E1784" w:rsidRPr="00674411" w:rsidRDefault="2C51D176" w:rsidP="00674411">
      <w:pPr>
        <w:pStyle w:val="Odsekzoznamu"/>
      </w:pPr>
      <w:r w:rsidRPr="190F7DBA">
        <w:rPr>
          <w:b/>
          <w:bCs/>
        </w:rPr>
        <w:t>Podporné spoločné bloky</w:t>
      </w:r>
      <w:r>
        <w:t xml:space="preserve"> – moduly, ktoré umožňujú poskytovať spoločné služby a realizovať funkcie verejnej správy prostredníctvom zdieľaných služieb formou SaaS. Centrálny spoločný blok je základným stavebným blokom aplikačnej vrstvy architektúry VS SR. Umožňuje poskytovať spoločné služby a realizovať funkcie verejnej správy prostredníctvom zdieľaných </w:t>
      </w:r>
      <w:r>
        <w:lastRenderedPageBreak/>
        <w:t>služieb formou Software-as-a-Service. Centrálny spoločný blok tak umožňuje zoskupovať a optimalizovať procesy spoločné viacerým subjektom VS po aplikačnej stránke.</w:t>
      </w:r>
    </w:p>
    <w:p w14:paraId="56F8381D" w14:textId="77777777" w:rsidR="000E1784" w:rsidRPr="00674411" w:rsidRDefault="2C51D176" w:rsidP="00674411">
      <w:pPr>
        <w:pStyle w:val="Odsekzoznamu"/>
      </w:pPr>
      <w:r w:rsidRPr="190F7DBA">
        <w:rPr>
          <w:b/>
          <w:bCs/>
        </w:rPr>
        <w:t>Podporné bloky</w:t>
      </w:r>
      <w:r>
        <w:t xml:space="preserve"> – predstavujú špecifické, najmä rezortné komponenty pre podporu back- office činností, čiže komponenty, ktoré nie sú spoločné a zdieľané viacerými inštitúciami a nie sú modulmi prístupových miest.</w:t>
      </w:r>
    </w:p>
    <w:p w14:paraId="0B8D85CF" w14:textId="77777777" w:rsidR="000E1784" w:rsidRPr="00173E63" w:rsidRDefault="000E1784" w:rsidP="000E1784">
      <w:pPr>
        <w:rPr>
          <w:b/>
        </w:rPr>
      </w:pPr>
      <w:r w:rsidRPr="00173E63">
        <w:rPr>
          <w:b/>
        </w:rPr>
        <w:t>Dátová architektúra verejnej správy</w:t>
      </w:r>
    </w:p>
    <w:p w14:paraId="4F52FE6F" w14:textId="77777777" w:rsidR="000E1784" w:rsidRPr="00FD5053" w:rsidRDefault="000E1784" w:rsidP="000E1784">
      <w:r w:rsidRPr="00FD5053">
        <w:t>Dátová architektúra</w:t>
      </w:r>
      <w:r w:rsidRPr="00FD5053">
        <w:rPr>
          <w:rFonts w:cs="Times New Roman"/>
          <w:vertAlign w:val="superscript"/>
        </w:rPr>
        <w:footnoteReference w:id="44"/>
      </w:r>
      <w:r w:rsidRPr="00FD5053">
        <w:t>) je zameraná na najdôležitejšie stavebné bloky, ktoré je potrebné brať do úvahy pri zabezpečení sémantickej interoperability pri výmene informácií medzi verejnou správou, občanmi a komerčným sektorom, pri spracovaní a uchovávaní objektov evidencie. Dáta sú základný stavebný materiál požitý na reprezentáciu informácie, ktorej nositeľom je objekt evidencie alebo iná informačná jednotka. Kľúčovými stavebnými blokmi sú: dátové štandardy, centrálny model údajov, metadáta, referenčné údaje, základné číselníky, zdrojové a transakčné dáta.</w:t>
      </w:r>
    </w:p>
    <w:p w14:paraId="3DF7D6EB" w14:textId="77777777" w:rsidR="000E1784" w:rsidRPr="00173E63" w:rsidRDefault="000E1784" w:rsidP="000E1784">
      <w:pPr>
        <w:rPr>
          <w:b/>
          <w:sz w:val="24"/>
          <w:szCs w:val="24"/>
        </w:rPr>
      </w:pPr>
      <w:r w:rsidRPr="00173E63">
        <w:rPr>
          <w:b/>
          <w:sz w:val="24"/>
          <w:szCs w:val="24"/>
        </w:rPr>
        <w:t>Technologická architektúra verejnej správy</w:t>
      </w:r>
    </w:p>
    <w:p w14:paraId="67FCD31B" w14:textId="77777777" w:rsidR="000E1784" w:rsidRPr="00FD5053" w:rsidRDefault="000E1784" w:rsidP="000E1784">
      <w:r w:rsidRPr="00FD5053">
        <w:t>Hlavnými prvkami centrálnej technologickej architektúry sú:</w:t>
      </w:r>
    </w:p>
    <w:p w14:paraId="693B9590" w14:textId="77777777" w:rsidR="000E1784" w:rsidRPr="00674411" w:rsidRDefault="0185C329" w:rsidP="00674411">
      <w:pPr>
        <w:pStyle w:val="Odsekzoznamu"/>
      </w:pPr>
      <w:r w:rsidRPr="6CAFDB33">
        <w:rPr>
          <w:b/>
          <w:bCs/>
        </w:rPr>
        <w:t>Cloudové služby</w:t>
      </w:r>
      <w:r w:rsidRPr="00674411">
        <w:t xml:space="preserve"> – Služby vládneho cloudu a certifikované služby</w:t>
      </w:r>
      <w:r w:rsidR="000E1784" w:rsidRPr="00CD65E5">
        <w:rPr>
          <w:vertAlign w:val="superscript"/>
        </w:rPr>
        <w:footnoteReference w:id="45"/>
      </w:r>
      <w:r w:rsidRPr="00674411">
        <w:t>) ďalších poskytovateľov cloudových služieb a dátových centier.</w:t>
      </w:r>
    </w:p>
    <w:p w14:paraId="2DE59E97" w14:textId="77777777" w:rsidR="000E1784" w:rsidRPr="00674411" w:rsidRDefault="2C51D176" w:rsidP="00674411">
      <w:pPr>
        <w:pStyle w:val="Odsekzoznamu"/>
      </w:pPr>
      <w:r w:rsidRPr="190F7DBA">
        <w:rPr>
          <w:b/>
          <w:bCs/>
        </w:rPr>
        <w:t>Komunikačná infraštruktúra</w:t>
      </w:r>
      <w:r>
        <w:t xml:space="preserve"> – Kvalitná, bezpečná a kapacitne dostatočná komunikačná infraštruktúra je nevyhnutná pre využívanie cloudových služieb.</w:t>
      </w:r>
    </w:p>
    <w:p w14:paraId="5D01C232" w14:textId="77777777" w:rsidR="0094429B" w:rsidRPr="00674411" w:rsidRDefault="2C51D176" w:rsidP="00674411">
      <w:pPr>
        <w:pStyle w:val="Odsekzoznamu"/>
      </w:pPr>
      <w:r w:rsidRPr="190F7DBA">
        <w:rPr>
          <w:b/>
          <w:bCs/>
        </w:rPr>
        <w:t>Infraštruktúra organizácií verejnej správy</w:t>
      </w:r>
      <w:r>
        <w:t xml:space="preserve"> – Výpočtová a komunikačná infraštruktúra (osobné počítače, inteligentné mobilné zariadenia, tlačiarne, skenery, počítačové siete).</w:t>
      </w:r>
    </w:p>
    <w:sectPr w:rsidR="0094429B" w:rsidRPr="00674411" w:rsidSect="0060626D">
      <w:endnotePr>
        <w:numFmt w:val="decimal"/>
      </w:endnotePr>
      <w:pgSz w:w="11906" w:h="16838" w:code="9"/>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A4A26" w14:textId="77777777" w:rsidR="00C80327" w:rsidRDefault="00C80327" w:rsidP="00AF1DE4">
      <w:pPr>
        <w:spacing w:after="0" w:line="240" w:lineRule="auto"/>
      </w:pPr>
      <w:r>
        <w:separator/>
      </w:r>
    </w:p>
  </w:endnote>
  <w:endnote w:type="continuationSeparator" w:id="0">
    <w:p w14:paraId="70B5DA02" w14:textId="77777777" w:rsidR="00C80327" w:rsidRDefault="00C80327" w:rsidP="00AF1DE4">
      <w:pPr>
        <w:spacing w:after="0" w:line="240" w:lineRule="auto"/>
      </w:pPr>
      <w:r>
        <w:continuationSeparator/>
      </w:r>
    </w:p>
  </w:endnote>
  <w:endnote w:type="continuationNotice" w:id="1">
    <w:p w14:paraId="4A4FF886" w14:textId="77777777" w:rsidR="00C80327" w:rsidRDefault="00C803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XGyreBonumRegular">
    <w:altName w:val="Times New Roman"/>
    <w:panose1 w:val="00000000000000000000"/>
    <w:charset w:val="00"/>
    <w:family w:val="roman"/>
    <w:notTrueType/>
    <w:pitch w:val="default"/>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772B" w14:textId="77777777" w:rsidR="00D6171B" w:rsidRDefault="00D6171B">
    <w:pPr>
      <w:pStyle w:val="Pta"/>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613C" w14:textId="77777777" w:rsidR="00D6171B" w:rsidRDefault="00D6171B">
    <w:pPr>
      <w:pStyle w:val="Pta"/>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4EB" w14:textId="00E400CA" w:rsidR="00D6171B" w:rsidRPr="00BD21F0" w:rsidRDefault="00D6171B" w:rsidP="00986458">
    <w:pPr>
      <w:tabs>
        <w:tab w:val="center" w:pos="4536"/>
      </w:tabs>
    </w:pPr>
    <w:r w:rsidRPr="00BD21F0">
      <w:rPr>
        <w:sz w:val="18"/>
        <w:szCs w:val="18"/>
      </w:rPr>
      <w:tab/>
    </w:r>
    <w:r w:rsidRPr="00986458">
      <w:rPr>
        <w:color w:val="2B579A"/>
        <w:shd w:val="clear" w:color="auto" w:fill="E6E6E6"/>
      </w:rPr>
      <w:fldChar w:fldCharType="begin"/>
    </w:r>
    <w:r w:rsidRPr="00986458">
      <w:instrText xml:space="preserve"> PAGE   \* MERGEFORMAT </w:instrText>
    </w:r>
    <w:r w:rsidRPr="00986458">
      <w:rPr>
        <w:color w:val="2B579A"/>
        <w:shd w:val="clear" w:color="auto" w:fill="E6E6E6"/>
      </w:rPr>
      <w:fldChar w:fldCharType="separate"/>
    </w:r>
    <w:r>
      <w:rPr>
        <w:noProof/>
      </w:rPr>
      <w:t>14</w:t>
    </w:r>
    <w:r w:rsidRPr="00986458">
      <w:rPr>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4663" w14:textId="77777777" w:rsidR="00D6171B" w:rsidRPr="00BD21F0" w:rsidRDefault="00D6171B" w:rsidP="00986458">
    <w:pPr>
      <w:tabs>
        <w:tab w:val="center" w:pos="4536"/>
      </w:tabs>
    </w:pPr>
    <w:r w:rsidRPr="00BD21F0">
      <w:rPr>
        <w:sz w:val="18"/>
        <w:szCs w:val="18"/>
      </w:rPr>
      <w:tab/>
    </w:r>
    <w:r w:rsidRPr="00986458">
      <w:rPr>
        <w:color w:val="2B579A"/>
        <w:shd w:val="clear" w:color="auto" w:fill="E6E6E6"/>
      </w:rPr>
      <w:fldChar w:fldCharType="begin"/>
    </w:r>
    <w:r w:rsidRPr="00986458">
      <w:instrText xml:space="preserve"> PAGE   \* MERGEFORMAT </w:instrText>
    </w:r>
    <w:r w:rsidRPr="00986458">
      <w:rPr>
        <w:color w:val="2B579A"/>
        <w:shd w:val="clear" w:color="auto" w:fill="E6E6E6"/>
      </w:rPr>
      <w:fldChar w:fldCharType="separate"/>
    </w:r>
    <w:r>
      <w:rPr>
        <w:noProof/>
      </w:rPr>
      <w:t>14</w:t>
    </w:r>
    <w:r w:rsidRPr="00986458">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610E" w14:textId="77777777" w:rsidR="00C80327" w:rsidRDefault="00C80327" w:rsidP="00AF1DE4">
      <w:pPr>
        <w:spacing w:after="0" w:line="240" w:lineRule="auto"/>
      </w:pPr>
      <w:r>
        <w:separator/>
      </w:r>
    </w:p>
  </w:footnote>
  <w:footnote w:type="continuationSeparator" w:id="0">
    <w:p w14:paraId="1B0DA3EE" w14:textId="77777777" w:rsidR="00C80327" w:rsidRDefault="00C80327" w:rsidP="00AF1DE4">
      <w:pPr>
        <w:spacing w:after="0" w:line="240" w:lineRule="auto"/>
      </w:pPr>
      <w:r>
        <w:continuationSeparator/>
      </w:r>
    </w:p>
  </w:footnote>
  <w:footnote w:type="continuationNotice" w:id="1">
    <w:p w14:paraId="17B8F48D" w14:textId="77777777" w:rsidR="00C80327" w:rsidRDefault="00C80327">
      <w:pPr>
        <w:spacing w:after="0" w:line="240" w:lineRule="auto"/>
      </w:pPr>
    </w:p>
  </w:footnote>
  <w:footnote w:id="2">
    <w:p w14:paraId="4D3AB78A" w14:textId="77777777" w:rsidR="00D6171B" w:rsidRPr="00C64F67" w:rsidRDefault="00D6171B" w:rsidP="00105998">
      <w:pPr>
        <w:pStyle w:val="Poznamkapodciarov"/>
        <w:rPr>
          <w:lang w:val="sk-SK"/>
        </w:rPr>
      </w:pPr>
      <w:r w:rsidRPr="00C64F67">
        <w:rPr>
          <w:rStyle w:val="Odkaznapoznmkupodiarou"/>
          <w:lang w:val="sk-SK"/>
        </w:rPr>
        <w:footnoteRef/>
      </w:r>
      <w:r w:rsidRPr="00C64F67">
        <w:rPr>
          <w:lang w:val="sk-SK"/>
        </w:rPr>
        <w:t>) § 10 ods. 1 zákona č. 95/2019 Z. z. o informačných technológiách vo verejnej správe a o zmene a doplnení niektorých zákonov v znení neskorších predpisov.</w:t>
      </w:r>
    </w:p>
  </w:footnote>
  <w:footnote w:id="3">
    <w:p w14:paraId="450ABC85" w14:textId="6887BD7C" w:rsidR="00D6171B" w:rsidRPr="008554FF" w:rsidRDefault="00D6171B" w:rsidP="008554FF">
      <w:pPr>
        <w:pStyle w:val="Poznamkapodciarov"/>
        <w:rPr>
          <w:lang w:val="sk-SK"/>
        </w:rPr>
      </w:pPr>
      <w:r>
        <w:rPr>
          <w:rStyle w:val="Odkaznapoznmkupodiarou"/>
        </w:rPr>
        <w:footnoteRef/>
      </w:r>
      <w:r>
        <w:t xml:space="preserve">) </w:t>
      </w:r>
      <w:r w:rsidRPr="008554FF">
        <w:rPr>
          <w:lang w:val="sk-SK"/>
        </w:rPr>
        <w:t xml:space="preserve">Informácia o plnení Národnej koncepcie informatizácie verejnej správy Slovenskej republiky za rok 2020, </w:t>
      </w:r>
      <w:hyperlink r:id="rId1" w:history="1">
        <w:r w:rsidRPr="00FF6D08">
          <w:rPr>
            <w:rStyle w:val="Hypertextovprepojenie"/>
            <w:lang w:val="sk-SK"/>
          </w:rPr>
          <w:t>https://rokovania.gov.sk/RVL/Material/25835/1</w:t>
        </w:r>
      </w:hyperlink>
      <w:r>
        <w:rPr>
          <w:lang w:val="sk-SK"/>
        </w:rPr>
        <w:t xml:space="preserve"> </w:t>
      </w:r>
    </w:p>
  </w:footnote>
  <w:footnote w:id="4">
    <w:p w14:paraId="609FFC3A" w14:textId="5D5C7AC2" w:rsidR="00D6171B" w:rsidRPr="00C64F67" w:rsidRDefault="00D6171B" w:rsidP="00AE68EA">
      <w:pPr>
        <w:pStyle w:val="Poznamkapodciarov"/>
        <w:rPr>
          <w:rFonts w:ascii="Times New Roman" w:hAnsi="Times New Roman"/>
          <w:sz w:val="20"/>
          <w:szCs w:val="20"/>
          <w:lang w:val="sk-SK"/>
        </w:rPr>
      </w:pPr>
      <w:r w:rsidRPr="00C64F67">
        <w:rPr>
          <w:vertAlign w:val="superscript"/>
          <w:lang w:val="sk-SK"/>
        </w:rPr>
        <w:footnoteRef/>
      </w:r>
      <w:r w:rsidRPr="00C64F67">
        <w:rPr>
          <w:lang w:val="sk-SK"/>
        </w:rPr>
        <w:t xml:space="preserve">) </w:t>
      </w:r>
      <w:hyperlink r:id="rId2" w:history="1">
        <w:r w:rsidRPr="00FF6D08">
          <w:rPr>
            <w:rStyle w:val="Hypertextovprepojenie"/>
            <w:lang w:val="sk-SK"/>
          </w:rPr>
          <w:t>https://www.mirri.gov.sk/sekcie/analyza-diskusna-studia-2/</w:t>
        </w:r>
      </w:hyperlink>
      <w:r>
        <w:rPr>
          <w:lang w:val="sk-SK"/>
        </w:rPr>
        <w:t xml:space="preserve"> </w:t>
      </w:r>
    </w:p>
  </w:footnote>
  <w:footnote w:id="5">
    <w:p w14:paraId="749C27C4" w14:textId="15199DB5" w:rsidR="00D6171B" w:rsidRPr="00C64F67" w:rsidRDefault="00D6171B" w:rsidP="004163F1">
      <w:pPr>
        <w:pStyle w:val="Poznamkapodciarov"/>
        <w:rPr>
          <w:rStyle w:val="Odkaznapoznmkupodiarou"/>
          <w:vertAlign w:val="baseline"/>
          <w:lang w:val="sk-SK"/>
        </w:rPr>
      </w:pPr>
      <w:r w:rsidRPr="00C64F67">
        <w:rPr>
          <w:rStyle w:val="Odkaznapoznmkupodiarou"/>
          <w:lang w:val="sk-SK"/>
        </w:rPr>
        <w:footnoteRef/>
      </w:r>
      <w:r w:rsidRPr="00C64F67">
        <w:rPr>
          <w:lang w:val="sk-SK"/>
        </w:rPr>
        <w:t>) DESI</w:t>
      </w:r>
      <w:r w:rsidRPr="00C64F67">
        <w:rPr>
          <w:rStyle w:val="Odkaznapoznmkupodiarou"/>
          <w:vertAlign w:val="baseline"/>
          <w:lang w:val="sk-SK"/>
        </w:rPr>
        <w:t xml:space="preserve"> </w:t>
      </w:r>
      <w:hyperlink r:id="rId3" w:history="1">
        <w:r w:rsidRPr="00C64F67">
          <w:rPr>
            <w:rStyle w:val="Hypertextovprepojenie"/>
            <w:lang w:val="sk-SK"/>
          </w:rPr>
          <w:t>https://ec.europa.eu/newsroom/dae/document.cfm?doc_id=66957</w:t>
        </w:r>
      </w:hyperlink>
      <w:r w:rsidRPr="00C64F67">
        <w:rPr>
          <w:rStyle w:val="Odkaznapoznmkupodiarou"/>
          <w:vertAlign w:val="baseline"/>
          <w:lang w:val="sk-SK"/>
        </w:rPr>
        <w:t xml:space="preserve"> </w:t>
      </w:r>
    </w:p>
  </w:footnote>
  <w:footnote w:id="6">
    <w:p w14:paraId="25AE7D38" w14:textId="77777777" w:rsidR="00D6171B" w:rsidRPr="00C64F67" w:rsidRDefault="00D6171B" w:rsidP="00892594">
      <w:pPr>
        <w:pStyle w:val="Poznamkapodciarov"/>
        <w:rPr>
          <w:lang w:val="sk-SK"/>
        </w:rPr>
      </w:pPr>
      <w:r w:rsidRPr="00C64F67">
        <w:rPr>
          <w:vertAlign w:val="superscript"/>
          <w:lang w:val="sk-SK"/>
        </w:rPr>
        <w:footnoteRef/>
      </w:r>
      <w:r w:rsidRPr="00C64F67">
        <w:rPr>
          <w:lang w:val="sk-SK"/>
        </w:rPr>
        <w:t xml:space="preserve">) Percentuálny pomer je odvodený vždy od celkového počtu ŽS v zozname prioritných ŽS. Jednotlivé projektové fázy sú odvodené od tzv. Životného cyklu riadenia projektov, </w:t>
      </w:r>
      <w:r w:rsidRPr="00C64F67">
        <w:rPr>
          <w:rStyle w:val="Hypertextovprepojenie"/>
          <w:lang w:val="sk-SK"/>
        </w:rPr>
        <w:t>https://www.mirri.gov.sk/sekcie/informatizacia/riadenie-kvality-qa/riadenie-kvality-qa/index.html</w:t>
      </w:r>
    </w:p>
  </w:footnote>
  <w:footnote w:id="7">
    <w:p w14:paraId="3206A04A" w14:textId="77777777" w:rsidR="00D6171B" w:rsidRPr="00C64F67" w:rsidRDefault="00D6171B" w:rsidP="00892594">
      <w:pPr>
        <w:pStyle w:val="Poznamkapodciarov"/>
        <w:rPr>
          <w:lang w:val="sk-SK"/>
        </w:rPr>
      </w:pPr>
      <w:r w:rsidRPr="00C64F67">
        <w:rPr>
          <w:vertAlign w:val="superscript"/>
          <w:lang w:val="sk-SK"/>
        </w:rPr>
        <w:footnoteRef/>
      </w:r>
      <w:r w:rsidRPr="00C64F67">
        <w:rPr>
          <w:lang w:val="sk-SK"/>
        </w:rPr>
        <w:t>) priemerný počet online a offline podaní medzi r. 2018 a 2021.</w:t>
      </w:r>
    </w:p>
  </w:footnote>
  <w:footnote w:id="8">
    <w:p w14:paraId="434013A5" w14:textId="77777777" w:rsidR="00D6171B" w:rsidRPr="00C64F67" w:rsidRDefault="00D6171B" w:rsidP="00586330">
      <w:pPr>
        <w:pStyle w:val="Poznamkapodciarov"/>
        <w:rPr>
          <w:lang w:val="sk-SK"/>
        </w:rPr>
      </w:pPr>
      <w:r w:rsidRPr="00C64F67">
        <w:rPr>
          <w:rStyle w:val="Odkaznapoznmkupodiarou"/>
          <w:lang w:val="sk-SK"/>
        </w:rPr>
        <w:footnoteRef/>
      </w:r>
      <w:r w:rsidRPr="00C64F67">
        <w:rPr>
          <w:lang w:val="sk-SK"/>
        </w:rPr>
        <w:t xml:space="preserve">) Proces, kedy sú metadáta získavané automaticky v zadanom časovom intervale z externého úložiska. (Zdroj: </w:t>
      </w:r>
      <w:hyperlink r:id="rId4" w:anchor="H" w:history="1">
        <w:r w:rsidRPr="00C64F67">
          <w:rPr>
            <w:rStyle w:val="Hypertextovprepojenie"/>
            <w:lang w:val="sk-SK"/>
          </w:rPr>
          <w:t>https://eiz.cvtisr.sk/kontakty/slovnik-pojmov/#H</w:t>
        </w:r>
      </w:hyperlink>
      <w:r w:rsidRPr="00C64F67">
        <w:rPr>
          <w:lang w:val="sk-SK"/>
        </w:rPr>
        <w:t xml:space="preserve">) </w:t>
      </w:r>
    </w:p>
  </w:footnote>
  <w:footnote w:id="9">
    <w:p w14:paraId="0C3E75D7" w14:textId="77777777" w:rsidR="00D6171B" w:rsidRPr="009D2705" w:rsidRDefault="00D6171B" w:rsidP="009D2705">
      <w:pPr>
        <w:pStyle w:val="Poznamkapodciarov"/>
        <w:rPr>
          <w:lang w:val="sk-SK"/>
        </w:rPr>
      </w:pPr>
      <w:r w:rsidRPr="009D2705">
        <w:rPr>
          <w:rStyle w:val="Odkaznapoznmkupodiarou"/>
          <w:lang w:val="sk-SK"/>
        </w:rPr>
        <w:footnoteRef/>
      </w:r>
      <w:r w:rsidRPr="009D2705">
        <w:rPr>
          <w:lang w:val="sk-SK"/>
        </w:rPr>
        <w:t xml:space="preserve">) Pozri napríklad: </w:t>
      </w:r>
      <w:hyperlink r:id="rId5" w:history="1">
        <w:r w:rsidRPr="009D2705">
          <w:rPr>
            <w:rStyle w:val="Hypertextovprepojenie"/>
            <w:color w:val="auto"/>
            <w:u w:val="none"/>
            <w:lang w:val="sk-SK"/>
          </w:rPr>
          <w:t>https://www.digitalbuyingguide.org/en/</w:t>
        </w:r>
      </w:hyperlink>
    </w:p>
  </w:footnote>
  <w:footnote w:id="10">
    <w:p w14:paraId="533B64DD" w14:textId="77777777" w:rsidR="00D6171B" w:rsidRPr="00C64F67" w:rsidRDefault="00D6171B" w:rsidP="00953BB6">
      <w:pPr>
        <w:pStyle w:val="Poznamkapodciarov"/>
        <w:rPr>
          <w:lang w:val="sk-SK"/>
        </w:rPr>
      </w:pPr>
      <w:r w:rsidRPr="00C64F67">
        <w:rPr>
          <w:rStyle w:val="Odkaznapoznmkupodiarou"/>
          <w:lang w:val="sk-SK"/>
        </w:rPr>
        <w:footnoteRef/>
      </w:r>
      <w:r w:rsidRPr="00C64F67">
        <w:rPr>
          <w:lang w:val="sk-SK"/>
        </w:rPr>
        <w:t xml:space="preserve">) § 14 ods. 4 zákona </w:t>
      </w:r>
      <w:r w:rsidRPr="00C64F67">
        <w:rPr>
          <w:rFonts w:cstheme="minorHAnsi"/>
          <w:lang w:val="sk-SK"/>
        </w:rPr>
        <w:t>o ITVS</w:t>
      </w:r>
      <w:r w:rsidRPr="00C64F67">
        <w:rPr>
          <w:lang w:val="sk-SK"/>
        </w:rPr>
        <w:t>.</w:t>
      </w:r>
    </w:p>
  </w:footnote>
  <w:footnote w:id="11">
    <w:p w14:paraId="28994F20" w14:textId="77777777" w:rsidR="00D6171B" w:rsidRPr="00C64F67" w:rsidRDefault="00D6171B" w:rsidP="007F4568">
      <w:pPr>
        <w:pStyle w:val="Poznamkapodciarov"/>
        <w:rPr>
          <w:lang w:val="sk-SK"/>
        </w:rPr>
      </w:pPr>
      <w:r w:rsidRPr="00C64F67">
        <w:rPr>
          <w:rStyle w:val="Odkaznapoznmkupodiarou"/>
          <w:lang w:val="sk-SK"/>
        </w:rPr>
        <w:footnoteRef/>
      </w:r>
      <w:r w:rsidRPr="00C64F67">
        <w:rPr>
          <w:lang w:val="sk-SK"/>
        </w:rPr>
        <w:t>) § 3a zákona č. 275/2007 Z. z., ktorým sa mení a dopĺňa zákon Národnej rady Slovenskej republiky č. </w:t>
      </w:r>
      <w:hyperlink r:id="rId6" w:tooltip="Odkaz na predpis alebo ustanovenie" w:history="1">
        <w:r w:rsidRPr="00C64F67">
          <w:rPr>
            <w:rStyle w:val="Hypertextovprepojenie"/>
            <w:rFonts w:eastAsiaTheme="majorEastAsia"/>
            <w:color w:val="auto"/>
            <w:u w:val="none"/>
            <w:lang w:val="sk-SK"/>
          </w:rPr>
          <w:t>129/1996 Z. z.</w:t>
        </w:r>
      </w:hyperlink>
      <w:r w:rsidRPr="00C64F67">
        <w:rPr>
          <w:lang w:val="sk-SK"/>
        </w:rPr>
        <w:t xml:space="preserve"> o niektorých opatreniach na urýchlenie prípravy výstavby diaľnic a ciest pre motorové vozidlá v znení zákona Národnej rady Slovenskej republiky č. 160/1996 Z. z. a o zmene a doplnení niektorých zákonov. </w:t>
      </w:r>
    </w:p>
  </w:footnote>
  <w:footnote w:id="12">
    <w:p w14:paraId="1C7D3420" w14:textId="77777777" w:rsidR="00D6171B" w:rsidRPr="009251BD" w:rsidRDefault="00D6171B" w:rsidP="009251BD">
      <w:pPr>
        <w:pStyle w:val="Poznamkapodciarov"/>
        <w:rPr>
          <w:lang w:val="sk-SK"/>
        </w:rPr>
      </w:pPr>
      <w:r w:rsidRPr="009251BD">
        <w:rPr>
          <w:rStyle w:val="Odkaznapoznmkupodiarou"/>
          <w:lang w:val="sk-SK"/>
        </w:rPr>
        <w:footnoteRef/>
      </w:r>
      <w:r w:rsidRPr="009251BD">
        <w:rPr>
          <w:lang w:val="sk-SK"/>
        </w:rPr>
        <w:t>) Vyhláška Úradu vlády SR č. 400/2019 Z. z., ktorou sa vydáva Etický kódex štátneho zamestnanca.</w:t>
      </w:r>
    </w:p>
  </w:footnote>
  <w:footnote w:id="13">
    <w:p w14:paraId="0A457DA1" w14:textId="77777777" w:rsidR="00D6171B" w:rsidRPr="00C64F67" w:rsidRDefault="00D6171B" w:rsidP="001E7BB4">
      <w:pPr>
        <w:pStyle w:val="Poznamkapodciarov"/>
        <w:rPr>
          <w:lang w:val="sk-SK"/>
        </w:rPr>
      </w:pPr>
      <w:r w:rsidRPr="00C64F67">
        <w:rPr>
          <w:rStyle w:val="Odkaznapoznmkupodiarou"/>
          <w:lang w:val="sk-SK"/>
        </w:rPr>
        <w:footnoteRef/>
      </w:r>
      <w:r w:rsidRPr="00C64F67">
        <w:rPr>
          <w:lang w:val="sk-SK"/>
        </w:rPr>
        <w:t xml:space="preserve">) </w:t>
      </w:r>
      <w:hyperlink r:id="rId7" w:history="1">
        <w:r w:rsidRPr="00C64F67">
          <w:rPr>
            <w:rStyle w:val="Hypertextovprepojenie"/>
            <w:lang w:val="sk-SK"/>
          </w:rPr>
          <w:t>https://oecd-opsi.org</w:t>
        </w:r>
      </w:hyperlink>
      <w:r w:rsidRPr="00C64F67">
        <w:rPr>
          <w:lang w:val="sk-SK"/>
        </w:rPr>
        <w:t xml:space="preserve"> </w:t>
      </w:r>
    </w:p>
  </w:footnote>
  <w:footnote w:id="14">
    <w:p w14:paraId="26F14056" w14:textId="77777777" w:rsidR="00D6171B" w:rsidRPr="00C64F67" w:rsidRDefault="00D6171B" w:rsidP="001E7BB4">
      <w:pPr>
        <w:pStyle w:val="Poznamkapodciarov"/>
        <w:rPr>
          <w:lang w:val="sk-SK"/>
        </w:rPr>
      </w:pPr>
      <w:r w:rsidRPr="00C64F67">
        <w:rPr>
          <w:rStyle w:val="Odkaznapoznmkupodiarou"/>
          <w:lang w:val="sk-SK"/>
        </w:rPr>
        <w:footnoteRef/>
      </w:r>
      <w:r w:rsidRPr="00C64F67">
        <w:rPr>
          <w:lang w:val="sk-SK"/>
        </w:rPr>
        <w:t>) Príkladom uvedeného útvaru je Centrum pre finančné inovácie zriadené pod Ministerstvom financií SR, ktorého aktivity môžu výrazným spôsobom napomôcť inovovať aj platobné systémy a procesy vo verejnej správe.</w:t>
      </w:r>
    </w:p>
  </w:footnote>
  <w:footnote w:id="15">
    <w:p w14:paraId="103DFB96" w14:textId="77777777" w:rsidR="00D6171B" w:rsidRPr="00C64F67" w:rsidRDefault="00D6171B" w:rsidP="001E7BB4">
      <w:pPr>
        <w:pStyle w:val="Poznamkapodciarov"/>
        <w:rPr>
          <w:lang w:val="sk-SK"/>
        </w:rPr>
      </w:pPr>
      <w:r w:rsidRPr="00C64F67">
        <w:rPr>
          <w:rStyle w:val="Odkaznapoznmkupodiarou"/>
          <w:lang w:val="sk-SK"/>
        </w:rPr>
        <w:footnoteRef/>
      </w:r>
      <w:r w:rsidRPr="00C64F67">
        <w:rPr>
          <w:lang w:val="sk-SK"/>
        </w:rPr>
        <w:t xml:space="preserve">) Štúdia ohľadom súčasného nastavenia VO v oblasti inovácii je dostupná na </w:t>
      </w:r>
      <w:hyperlink r:id="rId8" w:history="1">
        <w:r w:rsidRPr="00C64F67">
          <w:rPr>
            <w:rStyle w:val="Hypertextovprepojenie"/>
            <w:lang w:val="sk-SK"/>
          </w:rPr>
          <w:t>https://ec.europa.eu/digital-single-market/en/innovation-procurement</w:t>
        </w:r>
      </w:hyperlink>
      <w:r w:rsidRPr="00C64F67">
        <w:rPr>
          <w:rStyle w:val="Hypertextovprepojenie"/>
          <w:color w:val="auto"/>
          <w:u w:val="none"/>
          <w:lang w:val="sk-SK"/>
        </w:rPr>
        <w:t xml:space="preserve"> </w:t>
      </w:r>
    </w:p>
  </w:footnote>
  <w:footnote w:id="16">
    <w:p w14:paraId="34E962E3" w14:textId="77777777" w:rsidR="00D6171B" w:rsidRPr="00C64F67" w:rsidRDefault="00D6171B" w:rsidP="001E7BB4">
      <w:pPr>
        <w:pStyle w:val="Poznamkapodciarov"/>
        <w:rPr>
          <w:lang w:val="sk-SK"/>
        </w:rPr>
      </w:pPr>
      <w:r w:rsidRPr="00C64F67">
        <w:rPr>
          <w:rStyle w:val="Odkaznapoznmkupodiarou"/>
          <w:lang w:val="sk-SK"/>
        </w:rPr>
        <w:footnoteRef/>
      </w:r>
      <w:r w:rsidRPr="00C64F67">
        <w:rPr>
          <w:lang w:val="sk-SK"/>
        </w:rPr>
        <w:t>) Napr. Holandsko, Švédsko, Dánsko.</w:t>
      </w:r>
    </w:p>
  </w:footnote>
  <w:footnote w:id="17">
    <w:p w14:paraId="78837D8C" w14:textId="77777777" w:rsidR="00D6171B" w:rsidRPr="00C64F67" w:rsidRDefault="00D6171B" w:rsidP="001E7BB4">
      <w:pPr>
        <w:pStyle w:val="Poznamkapodciarov"/>
        <w:rPr>
          <w:lang w:val="sk-SK"/>
        </w:rPr>
      </w:pPr>
      <w:r w:rsidRPr="00C64F67">
        <w:rPr>
          <w:rStyle w:val="Odkaznapoznmkupodiarou"/>
          <w:lang w:val="sk-SK"/>
        </w:rPr>
        <w:footnoteRef/>
      </w:r>
      <w:r w:rsidRPr="00C64F67">
        <w:rPr>
          <w:lang w:val="sk-SK"/>
        </w:rPr>
        <w:t xml:space="preserve">) </w:t>
      </w:r>
      <w:hyperlink r:id="rId9" w:history="1">
        <w:r w:rsidRPr="00C64F67">
          <w:rPr>
            <w:rStyle w:val="Hypertextovprepojenie"/>
            <w:lang w:val="sk-SK"/>
          </w:rPr>
          <w:t>https://ekonomika.sme.sk/c/22545953/na-slovensku-vzniklo-narodne-superpocitacove-centrum.html</w:t>
        </w:r>
      </w:hyperlink>
      <w:r w:rsidRPr="00C64F67">
        <w:rPr>
          <w:lang w:val="sk-SK"/>
        </w:rPr>
        <w:t xml:space="preserve"> </w:t>
      </w:r>
    </w:p>
  </w:footnote>
  <w:footnote w:id="18">
    <w:p w14:paraId="677450F4" w14:textId="77777777" w:rsidR="00D6171B" w:rsidRPr="00C64F67" w:rsidRDefault="00D6171B" w:rsidP="001E7BB4">
      <w:pPr>
        <w:pStyle w:val="Poznamkapodciarov"/>
        <w:rPr>
          <w:lang w:val="sk-SK"/>
        </w:rPr>
      </w:pPr>
      <w:r w:rsidRPr="00C64F67">
        <w:rPr>
          <w:rStyle w:val="Odkaznapoznmkupodiarou"/>
          <w:lang w:val="sk-SK"/>
        </w:rPr>
        <w:footnoteRef/>
      </w:r>
      <w:r w:rsidRPr="00C64F67">
        <w:rPr>
          <w:lang w:val="sk-SK"/>
        </w:rPr>
        <w:t xml:space="preserve">) </w:t>
      </w:r>
      <w:hyperlink r:id="rId10" w:history="1">
        <w:r w:rsidRPr="00C64F67">
          <w:rPr>
            <w:rStyle w:val="Hypertextovprepojenie"/>
            <w:lang w:val="sk-SK"/>
          </w:rPr>
          <w:t>https://ec.europa.eu/digital-single-market/en/news/nine-more-countries-join-initiative-explore-quantum-communication-europe</w:t>
        </w:r>
      </w:hyperlink>
      <w:r w:rsidRPr="00C64F67">
        <w:rPr>
          <w:lang w:val="sk-SK"/>
        </w:rPr>
        <w:t xml:space="preserve"> </w:t>
      </w:r>
    </w:p>
  </w:footnote>
  <w:footnote w:id="19">
    <w:p w14:paraId="74528C76" w14:textId="77777777" w:rsidR="00D6171B" w:rsidRPr="00C64F67" w:rsidRDefault="00D6171B" w:rsidP="001E7BB4">
      <w:pPr>
        <w:pStyle w:val="Poznamkapodciarov"/>
        <w:rPr>
          <w:lang w:val="sk-SK"/>
        </w:rPr>
      </w:pPr>
      <w:r w:rsidRPr="00C64F67">
        <w:rPr>
          <w:rStyle w:val="Odkaznapoznmkupodiarou"/>
          <w:lang w:val="sk-SK"/>
        </w:rPr>
        <w:footnoteRef/>
      </w:r>
      <w:r w:rsidRPr="00C64F67">
        <w:rPr>
          <w:lang w:val="sk-SK"/>
        </w:rPr>
        <w:t xml:space="preserve">) </w:t>
      </w:r>
      <w:hyperlink r:id="rId11" w:history="1">
        <w:r w:rsidRPr="00C64F67">
          <w:rPr>
            <w:rStyle w:val="Hypertextovprepojenie"/>
            <w:lang w:val="sk-SK"/>
          </w:rPr>
          <w:t>https://ec.europa.eu/cefdigital/wiki/display/CEFDIGITAL/EBSI</w:t>
        </w:r>
      </w:hyperlink>
      <w:r w:rsidRPr="00C64F67">
        <w:rPr>
          <w:lang w:val="sk-SK"/>
        </w:rPr>
        <w:t xml:space="preserve"> </w:t>
      </w:r>
    </w:p>
  </w:footnote>
  <w:footnote w:id="20">
    <w:p w14:paraId="1DE37352" w14:textId="77777777" w:rsidR="00D6171B" w:rsidRPr="00C64F67" w:rsidRDefault="00D6171B" w:rsidP="00875AC9">
      <w:pPr>
        <w:pStyle w:val="Poznamkapodciarov"/>
        <w:rPr>
          <w:lang w:val="sk-SK"/>
        </w:rPr>
      </w:pPr>
      <w:r w:rsidRPr="00C64F67">
        <w:rPr>
          <w:rStyle w:val="Odkaznapoznmkupodiarou"/>
          <w:lang w:val="sk-SK"/>
        </w:rPr>
        <w:footnoteRef/>
      </w:r>
      <w:r w:rsidRPr="00C64F67">
        <w:rPr>
          <w:lang w:val="sk-SK"/>
        </w:rPr>
        <w:t xml:space="preserve">) Keďže v súčasnosti prebieha revízia oboch týchto právnych aktov a je pravdepodobné prijatie ich revidovaných/pozmenených znení, uvedené revízie by mali byť zohľadnené v rámci implementácie tejto koncepcie. </w:t>
      </w:r>
    </w:p>
  </w:footnote>
  <w:footnote w:id="21">
    <w:p w14:paraId="39CBCC5C" w14:textId="77777777" w:rsidR="00D6171B" w:rsidRPr="00C64F67" w:rsidRDefault="00D6171B" w:rsidP="009A0881">
      <w:pPr>
        <w:pStyle w:val="Poznamkapodciarov"/>
        <w:rPr>
          <w:lang w:val="sk-SK"/>
        </w:rPr>
      </w:pPr>
      <w:r w:rsidRPr="00C64F67">
        <w:rPr>
          <w:rStyle w:val="Odkaznapoznmkupodiarou"/>
          <w:lang w:val="sk-SK"/>
        </w:rPr>
        <w:footnoteRef/>
      </w:r>
      <w:r w:rsidRPr="00C64F67">
        <w:rPr>
          <w:rStyle w:val="Odkaznapoznmkupodiarou"/>
          <w:vertAlign w:val="baseline"/>
          <w:lang w:val="sk-SK"/>
        </w:rPr>
        <w:t xml:space="preserve">) </w:t>
      </w:r>
      <w:hyperlink r:id="rId12" w:history="1">
        <w:r w:rsidRPr="00C64F67">
          <w:rPr>
            <w:rStyle w:val="Hypertextovprepojenie"/>
            <w:lang w:val="sk-SK"/>
          </w:rPr>
          <w:t>http://ec.europa.eu/priorities/digital-single-market_en</w:t>
        </w:r>
      </w:hyperlink>
      <w:r w:rsidRPr="00C64F67">
        <w:rPr>
          <w:lang w:val="sk-SK"/>
        </w:rPr>
        <w:t xml:space="preserve"> </w:t>
      </w:r>
    </w:p>
  </w:footnote>
  <w:footnote w:id="22">
    <w:p w14:paraId="5A6BA868" w14:textId="77777777" w:rsidR="00D6171B" w:rsidRPr="00C64F67" w:rsidRDefault="00D6171B" w:rsidP="00804CB8">
      <w:pPr>
        <w:pStyle w:val="Poznamkapodciarov"/>
        <w:rPr>
          <w:lang w:val="sk-SK"/>
        </w:rPr>
      </w:pPr>
      <w:r w:rsidRPr="00C64F67">
        <w:rPr>
          <w:rStyle w:val="Odkaznapoznmkupodiarou"/>
          <w:lang w:val="sk-SK"/>
        </w:rPr>
        <w:footnoteRef/>
      </w:r>
      <w:r w:rsidRPr="00C64F67">
        <w:rPr>
          <w:lang w:val="sk-SK"/>
        </w:rPr>
        <w:t xml:space="preserve">) </w:t>
      </w:r>
      <w:hyperlink r:id="rId13" w:history="1">
        <w:r w:rsidRPr="00C64F67">
          <w:rPr>
            <w:rStyle w:val="Hypertextovprepojenie"/>
            <w:lang w:val="sk-SK"/>
          </w:rPr>
          <w:t>https://ec.europa.eu/info/strategy/priorities-2019-2024/europe-fit-digital-age/europes-digital-decade-digital-targets-2030_sk</w:t>
        </w:r>
      </w:hyperlink>
      <w:r w:rsidRPr="00C64F67">
        <w:rPr>
          <w:lang w:val="sk-SK"/>
        </w:rPr>
        <w:t xml:space="preserve"> </w:t>
      </w:r>
    </w:p>
  </w:footnote>
  <w:footnote w:id="23">
    <w:p w14:paraId="6F288674" w14:textId="6247A355" w:rsidR="00D6171B" w:rsidRDefault="00D6171B" w:rsidP="005C2D9D">
      <w:pPr>
        <w:pStyle w:val="Poznamkapodciarov"/>
        <w:rPr>
          <w:rFonts w:cstheme="minorHAnsi"/>
          <w:szCs w:val="16"/>
          <w:lang w:val="sk-SK"/>
        </w:rPr>
      </w:pPr>
      <w:r w:rsidRPr="00C64F67">
        <w:rPr>
          <w:rStyle w:val="Odkaznapoznmkupodiarou"/>
          <w:lang w:val="sk-SK"/>
        </w:rPr>
        <w:footnoteRef/>
      </w:r>
      <w:r w:rsidRPr="00C64F67">
        <w:rPr>
          <w:rFonts w:cstheme="minorHAnsi"/>
          <w:szCs w:val="16"/>
          <w:lang w:val="sk-SK"/>
        </w:rPr>
        <w:t xml:space="preserve">) </w:t>
      </w:r>
      <w:r>
        <w:rPr>
          <w:rFonts w:cstheme="minorHAnsi"/>
          <w:szCs w:val="16"/>
          <w:lang w:val="sk-SK"/>
        </w:rPr>
        <w:t>Vyhláška Ministerstva financií Slovenskej republiky č. 25/2014 Z. z. o integrovaných obslužných miestach a podmienkach ich zriaďovania, označovania, prevádzky a o sadzobníku úhrad v znení neskorších predpisov.</w:t>
      </w:r>
    </w:p>
    <w:p w14:paraId="00BB06D5" w14:textId="77777777" w:rsidR="00D6171B" w:rsidRDefault="00D6171B" w:rsidP="005C2D9D">
      <w:pPr>
        <w:pStyle w:val="Poznamkapodciarov"/>
        <w:rPr>
          <w:rFonts w:cstheme="minorHAnsi"/>
          <w:szCs w:val="16"/>
          <w:lang w:val="sk-SK"/>
        </w:rPr>
      </w:pPr>
      <w:r>
        <w:rPr>
          <w:rFonts w:cstheme="minorHAnsi"/>
          <w:szCs w:val="16"/>
          <w:lang w:val="sk-SK"/>
        </w:rPr>
        <w:t>Oznámenie č. 96/2014 Z. z. o vydaní výnosu Ministerstva financií Slovenskej republiky č. 3. apríla 2014 č. MF/009269/2014-173 o jednotnom formáte elektronických správ vytváraných a odosielaných prostredníctvom prístupových miest.</w:t>
      </w:r>
    </w:p>
    <w:p w14:paraId="2201C211" w14:textId="77777777" w:rsidR="00D6171B" w:rsidRDefault="00D6171B" w:rsidP="005C2D9D">
      <w:pPr>
        <w:pStyle w:val="Poznamkapodciarov"/>
        <w:rPr>
          <w:rFonts w:cstheme="minorHAnsi"/>
          <w:szCs w:val="16"/>
          <w:lang w:val="sk-SK"/>
        </w:rPr>
      </w:pPr>
      <w:r>
        <w:rPr>
          <w:rFonts w:cstheme="minorHAnsi"/>
          <w:szCs w:val="16"/>
          <w:lang w:val="sk-SK"/>
        </w:rPr>
        <w:t>Vyhláška Ministerstva vnútra Slovenskej republiky č. 29/2017 Z. z., ktorou sa ustanovujú podrobnosti o alternatívnom autentifikátore.</w:t>
      </w:r>
    </w:p>
    <w:p w14:paraId="387ED1DB" w14:textId="77777777" w:rsidR="00D6171B" w:rsidRDefault="00D6171B" w:rsidP="005C2D9D">
      <w:pPr>
        <w:pStyle w:val="Poznamkapodciarov"/>
        <w:rPr>
          <w:rFonts w:cstheme="minorHAnsi"/>
          <w:szCs w:val="16"/>
          <w:lang w:val="sk-SK"/>
        </w:rPr>
      </w:pPr>
      <w:r>
        <w:rPr>
          <w:rFonts w:cstheme="minorHAnsi"/>
          <w:szCs w:val="16"/>
          <w:lang w:val="sk-SK"/>
        </w:rPr>
        <w:t>Vyhláška Úradu podpredsedu vlády Slovenskej republiky pre investície a informatizáciu č. 85/2018 Z. z., ktorou sa ustanovujú podrobnosti o spôsobe vyhotovenia a náležitostiach listinného rovnopisu elektronického dokumentu.</w:t>
      </w:r>
    </w:p>
    <w:p w14:paraId="74458F11" w14:textId="77777777" w:rsidR="00D6171B" w:rsidRDefault="00D6171B" w:rsidP="005C2D9D">
      <w:pPr>
        <w:pStyle w:val="Poznamkapodciarov"/>
        <w:rPr>
          <w:rFonts w:cstheme="minorHAnsi"/>
          <w:szCs w:val="16"/>
          <w:lang w:val="sk-SK"/>
        </w:rPr>
      </w:pPr>
      <w:r>
        <w:rPr>
          <w:rFonts w:cstheme="minorHAnsi"/>
          <w:szCs w:val="16"/>
          <w:lang w:val="sk-SK"/>
        </w:rPr>
        <w:t>Vyhláška Úradu podpredsedu vlády Slovenskej republiky pre investície a informatizáciu č. 438/2019 Z. z., ktorou sa vykonávajú niektoré ustanovenia zákona o e-Governmente.</w:t>
      </w:r>
    </w:p>
    <w:p w14:paraId="2B8E72DE" w14:textId="77777777" w:rsidR="00D6171B" w:rsidRPr="00C64F67" w:rsidRDefault="00D6171B" w:rsidP="005C2D9D">
      <w:pPr>
        <w:pStyle w:val="Poznamkapodciarov"/>
        <w:rPr>
          <w:rFonts w:cstheme="minorHAnsi"/>
          <w:szCs w:val="16"/>
          <w:lang w:val="sk-SK"/>
        </w:rPr>
      </w:pPr>
      <w:r>
        <w:rPr>
          <w:rFonts w:cstheme="minorHAnsi"/>
          <w:szCs w:val="16"/>
          <w:lang w:val="sk-SK"/>
        </w:rPr>
        <w:t>Vyhláška Ministerstva investícií, regionálneho rozvoja a informatizácie Slovenskej republiky č. 70/2021 Z. z. o zaručenej konverzii.</w:t>
      </w:r>
    </w:p>
  </w:footnote>
  <w:footnote w:id="24">
    <w:p w14:paraId="12D97383" w14:textId="77777777" w:rsidR="00D6171B" w:rsidRDefault="00D6171B" w:rsidP="005C2D9D">
      <w:pPr>
        <w:pStyle w:val="Poznamkapodciarov"/>
        <w:rPr>
          <w:rFonts w:cstheme="minorHAnsi"/>
          <w:szCs w:val="16"/>
          <w:lang w:val="sk-SK"/>
        </w:rPr>
      </w:pPr>
      <w:r w:rsidRPr="00C64F67">
        <w:rPr>
          <w:rStyle w:val="Odkaznapoznmkupodiarou"/>
          <w:lang w:val="sk-SK"/>
        </w:rPr>
        <w:footnoteRef/>
      </w:r>
      <w:r w:rsidRPr="00C64F67">
        <w:rPr>
          <w:lang w:val="sk-SK"/>
        </w:rPr>
        <w:t xml:space="preserve">) </w:t>
      </w:r>
      <w:r>
        <w:rPr>
          <w:rFonts w:cstheme="minorHAnsi"/>
          <w:szCs w:val="16"/>
          <w:lang w:val="sk-SK"/>
        </w:rPr>
        <w:t>Vyhláška Úradu podpredsedu vlády Slovenskej republiky pre investície a informatizáciu č.78/2020 Z. z. o štandardoch pre informačné technológie verejnej správy.</w:t>
      </w:r>
    </w:p>
    <w:p w14:paraId="3B31194B" w14:textId="77777777" w:rsidR="00D6171B" w:rsidRDefault="00D6171B" w:rsidP="005C2D9D">
      <w:pPr>
        <w:pStyle w:val="Poznamkapodciarov"/>
        <w:rPr>
          <w:rFonts w:cstheme="minorHAnsi"/>
          <w:szCs w:val="16"/>
          <w:lang w:val="sk-SK"/>
        </w:rPr>
      </w:pPr>
      <w:r>
        <w:rPr>
          <w:rFonts w:cstheme="minorHAnsi"/>
          <w:szCs w:val="16"/>
          <w:lang w:val="sk-SK"/>
        </w:rPr>
        <w:t>Vyhláška Úradu podpredsedu vlády Slovenskej republiky pre investície a informatizáciu č. 85/2020 Z. z. o riadení projektov.</w:t>
      </w:r>
    </w:p>
    <w:p w14:paraId="65A42EA1" w14:textId="6E4D2F79" w:rsidR="00D6171B" w:rsidRPr="00C64F67" w:rsidRDefault="00D6171B" w:rsidP="005C2D9D">
      <w:pPr>
        <w:pStyle w:val="Poznamkapodciarov"/>
        <w:rPr>
          <w:lang w:val="sk-SK"/>
        </w:rPr>
      </w:pPr>
      <w:r>
        <w:rPr>
          <w:rFonts w:cstheme="minorHAnsi"/>
          <w:szCs w:val="16"/>
          <w:lang w:val="sk-SK"/>
        </w:rPr>
        <w:t>Vyhláška Úradu podpredsedu vlády Slovenskej republiky pre investície a informatizáciu č. 179/2020 Z. z., ktorou sa ustanovuje spôsob kategorizácie a obsah bezpečnostných opatrení informačných technológií verejnej správy.</w:t>
      </w:r>
    </w:p>
  </w:footnote>
  <w:footnote w:id="25">
    <w:p w14:paraId="669DD544" w14:textId="77777777" w:rsidR="00D6171B" w:rsidRPr="00C64F67" w:rsidRDefault="00D6171B" w:rsidP="005C2D9D">
      <w:pPr>
        <w:pStyle w:val="Poznamkapodciarov"/>
        <w:rPr>
          <w:rStyle w:val="PoznamkapodciarovChar"/>
          <w:rFonts w:asciiTheme="minorHAnsi" w:hAnsiTheme="minorHAnsi"/>
          <w:lang w:val="sk-SK"/>
        </w:rPr>
      </w:pPr>
      <w:r w:rsidRPr="00C64F67">
        <w:rPr>
          <w:rStyle w:val="PoznamkapodciarovChar"/>
          <w:rFonts w:asciiTheme="minorHAnsi" w:hAnsiTheme="minorHAnsi"/>
          <w:vertAlign w:val="superscript"/>
          <w:lang w:val="sk-SK"/>
        </w:rPr>
        <w:footnoteRef/>
      </w:r>
      <w:r w:rsidRPr="00C64F67">
        <w:rPr>
          <w:rStyle w:val="PoznamkapodciarovChar"/>
          <w:rFonts w:asciiTheme="minorHAnsi" w:hAnsiTheme="minorHAnsi"/>
          <w:lang w:val="sk-SK"/>
        </w:rPr>
        <w:t xml:space="preserve">) Hlavné piliere digitálnej reformy </w:t>
      </w:r>
      <w:r>
        <w:rPr>
          <w:rStyle w:val="PoznamkapodciarovChar"/>
          <w:rFonts w:asciiTheme="minorHAnsi" w:hAnsiTheme="minorHAnsi"/>
          <w:lang w:val="sk-SK"/>
        </w:rPr>
        <w:t>Do roku 2030</w:t>
      </w:r>
      <w:r w:rsidRPr="00C64F67">
        <w:rPr>
          <w:rStyle w:val="PoznamkapodciarovChar"/>
          <w:rFonts w:asciiTheme="minorHAnsi" w:hAnsiTheme="minorHAnsi"/>
          <w:lang w:val="sk-SK"/>
        </w:rPr>
        <w:t xml:space="preserve">: </w:t>
      </w:r>
      <w:r w:rsidRPr="00C64F67">
        <w:rPr>
          <w:lang w:val="sk-SK"/>
        </w:rPr>
        <w:t>1. štát v mobile, 2. prepojenosť, 3. kybernetická bezpečnosť, 4. digitálna ekonomika, 5. digitálne zručnosti, 6. inovácie.</w:t>
      </w:r>
    </w:p>
  </w:footnote>
  <w:footnote w:id="26">
    <w:p w14:paraId="500B786E" w14:textId="77777777" w:rsidR="00D6171B" w:rsidRPr="00C64F67" w:rsidRDefault="00D6171B" w:rsidP="004163F1">
      <w:pPr>
        <w:pStyle w:val="Poznamkapodciarov"/>
        <w:rPr>
          <w:lang w:val="sk-SK"/>
        </w:rPr>
      </w:pPr>
      <w:r w:rsidRPr="00C64F67">
        <w:rPr>
          <w:rStyle w:val="Odkaznapoznmkupodiarou"/>
          <w:lang w:val="sk-SK"/>
        </w:rPr>
        <w:footnoteRef/>
      </w:r>
      <w:r w:rsidRPr="00C64F67">
        <w:rPr>
          <w:lang w:val="sk-SK"/>
        </w:rPr>
        <w:t>) Prioritné oblasti: 1) a smarter Europe – innovative and smart industrial transformation; 2) a greener, low carbon Europe – clean and fair energy transition, green and blue investment, circular economy, climate adaptation and risk prevention; 3) a more connected Europe – mobility and regional ICT connectivity; 4) a more social Europe – implementing the European Pillar of Social Rights; 5) Europe closer to citizens – sustainable and integrated development of urban, rural and coastal areas through local initiatives.</w:t>
      </w:r>
    </w:p>
  </w:footnote>
  <w:footnote w:id="27">
    <w:p w14:paraId="6317EEEC" w14:textId="77777777" w:rsidR="00D6171B" w:rsidRPr="00C64F67" w:rsidRDefault="00D6171B" w:rsidP="004163F1">
      <w:pPr>
        <w:pStyle w:val="Poznamkapodciarov"/>
        <w:rPr>
          <w:lang w:val="sk-SK"/>
        </w:rPr>
      </w:pPr>
      <w:r w:rsidRPr="00C64F67">
        <w:rPr>
          <w:rStyle w:val="Odkaznapoznmkupodiarou"/>
          <w:lang w:val="sk-SK"/>
        </w:rPr>
        <w:footnoteRef/>
      </w:r>
      <w:r w:rsidRPr="00C64F67">
        <w:rPr>
          <w:lang w:val="sk-SK"/>
        </w:rPr>
        <w:t xml:space="preserve">) Prioritné oblasti: 1. Investing to shape the next generation of competitive cloud infrastructures and services for businesses, the public sector or areas of public interest. 2. Defining a common approach on federating cloud capacities at European level, notably by creating synergies with and building on existing national initiatives. 3. Driving the uptake of trustworthy, secure, and energy-efficient data processing capacities for small and medium-sized enterprises (SMEs), start-ups and public administration. </w:t>
      </w:r>
    </w:p>
  </w:footnote>
  <w:footnote w:id="28">
    <w:p w14:paraId="2835C135" w14:textId="3A4B4832" w:rsidR="00D6171B" w:rsidRPr="00C64F67" w:rsidRDefault="00D6171B" w:rsidP="00250001">
      <w:pPr>
        <w:pStyle w:val="Poznamkapodciarov"/>
        <w:rPr>
          <w:lang w:val="sk-SK"/>
        </w:rPr>
      </w:pPr>
      <w:r w:rsidRPr="00C64F67">
        <w:rPr>
          <w:rStyle w:val="Odkaznapoznmkupodiarou"/>
          <w:lang w:val="sk-SK"/>
        </w:rPr>
        <w:footnoteRef/>
      </w:r>
      <w:r w:rsidRPr="00C64F67">
        <w:rPr>
          <w:lang w:val="sk-SK"/>
        </w:rPr>
        <w:t>) § 6 ods. 1 zákona o</w:t>
      </w:r>
      <w:r>
        <w:rPr>
          <w:lang w:val="sk-SK"/>
        </w:rPr>
        <w:t> č. 95/2019 Z. z. v znení neskorších predpisov.</w:t>
      </w:r>
    </w:p>
  </w:footnote>
  <w:footnote w:id="29">
    <w:p w14:paraId="3141D031" w14:textId="77777777" w:rsidR="00D6171B" w:rsidRPr="00C64F67" w:rsidRDefault="00D6171B" w:rsidP="00250001">
      <w:pPr>
        <w:pStyle w:val="Poznamkapodciarov"/>
        <w:rPr>
          <w:lang w:val="sk-SK"/>
        </w:rPr>
      </w:pPr>
      <w:r w:rsidRPr="00C64F67">
        <w:rPr>
          <w:rStyle w:val="Odkaznapoznmkupodiarou"/>
          <w:lang w:val="sk-SK"/>
        </w:rPr>
        <w:footnoteRef/>
      </w:r>
      <w:r w:rsidRPr="00C64F67">
        <w:rPr>
          <w:lang w:val="sk-SK"/>
        </w:rPr>
        <w:t>) Základná zásada EIF číslo 1: subsidiarita a proporcionalita.</w:t>
      </w:r>
    </w:p>
  </w:footnote>
  <w:footnote w:id="30">
    <w:p w14:paraId="44DCBBA5" w14:textId="7777777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Základná zásada EIF číslo 6: zameranie sa na používateľa, zásada 7: začlenenie a prístupnosť a zásada 9: viacjazyčnosť.</w:t>
      </w:r>
    </w:p>
  </w:footnote>
  <w:footnote w:id="31">
    <w:p w14:paraId="63178C98" w14:textId="6DF6D53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xml:space="preserve">) </w:t>
      </w:r>
      <w:r>
        <w:rPr>
          <w:lang w:val="sk-SK"/>
        </w:rPr>
        <w:t>Podľa</w:t>
      </w:r>
      <w:r w:rsidRPr="00C64F67">
        <w:rPr>
          <w:lang w:val="sk-SK"/>
        </w:rPr>
        <w:t xml:space="preserve"> § 3 </w:t>
      </w:r>
      <w:r>
        <w:rPr>
          <w:lang w:val="sk-SK"/>
        </w:rPr>
        <w:t>písm.</w:t>
      </w:r>
      <w:r w:rsidRPr="00C64F67">
        <w:rPr>
          <w:lang w:val="sk-SK"/>
        </w:rPr>
        <w:t xml:space="preserve"> q</w:t>
      </w:r>
      <w:r>
        <w:rPr>
          <w:lang w:val="sk-SK"/>
        </w:rPr>
        <w:t>)</w:t>
      </w:r>
      <w:r w:rsidRPr="00C64F67">
        <w:rPr>
          <w:lang w:val="sk-SK"/>
        </w:rPr>
        <w:t xml:space="preserve"> zákona </w:t>
      </w:r>
      <w:r>
        <w:rPr>
          <w:lang w:val="sk-SK"/>
        </w:rPr>
        <w:t>č. 95/2019 Z. z. v znení neskorších predpisov.</w:t>
      </w:r>
    </w:p>
  </w:footnote>
  <w:footnote w:id="32">
    <w:p w14:paraId="19799364" w14:textId="7777777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Základná zásada EIF číslo 10: administratívne zjednodušenie a číslo 2: posúdenie účinnosti a efektívnosti.</w:t>
      </w:r>
    </w:p>
  </w:footnote>
  <w:footnote w:id="33">
    <w:p w14:paraId="68181394" w14:textId="7777777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Základná zásada EIF číslo 11: uchovávanie informácií, číslo 5: technologická neutralita a prenosnosť údajov a číslo 3: transparentnosť.</w:t>
      </w:r>
    </w:p>
  </w:footnote>
  <w:footnote w:id="34">
    <w:p w14:paraId="7EB41411" w14:textId="7777777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Základná zásada EIF číslo 4: opätovná použiteľnosť.</w:t>
      </w:r>
    </w:p>
  </w:footnote>
  <w:footnote w:id="35">
    <w:p w14:paraId="5D72C151" w14:textId="7777777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Prístup k používaniu spoločných blokov je rozpracovaný v dokumente Strategická priorita Rozvoj agendových informačných systémov a využívanie centrálnych spoločných blokov.</w:t>
      </w:r>
    </w:p>
  </w:footnote>
  <w:footnote w:id="36">
    <w:p w14:paraId="166F250F" w14:textId="7777777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Základná zásada EIF číslo 3: transparentnosť.</w:t>
      </w:r>
    </w:p>
  </w:footnote>
  <w:footnote w:id="37">
    <w:p w14:paraId="40ED61C1" w14:textId="77777777" w:rsidR="00D6171B" w:rsidRPr="00C64F67" w:rsidRDefault="00D6171B" w:rsidP="0090664A">
      <w:pPr>
        <w:pStyle w:val="Poznamkapodciarov"/>
        <w:rPr>
          <w:lang w:val="sk-SK"/>
        </w:rPr>
      </w:pPr>
      <w:r w:rsidRPr="00C64F67">
        <w:rPr>
          <w:rStyle w:val="Odkaznapoznmkupodiarou"/>
          <w:lang w:val="sk-SK"/>
        </w:rPr>
        <w:footnoteRef/>
      </w:r>
      <w:r w:rsidRPr="00C64F67">
        <w:rPr>
          <w:lang w:val="sk-SK"/>
        </w:rPr>
        <w:t>) Základná zásada EIF číslo 8: bezpečnosť a ochrana súkromia.</w:t>
      </w:r>
    </w:p>
  </w:footnote>
  <w:footnote w:id="38">
    <w:p w14:paraId="6DCBF084" w14:textId="130E2247" w:rsidR="00D6171B" w:rsidRPr="00C64F67" w:rsidRDefault="00D6171B" w:rsidP="000E1784">
      <w:pPr>
        <w:pStyle w:val="Poznamkapodciarov"/>
        <w:rPr>
          <w:lang w:val="sk-SK"/>
        </w:rPr>
      </w:pPr>
      <w:r w:rsidRPr="00C64F67">
        <w:rPr>
          <w:rStyle w:val="Odkaznapoznmkupodiarou"/>
          <w:lang w:val="sk-SK"/>
        </w:rPr>
        <w:footnoteRef/>
      </w:r>
      <w:r w:rsidRPr="00C64F67">
        <w:rPr>
          <w:lang w:val="sk-SK"/>
        </w:rPr>
        <w:t xml:space="preserve">) § 5 až 9 zákona </w:t>
      </w:r>
      <w:r>
        <w:rPr>
          <w:rFonts w:cstheme="minorHAnsi"/>
          <w:lang w:val="sk-SK"/>
        </w:rPr>
        <w:t>č. 305/2013 Z. z. v znení neskorších predpisov.</w:t>
      </w:r>
    </w:p>
  </w:footnote>
  <w:footnote w:id="39">
    <w:p w14:paraId="43D6FC20" w14:textId="7C3F8D8B" w:rsidR="00D6171B" w:rsidRPr="004E0283" w:rsidRDefault="00D6171B" w:rsidP="000E1784">
      <w:pPr>
        <w:pStyle w:val="Poznamkapodciarov"/>
        <w:rPr>
          <w:lang w:val="sk-SK"/>
        </w:rPr>
      </w:pPr>
      <w:r w:rsidRPr="00C64F67">
        <w:rPr>
          <w:rStyle w:val="Odkaznapoznmkupodiarou"/>
          <w:lang w:val="sk-SK"/>
        </w:rPr>
        <w:footnoteRef/>
      </w:r>
      <w:r w:rsidRPr="00C64F67">
        <w:rPr>
          <w:lang w:val="sk-SK"/>
        </w:rPr>
        <w:t xml:space="preserve">) </w:t>
      </w:r>
      <w:r w:rsidRPr="004E0283">
        <w:rPr>
          <w:lang w:val="sk-SK"/>
        </w:rPr>
        <w:t xml:space="preserve">§ 5 až 9 zákona </w:t>
      </w:r>
      <w:r w:rsidRPr="004E0283">
        <w:rPr>
          <w:szCs w:val="16"/>
          <w:lang w:val="sk-SK"/>
        </w:rPr>
        <w:t>č. 305/2013 Z. z. v znení neskorších predpisov.</w:t>
      </w:r>
    </w:p>
  </w:footnote>
  <w:footnote w:id="40">
    <w:p w14:paraId="2993415A" w14:textId="2D260F80" w:rsidR="00D6171B" w:rsidRPr="004E0283" w:rsidRDefault="00D6171B" w:rsidP="000E1784">
      <w:pPr>
        <w:pStyle w:val="Poznamkapodciarov"/>
        <w:rPr>
          <w:lang w:val="sk-SK"/>
        </w:rPr>
      </w:pPr>
      <w:r w:rsidRPr="004E0283">
        <w:rPr>
          <w:rStyle w:val="Odkaznapoznmkupodiarou"/>
          <w:lang w:val="sk-SK"/>
        </w:rPr>
        <w:footnoteRef/>
      </w:r>
      <w:r w:rsidRPr="004E0283">
        <w:rPr>
          <w:lang w:val="sk-SK"/>
        </w:rPr>
        <w:t xml:space="preserve">) § 10 ods. 11 zákona </w:t>
      </w:r>
      <w:r w:rsidRPr="004E0283">
        <w:rPr>
          <w:szCs w:val="16"/>
          <w:lang w:val="sk-SK"/>
        </w:rPr>
        <w:t>č. 305/2013 Z. z. v znení neskorších predpisov.</w:t>
      </w:r>
    </w:p>
  </w:footnote>
  <w:footnote w:id="41">
    <w:p w14:paraId="113ED87D" w14:textId="6EFC42A9" w:rsidR="00D6171B" w:rsidRPr="004E0283" w:rsidRDefault="00D6171B" w:rsidP="000E1784">
      <w:pPr>
        <w:pStyle w:val="Poznamkapodciarov"/>
        <w:rPr>
          <w:lang w:val="sk-SK"/>
        </w:rPr>
      </w:pPr>
      <w:r w:rsidRPr="004E0283">
        <w:rPr>
          <w:rStyle w:val="Odkaznapoznmkupodiarou"/>
          <w:lang w:val="sk-SK"/>
        </w:rPr>
        <w:footnoteRef/>
      </w:r>
      <w:r w:rsidRPr="004E0283">
        <w:rPr>
          <w:lang w:val="sk-SK"/>
        </w:rPr>
        <w:t xml:space="preserve">) § 4 ods. 4 zákona </w:t>
      </w:r>
      <w:r w:rsidRPr="004E0283">
        <w:rPr>
          <w:szCs w:val="16"/>
          <w:lang w:val="sk-SK"/>
        </w:rPr>
        <w:t>č. 305/2013 Z. z. v znení neskorších predpisov.</w:t>
      </w:r>
    </w:p>
  </w:footnote>
  <w:footnote w:id="42">
    <w:p w14:paraId="3303EF21" w14:textId="462903F8" w:rsidR="00D6171B" w:rsidRPr="004E0283" w:rsidRDefault="00D6171B" w:rsidP="000E1784">
      <w:pPr>
        <w:pStyle w:val="Poznamkapodciarov"/>
        <w:rPr>
          <w:lang w:val="sk-SK"/>
        </w:rPr>
      </w:pPr>
      <w:r w:rsidRPr="004E0283">
        <w:rPr>
          <w:rStyle w:val="Odkaznapoznmkupodiarou"/>
          <w:lang w:val="sk-SK"/>
        </w:rPr>
        <w:footnoteRef/>
      </w:r>
      <w:r w:rsidRPr="004E0283">
        <w:rPr>
          <w:lang w:val="sk-SK"/>
        </w:rPr>
        <w:t xml:space="preserve">) § 10 ods. 4 až 12 zákona </w:t>
      </w:r>
      <w:r w:rsidRPr="004E0283">
        <w:rPr>
          <w:szCs w:val="16"/>
          <w:lang w:val="sk-SK"/>
        </w:rPr>
        <w:t>č. 305/2013 Z. z. v znení neskorších predpisov.</w:t>
      </w:r>
    </w:p>
  </w:footnote>
  <w:footnote w:id="43">
    <w:p w14:paraId="38F995E9" w14:textId="2E8A14B7" w:rsidR="00D6171B" w:rsidRPr="00C64F67" w:rsidRDefault="00D6171B" w:rsidP="000E1784">
      <w:pPr>
        <w:pStyle w:val="Poznamkapodciarov"/>
        <w:rPr>
          <w:lang w:val="sk-SK"/>
        </w:rPr>
      </w:pPr>
      <w:r w:rsidRPr="004E0283">
        <w:rPr>
          <w:rStyle w:val="Odkaznapoznmkupodiarou"/>
          <w:lang w:val="sk-SK"/>
        </w:rPr>
        <w:footnoteRef/>
      </w:r>
      <w:r w:rsidRPr="004E0283">
        <w:rPr>
          <w:lang w:val="sk-SK"/>
        </w:rPr>
        <w:t>) § 3 písm. d) zákona č. 95/2019 Z. z. v znení neskorších predpisov.</w:t>
      </w:r>
    </w:p>
  </w:footnote>
  <w:footnote w:id="44">
    <w:p w14:paraId="3D858C57" w14:textId="4A631238" w:rsidR="00D6171B" w:rsidRPr="00C64F67" w:rsidRDefault="00D6171B" w:rsidP="0060626D">
      <w:pPr>
        <w:pStyle w:val="Poznamkapodciarov"/>
        <w:rPr>
          <w:lang w:val="sk-SK"/>
        </w:rPr>
      </w:pPr>
      <w:r w:rsidRPr="0060626D">
        <w:rPr>
          <w:rStyle w:val="Odkaznapoznmkupodiarou"/>
          <w:lang w:val="sk-SK"/>
        </w:rPr>
        <w:footnoteRef/>
      </w:r>
      <w:r w:rsidRPr="0060626D">
        <w:rPr>
          <w:lang w:val="sk-SK"/>
        </w:rPr>
        <w:t xml:space="preserve">) Šiesta časť zákona </w:t>
      </w:r>
      <w:r w:rsidRPr="0060626D">
        <w:rPr>
          <w:szCs w:val="16"/>
          <w:lang w:val="sk-SK"/>
        </w:rPr>
        <w:t>č. 305/2013 Z. z. v znení neskorších predpisov</w:t>
      </w:r>
      <w:r>
        <w:rPr>
          <w:lang w:val="sk-SK"/>
        </w:rPr>
        <w:t>.</w:t>
      </w:r>
    </w:p>
  </w:footnote>
  <w:footnote w:id="45">
    <w:p w14:paraId="4765AD9D" w14:textId="77777777" w:rsidR="00D6171B" w:rsidRPr="00C64F67" w:rsidRDefault="00D6171B" w:rsidP="000E1784">
      <w:pPr>
        <w:pStyle w:val="Poznamkapodciarov"/>
        <w:rPr>
          <w:lang w:val="sk-SK"/>
        </w:rPr>
      </w:pPr>
      <w:r w:rsidRPr="00C64F67">
        <w:rPr>
          <w:rStyle w:val="Odkaznapoznmkupodiarou"/>
          <w:lang w:val="sk-SK"/>
        </w:rPr>
        <w:footnoteRef/>
      </w:r>
      <w:r w:rsidRPr="00C64F67">
        <w:rPr>
          <w:lang w:val="sk-SK"/>
        </w:rPr>
        <w:t>) Metodické usmernenie pre proces zaradenia cloudovej služby do katalógu, ÚPVII číslo: UPVII 004542/2019/oSAEG-1.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D6171B" w14:paraId="79BE40ED" w14:textId="77777777" w:rsidTr="72389FBF">
      <w:tc>
        <w:tcPr>
          <w:tcW w:w="3020" w:type="dxa"/>
        </w:tcPr>
        <w:p w14:paraId="4373E560" w14:textId="77777777" w:rsidR="00D6171B" w:rsidRDefault="00D6171B" w:rsidP="72389FBF">
          <w:pPr>
            <w:pStyle w:val="Hlavika"/>
            <w:ind w:left="-115"/>
            <w:jc w:val="left"/>
          </w:pPr>
        </w:p>
      </w:tc>
      <w:tc>
        <w:tcPr>
          <w:tcW w:w="3020" w:type="dxa"/>
        </w:tcPr>
        <w:p w14:paraId="50336AB7" w14:textId="77777777" w:rsidR="00D6171B" w:rsidRDefault="00D6171B" w:rsidP="72389FBF">
          <w:pPr>
            <w:pStyle w:val="Hlavika"/>
            <w:jc w:val="center"/>
          </w:pPr>
        </w:p>
      </w:tc>
      <w:tc>
        <w:tcPr>
          <w:tcW w:w="3020" w:type="dxa"/>
        </w:tcPr>
        <w:p w14:paraId="5F91DC53" w14:textId="77777777" w:rsidR="00D6171B" w:rsidRDefault="00D6171B" w:rsidP="72389FBF">
          <w:pPr>
            <w:pStyle w:val="Hlavika"/>
            <w:ind w:right="-115"/>
            <w:jc w:val="right"/>
          </w:pPr>
        </w:p>
      </w:tc>
    </w:tr>
  </w:tbl>
  <w:p w14:paraId="12CDD011" w14:textId="77777777" w:rsidR="00D6171B" w:rsidRDefault="00D6171B" w:rsidP="72389FBF">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3C6D" w14:textId="77777777" w:rsidR="00D6171B" w:rsidRDefault="00D6171B" w:rsidP="72389FB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5ACF8B2"/>
    <w:lvl w:ilvl="0">
      <w:start w:val="1"/>
      <w:numFmt w:val="bullet"/>
      <w:pStyle w:val="Zoznamsodrkami2"/>
      <w:lvlText w:val="-"/>
      <w:lvlJc w:val="left"/>
      <w:pPr>
        <w:tabs>
          <w:tab w:val="num" w:pos="623"/>
        </w:tabs>
        <w:ind w:left="623" w:hanging="340"/>
      </w:pPr>
      <w:rPr>
        <w:rFonts w:ascii="9999999" w:hAnsi="9999999" w:hint="default"/>
      </w:rPr>
    </w:lvl>
  </w:abstractNum>
  <w:abstractNum w:abstractNumId="1" w15:restartNumberingAfterBreak="0">
    <w:nsid w:val="FFFFFF89"/>
    <w:multiLevelType w:val="hybridMultilevel"/>
    <w:tmpl w:val="07906CCA"/>
    <w:lvl w:ilvl="0" w:tplc="6EEE22B8">
      <w:start w:val="1"/>
      <w:numFmt w:val="bullet"/>
      <w:pStyle w:val="Zoznamsodrkami"/>
      <w:lvlText w:val=""/>
      <w:lvlJc w:val="left"/>
      <w:pPr>
        <w:tabs>
          <w:tab w:val="num" w:pos="340"/>
        </w:tabs>
        <w:ind w:left="340" w:hanging="340"/>
      </w:pPr>
      <w:rPr>
        <w:rFonts w:ascii="Symbol" w:hAnsi="Symbol" w:hint="default"/>
        <w:color w:val="auto"/>
        <w:sz w:val="22"/>
      </w:rPr>
    </w:lvl>
    <w:lvl w:ilvl="1" w:tplc="4630F77E">
      <w:numFmt w:val="decimal"/>
      <w:lvlText w:val=""/>
      <w:lvlJc w:val="left"/>
    </w:lvl>
    <w:lvl w:ilvl="2" w:tplc="503C9002">
      <w:numFmt w:val="decimal"/>
      <w:lvlText w:val=""/>
      <w:lvlJc w:val="left"/>
    </w:lvl>
    <w:lvl w:ilvl="3" w:tplc="25B05B9E">
      <w:numFmt w:val="decimal"/>
      <w:lvlText w:val=""/>
      <w:lvlJc w:val="left"/>
    </w:lvl>
    <w:lvl w:ilvl="4" w:tplc="1366B2AC">
      <w:numFmt w:val="decimal"/>
      <w:lvlText w:val=""/>
      <w:lvlJc w:val="left"/>
    </w:lvl>
    <w:lvl w:ilvl="5" w:tplc="FAFC56F8">
      <w:numFmt w:val="decimal"/>
      <w:lvlText w:val=""/>
      <w:lvlJc w:val="left"/>
    </w:lvl>
    <w:lvl w:ilvl="6" w:tplc="D214CDBA">
      <w:numFmt w:val="decimal"/>
      <w:lvlText w:val=""/>
      <w:lvlJc w:val="left"/>
    </w:lvl>
    <w:lvl w:ilvl="7" w:tplc="EFBA3ADE">
      <w:numFmt w:val="decimal"/>
      <w:lvlText w:val=""/>
      <w:lvlJc w:val="left"/>
    </w:lvl>
    <w:lvl w:ilvl="8" w:tplc="EAA43958">
      <w:numFmt w:val="decimal"/>
      <w:lvlText w:val=""/>
      <w:lvlJc w:val="left"/>
    </w:lvl>
  </w:abstractNum>
  <w:abstractNum w:abstractNumId="2" w15:restartNumberingAfterBreak="0">
    <w:nsid w:val="01EA2333"/>
    <w:multiLevelType w:val="hybridMultilevel"/>
    <w:tmpl w:val="435ECE6C"/>
    <w:lvl w:ilvl="0" w:tplc="677EE69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2C3332B"/>
    <w:multiLevelType w:val="hybridMultilevel"/>
    <w:tmpl w:val="8B9EBD50"/>
    <w:lvl w:ilvl="0" w:tplc="0409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4" w15:restartNumberingAfterBreak="0">
    <w:nsid w:val="0A620737"/>
    <w:multiLevelType w:val="hybridMultilevel"/>
    <w:tmpl w:val="1FE4B372"/>
    <w:lvl w:ilvl="0" w:tplc="0409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5" w15:restartNumberingAfterBreak="0">
    <w:nsid w:val="0F044B46"/>
    <w:multiLevelType w:val="hybridMultilevel"/>
    <w:tmpl w:val="CEEA79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0762E23"/>
    <w:multiLevelType w:val="multilevel"/>
    <w:tmpl w:val="48D0E38A"/>
    <w:lvl w:ilvl="0">
      <w:start w:val="1"/>
      <w:numFmt w:val="decimal"/>
      <w:pStyle w:val="Nadpis1"/>
      <w:lvlText w:val="%1"/>
      <w:lvlJc w:val="left"/>
      <w:pPr>
        <w:ind w:left="432" w:hanging="432"/>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4545" w:hanging="576"/>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900" w:hanging="720"/>
      </w:pPr>
      <w:rPr>
        <w:rFonts w:cs="Times New Roman" w:hint="default"/>
        <w:color w:val="auto"/>
      </w:rPr>
    </w:lvl>
    <w:lvl w:ilvl="3">
      <w:start w:val="1"/>
      <w:numFmt w:val="decimal"/>
      <w:pStyle w:val="Nadpis4"/>
      <w:lvlText w:val="%1.%2.%3.%4"/>
      <w:lvlJc w:val="left"/>
      <w:pPr>
        <w:ind w:left="864" w:hanging="864"/>
      </w:pPr>
      <w:rPr>
        <w:rFonts w:cs="Times New Roman" w:hint="default"/>
        <w:color w:val="auto"/>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7" w15:restartNumberingAfterBreak="0">
    <w:nsid w:val="15812EDA"/>
    <w:multiLevelType w:val="hybridMultilevel"/>
    <w:tmpl w:val="20B2D3B8"/>
    <w:lvl w:ilvl="0" w:tplc="D5304AB6">
      <w:start w:val="1"/>
      <w:numFmt w:val="bullet"/>
      <w:lvlText w:val="·"/>
      <w:lvlJc w:val="left"/>
      <w:pPr>
        <w:ind w:left="720" w:hanging="360"/>
      </w:pPr>
      <w:rPr>
        <w:rFonts w:ascii="Symbol" w:hAnsi="Symbol" w:hint="default"/>
      </w:rPr>
    </w:lvl>
    <w:lvl w:ilvl="1" w:tplc="989E4C9C">
      <w:start w:val="1"/>
      <w:numFmt w:val="bullet"/>
      <w:lvlText w:val="o"/>
      <w:lvlJc w:val="left"/>
      <w:pPr>
        <w:ind w:left="1440" w:hanging="360"/>
      </w:pPr>
      <w:rPr>
        <w:rFonts w:ascii="Courier New" w:hAnsi="Courier New" w:hint="default"/>
      </w:rPr>
    </w:lvl>
    <w:lvl w:ilvl="2" w:tplc="67F20666">
      <w:start w:val="1"/>
      <w:numFmt w:val="bullet"/>
      <w:lvlText w:val=""/>
      <w:lvlJc w:val="left"/>
      <w:pPr>
        <w:ind w:left="2160" w:hanging="360"/>
      </w:pPr>
      <w:rPr>
        <w:rFonts w:ascii="Wingdings" w:hAnsi="Wingdings" w:hint="default"/>
      </w:rPr>
    </w:lvl>
    <w:lvl w:ilvl="3" w:tplc="D292AB68">
      <w:start w:val="1"/>
      <w:numFmt w:val="bullet"/>
      <w:lvlText w:val=""/>
      <w:lvlJc w:val="left"/>
      <w:pPr>
        <w:ind w:left="2880" w:hanging="360"/>
      </w:pPr>
      <w:rPr>
        <w:rFonts w:ascii="Symbol" w:hAnsi="Symbol" w:hint="default"/>
      </w:rPr>
    </w:lvl>
    <w:lvl w:ilvl="4" w:tplc="6982098E">
      <w:start w:val="1"/>
      <w:numFmt w:val="bullet"/>
      <w:lvlText w:val="o"/>
      <w:lvlJc w:val="left"/>
      <w:pPr>
        <w:ind w:left="3600" w:hanging="360"/>
      </w:pPr>
      <w:rPr>
        <w:rFonts w:ascii="Courier New" w:hAnsi="Courier New" w:hint="default"/>
      </w:rPr>
    </w:lvl>
    <w:lvl w:ilvl="5" w:tplc="E1A06554">
      <w:start w:val="1"/>
      <w:numFmt w:val="bullet"/>
      <w:lvlText w:val=""/>
      <w:lvlJc w:val="left"/>
      <w:pPr>
        <w:ind w:left="4320" w:hanging="360"/>
      </w:pPr>
      <w:rPr>
        <w:rFonts w:ascii="Wingdings" w:hAnsi="Wingdings" w:hint="default"/>
      </w:rPr>
    </w:lvl>
    <w:lvl w:ilvl="6" w:tplc="AB3A81C4">
      <w:start w:val="1"/>
      <w:numFmt w:val="bullet"/>
      <w:lvlText w:val=""/>
      <w:lvlJc w:val="left"/>
      <w:pPr>
        <w:ind w:left="5040" w:hanging="360"/>
      </w:pPr>
      <w:rPr>
        <w:rFonts w:ascii="Symbol" w:hAnsi="Symbol" w:hint="default"/>
      </w:rPr>
    </w:lvl>
    <w:lvl w:ilvl="7" w:tplc="A9AEFABC">
      <w:start w:val="1"/>
      <w:numFmt w:val="bullet"/>
      <w:lvlText w:val="o"/>
      <w:lvlJc w:val="left"/>
      <w:pPr>
        <w:ind w:left="5760" w:hanging="360"/>
      </w:pPr>
      <w:rPr>
        <w:rFonts w:ascii="Courier New" w:hAnsi="Courier New" w:hint="default"/>
      </w:rPr>
    </w:lvl>
    <w:lvl w:ilvl="8" w:tplc="8418FD08">
      <w:start w:val="1"/>
      <w:numFmt w:val="bullet"/>
      <w:lvlText w:val=""/>
      <w:lvlJc w:val="left"/>
      <w:pPr>
        <w:ind w:left="6480" w:hanging="360"/>
      </w:pPr>
      <w:rPr>
        <w:rFonts w:ascii="Wingdings" w:hAnsi="Wingdings" w:hint="default"/>
      </w:rPr>
    </w:lvl>
  </w:abstractNum>
  <w:abstractNum w:abstractNumId="8" w15:restartNumberingAfterBreak="0">
    <w:nsid w:val="15F164F5"/>
    <w:multiLevelType w:val="hybridMultilevel"/>
    <w:tmpl w:val="A64C46E2"/>
    <w:lvl w:ilvl="0" w:tplc="C206E13E">
      <w:start w:val="1"/>
      <w:numFmt w:val="bullet"/>
      <w:lvlText w:val=""/>
      <w:lvlJc w:val="left"/>
      <w:pPr>
        <w:ind w:left="720" w:hanging="360"/>
      </w:pPr>
      <w:rPr>
        <w:rFonts w:ascii="Symbol" w:hAnsi="Symbol" w:hint="default"/>
      </w:rPr>
    </w:lvl>
    <w:lvl w:ilvl="1" w:tplc="9F1C812C">
      <w:start w:val="1"/>
      <w:numFmt w:val="bullet"/>
      <w:lvlText w:val="o"/>
      <w:lvlJc w:val="left"/>
      <w:pPr>
        <w:ind w:left="1440" w:hanging="360"/>
      </w:pPr>
      <w:rPr>
        <w:rFonts w:ascii="Courier New" w:hAnsi="Courier New" w:hint="default"/>
      </w:rPr>
    </w:lvl>
    <w:lvl w:ilvl="2" w:tplc="1B2E3844">
      <w:start w:val="1"/>
      <w:numFmt w:val="bullet"/>
      <w:lvlText w:val=""/>
      <w:lvlJc w:val="left"/>
      <w:pPr>
        <w:ind w:left="2160" w:hanging="360"/>
      </w:pPr>
      <w:rPr>
        <w:rFonts w:ascii="Wingdings" w:hAnsi="Wingdings" w:hint="default"/>
      </w:rPr>
    </w:lvl>
    <w:lvl w:ilvl="3" w:tplc="166EBF26">
      <w:start w:val="1"/>
      <w:numFmt w:val="bullet"/>
      <w:lvlText w:val=""/>
      <w:lvlJc w:val="left"/>
      <w:pPr>
        <w:ind w:left="2880" w:hanging="360"/>
      </w:pPr>
      <w:rPr>
        <w:rFonts w:ascii="Symbol" w:hAnsi="Symbol" w:hint="default"/>
      </w:rPr>
    </w:lvl>
    <w:lvl w:ilvl="4" w:tplc="A1F850D4">
      <w:start w:val="1"/>
      <w:numFmt w:val="bullet"/>
      <w:lvlText w:val="o"/>
      <w:lvlJc w:val="left"/>
      <w:pPr>
        <w:ind w:left="3600" w:hanging="360"/>
      </w:pPr>
      <w:rPr>
        <w:rFonts w:ascii="Courier New" w:hAnsi="Courier New" w:hint="default"/>
      </w:rPr>
    </w:lvl>
    <w:lvl w:ilvl="5" w:tplc="4FC250E2">
      <w:start w:val="1"/>
      <w:numFmt w:val="bullet"/>
      <w:lvlText w:val=""/>
      <w:lvlJc w:val="left"/>
      <w:pPr>
        <w:ind w:left="4320" w:hanging="360"/>
      </w:pPr>
      <w:rPr>
        <w:rFonts w:ascii="Wingdings" w:hAnsi="Wingdings" w:hint="default"/>
      </w:rPr>
    </w:lvl>
    <w:lvl w:ilvl="6" w:tplc="821A842A">
      <w:start w:val="1"/>
      <w:numFmt w:val="bullet"/>
      <w:lvlText w:val=""/>
      <w:lvlJc w:val="left"/>
      <w:pPr>
        <w:ind w:left="5040" w:hanging="360"/>
      </w:pPr>
      <w:rPr>
        <w:rFonts w:ascii="Symbol" w:hAnsi="Symbol" w:hint="default"/>
      </w:rPr>
    </w:lvl>
    <w:lvl w:ilvl="7" w:tplc="AB2A0ADE">
      <w:start w:val="1"/>
      <w:numFmt w:val="bullet"/>
      <w:lvlText w:val="o"/>
      <w:lvlJc w:val="left"/>
      <w:pPr>
        <w:ind w:left="5760" w:hanging="360"/>
      </w:pPr>
      <w:rPr>
        <w:rFonts w:ascii="Courier New" w:hAnsi="Courier New" w:hint="default"/>
      </w:rPr>
    </w:lvl>
    <w:lvl w:ilvl="8" w:tplc="62B8C642">
      <w:start w:val="1"/>
      <w:numFmt w:val="bullet"/>
      <w:lvlText w:val=""/>
      <w:lvlJc w:val="left"/>
      <w:pPr>
        <w:ind w:left="6480" w:hanging="360"/>
      </w:pPr>
      <w:rPr>
        <w:rFonts w:ascii="Wingdings" w:hAnsi="Wingdings" w:hint="default"/>
      </w:rPr>
    </w:lvl>
  </w:abstractNum>
  <w:abstractNum w:abstractNumId="9" w15:restartNumberingAfterBreak="0">
    <w:nsid w:val="174204B7"/>
    <w:multiLevelType w:val="hybridMultilevel"/>
    <w:tmpl w:val="1344781E"/>
    <w:lvl w:ilvl="0" w:tplc="04090017">
      <w:start w:val="1"/>
      <w:numFmt w:val="lowerLetter"/>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10" w15:restartNumberingAfterBreak="0">
    <w:nsid w:val="177A51B6"/>
    <w:multiLevelType w:val="hybridMultilevel"/>
    <w:tmpl w:val="13842A68"/>
    <w:lvl w:ilvl="0" w:tplc="33CC606E">
      <w:start w:val="1"/>
      <w:numFmt w:val="bullet"/>
      <w:lvlText w:val=""/>
      <w:lvlJc w:val="left"/>
      <w:pPr>
        <w:ind w:left="720" w:hanging="360"/>
      </w:pPr>
      <w:rPr>
        <w:rFonts w:ascii="Symbol" w:hAnsi="Symbol" w:hint="default"/>
      </w:rPr>
    </w:lvl>
    <w:lvl w:ilvl="1" w:tplc="EFAAE5B4">
      <w:start w:val="1"/>
      <w:numFmt w:val="bullet"/>
      <w:lvlText w:val="o"/>
      <w:lvlJc w:val="left"/>
      <w:pPr>
        <w:ind w:left="1440" w:hanging="360"/>
      </w:pPr>
      <w:rPr>
        <w:rFonts w:ascii="Courier New" w:hAnsi="Courier New" w:hint="default"/>
      </w:rPr>
    </w:lvl>
    <w:lvl w:ilvl="2" w:tplc="BF92B808">
      <w:start w:val="1"/>
      <w:numFmt w:val="bullet"/>
      <w:lvlText w:val=""/>
      <w:lvlJc w:val="left"/>
      <w:pPr>
        <w:ind w:left="2160" w:hanging="360"/>
      </w:pPr>
      <w:rPr>
        <w:rFonts w:ascii="Wingdings" w:hAnsi="Wingdings" w:hint="default"/>
      </w:rPr>
    </w:lvl>
    <w:lvl w:ilvl="3" w:tplc="A92C7ACA">
      <w:start w:val="1"/>
      <w:numFmt w:val="bullet"/>
      <w:lvlText w:val=""/>
      <w:lvlJc w:val="left"/>
      <w:pPr>
        <w:ind w:left="2880" w:hanging="360"/>
      </w:pPr>
      <w:rPr>
        <w:rFonts w:ascii="Symbol" w:hAnsi="Symbol" w:hint="default"/>
      </w:rPr>
    </w:lvl>
    <w:lvl w:ilvl="4" w:tplc="14C65212">
      <w:start w:val="1"/>
      <w:numFmt w:val="bullet"/>
      <w:lvlText w:val="o"/>
      <w:lvlJc w:val="left"/>
      <w:pPr>
        <w:ind w:left="3600" w:hanging="360"/>
      </w:pPr>
      <w:rPr>
        <w:rFonts w:ascii="Courier New" w:hAnsi="Courier New" w:hint="default"/>
      </w:rPr>
    </w:lvl>
    <w:lvl w:ilvl="5" w:tplc="1598C0EE">
      <w:start w:val="1"/>
      <w:numFmt w:val="bullet"/>
      <w:lvlText w:val=""/>
      <w:lvlJc w:val="left"/>
      <w:pPr>
        <w:ind w:left="4320" w:hanging="360"/>
      </w:pPr>
      <w:rPr>
        <w:rFonts w:ascii="Wingdings" w:hAnsi="Wingdings" w:hint="default"/>
      </w:rPr>
    </w:lvl>
    <w:lvl w:ilvl="6" w:tplc="13D63752">
      <w:start w:val="1"/>
      <w:numFmt w:val="bullet"/>
      <w:lvlText w:val=""/>
      <w:lvlJc w:val="left"/>
      <w:pPr>
        <w:ind w:left="5040" w:hanging="360"/>
      </w:pPr>
      <w:rPr>
        <w:rFonts w:ascii="Symbol" w:hAnsi="Symbol" w:hint="default"/>
      </w:rPr>
    </w:lvl>
    <w:lvl w:ilvl="7" w:tplc="8D022EEC">
      <w:start w:val="1"/>
      <w:numFmt w:val="bullet"/>
      <w:lvlText w:val="o"/>
      <w:lvlJc w:val="left"/>
      <w:pPr>
        <w:ind w:left="5760" w:hanging="360"/>
      </w:pPr>
      <w:rPr>
        <w:rFonts w:ascii="Courier New" w:hAnsi="Courier New" w:hint="default"/>
      </w:rPr>
    </w:lvl>
    <w:lvl w:ilvl="8" w:tplc="9B940BEE">
      <w:start w:val="1"/>
      <w:numFmt w:val="bullet"/>
      <w:lvlText w:val=""/>
      <w:lvlJc w:val="left"/>
      <w:pPr>
        <w:ind w:left="6480" w:hanging="360"/>
      </w:pPr>
      <w:rPr>
        <w:rFonts w:ascii="Wingdings" w:hAnsi="Wingdings" w:hint="default"/>
      </w:rPr>
    </w:lvl>
  </w:abstractNum>
  <w:abstractNum w:abstractNumId="11" w15:restartNumberingAfterBreak="0">
    <w:nsid w:val="1BBF12AD"/>
    <w:multiLevelType w:val="hybridMultilevel"/>
    <w:tmpl w:val="3DD0D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D433D0D"/>
    <w:multiLevelType w:val="hybridMultilevel"/>
    <w:tmpl w:val="D1EE45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D6900D4"/>
    <w:multiLevelType w:val="hybridMultilevel"/>
    <w:tmpl w:val="C29A2170"/>
    <w:lvl w:ilvl="0" w:tplc="3CCCE2A0">
      <w:start w:val="1"/>
      <w:numFmt w:val="bullet"/>
      <w:lvlText w:val="·"/>
      <w:lvlJc w:val="left"/>
      <w:pPr>
        <w:ind w:left="720" w:hanging="360"/>
      </w:pPr>
      <w:rPr>
        <w:rFonts w:ascii="Symbol" w:hAnsi="Symbol" w:hint="default"/>
      </w:rPr>
    </w:lvl>
    <w:lvl w:ilvl="1" w:tplc="A7921E0C">
      <w:start w:val="1"/>
      <w:numFmt w:val="bullet"/>
      <w:lvlText w:val="o"/>
      <w:lvlJc w:val="left"/>
      <w:pPr>
        <w:ind w:left="1440" w:hanging="360"/>
      </w:pPr>
      <w:rPr>
        <w:rFonts w:ascii="Courier New" w:hAnsi="Courier New" w:hint="default"/>
      </w:rPr>
    </w:lvl>
    <w:lvl w:ilvl="2" w:tplc="0D34C798">
      <w:start w:val="1"/>
      <w:numFmt w:val="bullet"/>
      <w:lvlText w:val=""/>
      <w:lvlJc w:val="left"/>
      <w:pPr>
        <w:ind w:left="2160" w:hanging="360"/>
      </w:pPr>
      <w:rPr>
        <w:rFonts w:ascii="Wingdings" w:hAnsi="Wingdings" w:hint="default"/>
      </w:rPr>
    </w:lvl>
    <w:lvl w:ilvl="3" w:tplc="C1349F4E">
      <w:start w:val="1"/>
      <w:numFmt w:val="bullet"/>
      <w:lvlText w:val=""/>
      <w:lvlJc w:val="left"/>
      <w:pPr>
        <w:ind w:left="2880" w:hanging="360"/>
      </w:pPr>
      <w:rPr>
        <w:rFonts w:ascii="Symbol" w:hAnsi="Symbol" w:hint="default"/>
      </w:rPr>
    </w:lvl>
    <w:lvl w:ilvl="4" w:tplc="E33AB57E">
      <w:start w:val="1"/>
      <w:numFmt w:val="bullet"/>
      <w:lvlText w:val="o"/>
      <w:lvlJc w:val="left"/>
      <w:pPr>
        <w:ind w:left="3600" w:hanging="360"/>
      </w:pPr>
      <w:rPr>
        <w:rFonts w:ascii="Courier New" w:hAnsi="Courier New" w:hint="default"/>
      </w:rPr>
    </w:lvl>
    <w:lvl w:ilvl="5" w:tplc="528E7B90">
      <w:start w:val="1"/>
      <w:numFmt w:val="bullet"/>
      <w:lvlText w:val=""/>
      <w:lvlJc w:val="left"/>
      <w:pPr>
        <w:ind w:left="4320" w:hanging="360"/>
      </w:pPr>
      <w:rPr>
        <w:rFonts w:ascii="Wingdings" w:hAnsi="Wingdings" w:hint="default"/>
      </w:rPr>
    </w:lvl>
    <w:lvl w:ilvl="6" w:tplc="B83A0946">
      <w:start w:val="1"/>
      <w:numFmt w:val="bullet"/>
      <w:lvlText w:val=""/>
      <w:lvlJc w:val="left"/>
      <w:pPr>
        <w:ind w:left="5040" w:hanging="360"/>
      </w:pPr>
      <w:rPr>
        <w:rFonts w:ascii="Symbol" w:hAnsi="Symbol" w:hint="default"/>
      </w:rPr>
    </w:lvl>
    <w:lvl w:ilvl="7" w:tplc="1A8E3542">
      <w:start w:val="1"/>
      <w:numFmt w:val="bullet"/>
      <w:lvlText w:val="o"/>
      <w:lvlJc w:val="left"/>
      <w:pPr>
        <w:ind w:left="5760" w:hanging="360"/>
      </w:pPr>
      <w:rPr>
        <w:rFonts w:ascii="Courier New" w:hAnsi="Courier New" w:hint="default"/>
      </w:rPr>
    </w:lvl>
    <w:lvl w:ilvl="8" w:tplc="88328E26">
      <w:start w:val="1"/>
      <w:numFmt w:val="bullet"/>
      <w:lvlText w:val=""/>
      <w:lvlJc w:val="left"/>
      <w:pPr>
        <w:ind w:left="6480" w:hanging="360"/>
      </w:pPr>
      <w:rPr>
        <w:rFonts w:ascii="Wingdings" w:hAnsi="Wingdings" w:hint="default"/>
      </w:rPr>
    </w:lvl>
  </w:abstractNum>
  <w:abstractNum w:abstractNumId="14" w15:restartNumberingAfterBreak="0">
    <w:nsid w:val="222937DD"/>
    <w:multiLevelType w:val="hybridMultilevel"/>
    <w:tmpl w:val="B8F63AC2"/>
    <w:lvl w:ilvl="0" w:tplc="D14830AA">
      <w:start w:val="70"/>
      <w:numFmt w:val="bullet"/>
      <w:pStyle w:val="Bullet2"/>
      <w:lvlText w:val="-"/>
      <w:lvlJc w:val="left"/>
      <w:pPr>
        <w:ind w:left="3188" w:hanging="360"/>
      </w:pPr>
      <w:rPr>
        <w:rFonts w:ascii="Calibri" w:eastAsia="Times New Roman" w:hAnsi="Calibri" w:hint="default"/>
      </w:rPr>
    </w:lvl>
    <w:lvl w:ilvl="1" w:tplc="04090003" w:tentative="1">
      <w:start w:val="1"/>
      <w:numFmt w:val="bullet"/>
      <w:lvlText w:val="o"/>
      <w:lvlJc w:val="left"/>
      <w:pPr>
        <w:ind w:left="3908" w:hanging="360"/>
      </w:pPr>
      <w:rPr>
        <w:rFonts w:ascii="Courier New" w:hAnsi="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15" w15:restartNumberingAfterBreak="0">
    <w:nsid w:val="24D957AF"/>
    <w:multiLevelType w:val="hybridMultilevel"/>
    <w:tmpl w:val="3BEADEDC"/>
    <w:lvl w:ilvl="0" w:tplc="23DC0D52">
      <w:start w:val="1"/>
      <w:numFmt w:val="bullet"/>
      <w:lvlText w:val=""/>
      <w:lvlJc w:val="left"/>
      <w:pPr>
        <w:ind w:left="720" w:hanging="360"/>
      </w:pPr>
      <w:rPr>
        <w:rFonts w:ascii="Symbol" w:hAnsi="Symbol" w:hint="default"/>
      </w:rPr>
    </w:lvl>
    <w:lvl w:ilvl="1" w:tplc="7CD6BF48">
      <w:start w:val="1"/>
      <w:numFmt w:val="bullet"/>
      <w:lvlText w:val="o"/>
      <w:lvlJc w:val="left"/>
      <w:pPr>
        <w:ind w:left="1440" w:hanging="360"/>
      </w:pPr>
      <w:rPr>
        <w:rFonts w:ascii="Courier New" w:hAnsi="Courier New" w:hint="default"/>
      </w:rPr>
    </w:lvl>
    <w:lvl w:ilvl="2" w:tplc="A3AC824E">
      <w:start w:val="1"/>
      <w:numFmt w:val="bullet"/>
      <w:lvlText w:val=""/>
      <w:lvlJc w:val="left"/>
      <w:pPr>
        <w:ind w:left="2160" w:hanging="360"/>
      </w:pPr>
      <w:rPr>
        <w:rFonts w:ascii="Wingdings" w:hAnsi="Wingdings" w:hint="default"/>
      </w:rPr>
    </w:lvl>
    <w:lvl w:ilvl="3" w:tplc="8ABCB1E0">
      <w:start w:val="1"/>
      <w:numFmt w:val="bullet"/>
      <w:lvlText w:val=""/>
      <w:lvlJc w:val="left"/>
      <w:pPr>
        <w:ind w:left="2880" w:hanging="360"/>
      </w:pPr>
      <w:rPr>
        <w:rFonts w:ascii="Symbol" w:hAnsi="Symbol" w:hint="default"/>
      </w:rPr>
    </w:lvl>
    <w:lvl w:ilvl="4" w:tplc="5394AB70">
      <w:start w:val="1"/>
      <w:numFmt w:val="bullet"/>
      <w:lvlText w:val="o"/>
      <w:lvlJc w:val="left"/>
      <w:pPr>
        <w:ind w:left="3600" w:hanging="360"/>
      </w:pPr>
      <w:rPr>
        <w:rFonts w:ascii="Courier New" w:hAnsi="Courier New" w:hint="default"/>
      </w:rPr>
    </w:lvl>
    <w:lvl w:ilvl="5" w:tplc="622453EC">
      <w:start w:val="1"/>
      <w:numFmt w:val="bullet"/>
      <w:lvlText w:val=""/>
      <w:lvlJc w:val="left"/>
      <w:pPr>
        <w:ind w:left="4320" w:hanging="360"/>
      </w:pPr>
      <w:rPr>
        <w:rFonts w:ascii="Wingdings" w:hAnsi="Wingdings" w:hint="default"/>
      </w:rPr>
    </w:lvl>
    <w:lvl w:ilvl="6" w:tplc="F938690A">
      <w:start w:val="1"/>
      <w:numFmt w:val="bullet"/>
      <w:lvlText w:val=""/>
      <w:lvlJc w:val="left"/>
      <w:pPr>
        <w:ind w:left="5040" w:hanging="360"/>
      </w:pPr>
      <w:rPr>
        <w:rFonts w:ascii="Symbol" w:hAnsi="Symbol" w:hint="default"/>
      </w:rPr>
    </w:lvl>
    <w:lvl w:ilvl="7" w:tplc="1FC2CC7C">
      <w:start w:val="1"/>
      <w:numFmt w:val="bullet"/>
      <w:lvlText w:val="o"/>
      <w:lvlJc w:val="left"/>
      <w:pPr>
        <w:ind w:left="5760" w:hanging="360"/>
      </w:pPr>
      <w:rPr>
        <w:rFonts w:ascii="Courier New" w:hAnsi="Courier New" w:hint="default"/>
      </w:rPr>
    </w:lvl>
    <w:lvl w:ilvl="8" w:tplc="32A43E22">
      <w:start w:val="1"/>
      <w:numFmt w:val="bullet"/>
      <w:lvlText w:val=""/>
      <w:lvlJc w:val="left"/>
      <w:pPr>
        <w:ind w:left="6480" w:hanging="360"/>
      </w:pPr>
      <w:rPr>
        <w:rFonts w:ascii="Wingdings" w:hAnsi="Wingdings" w:hint="default"/>
      </w:rPr>
    </w:lvl>
  </w:abstractNum>
  <w:abstractNum w:abstractNumId="16" w15:restartNumberingAfterBreak="0">
    <w:nsid w:val="297535BF"/>
    <w:multiLevelType w:val="hybridMultilevel"/>
    <w:tmpl w:val="776E37F4"/>
    <w:lvl w:ilvl="0" w:tplc="57E680A4">
      <w:start w:val="1"/>
      <w:numFmt w:val="decimal"/>
      <w:lvlText w:val="%1."/>
      <w:lvlJc w:val="left"/>
      <w:pPr>
        <w:ind w:left="720" w:hanging="360"/>
      </w:pPr>
      <w:rPr>
        <w:rFonts w:ascii="Calibri" w:eastAsia="Calibri" w:hAnsi="Calibri" w:cs="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BAC3020"/>
    <w:multiLevelType w:val="hybridMultilevel"/>
    <w:tmpl w:val="16AE5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46837FF"/>
    <w:multiLevelType w:val="hybridMultilevel"/>
    <w:tmpl w:val="BBF43640"/>
    <w:lvl w:ilvl="0" w:tplc="859071D0">
      <w:start w:val="1"/>
      <w:numFmt w:val="bullet"/>
      <w:lvlText w:val=""/>
      <w:lvlJc w:val="left"/>
      <w:pPr>
        <w:ind w:left="720" w:hanging="360"/>
      </w:pPr>
      <w:rPr>
        <w:rFonts w:ascii="Symbol" w:hAnsi="Symbol" w:hint="default"/>
      </w:rPr>
    </w:lvl>
    <w:lvl w:ilvl="1" w:tplc="9B26B01A">
      <w:start w:val="1"/>
      <w:numFmt w:val="bullet"/>
      <w:lvlText w:val="o"/>
      <w:lvlJc w:val="left"/>
      <w:pPr>
        <w:ind w:left="1440" w:hanging="360"/>
      </w:pPr>
      <w:rPr>
        <w:rFonts w:ascii="Courier New" w:hAnsi="Courier New" w:hint="default"/>
      </w:rPr>
    </w:lvl>
    <w:lvl w:ilvl="2" w:tplc="7A547EEC">
      <w:start w:val="1"/>
      <w:numFmt w:val="bullet"/>
      <w:lvlText w:val=""/>
      <w:lvlJc w:val="left"/>
      <w:pPr>
        <w:ind w:left="2160" w:hanging="360"/>
      </w:pPr>
      <w:rPr>
        <w:rFonts w:ascii="Wingdings" w:hAnsi="Wingdings" w:hint="default"/>
      </w:rPr>
    </w:lvl>
    <w:lvl w:ilvl="3" w:tplc="A350AC92">
      <w:start w:val="1"/>
      <w:numFmt w:val="bullet"/>
      <w:lvlText w:val=""/>
      <w:lvlJc w:val="left"/>
      <w:pPr>
        <w:ind w:left="2880" w:hanging="360"/>
      </w:pPr>
      <w:rPr>
        <w:rFonts w:ascii="Symbol" w:hAnsi="Symbol" w:hint="default"/>
      </w:rPr>
    </w:lvl>
    <w:lvl w:ilvl="4" w:tplc="E078D7BC">
      <w:start w:val="1"/>
      <w:numFmt w:val="bullet"/>
      <w:lvlText w:val="o"/>
      <w:lvlJc w:val="left"/>
      <w:pPr>
        <w:ind w:left="3600" w:hanging="360"/>
      </w:pPr>
      <w:rPr>
        <w:rFonts w:ascii="Courier New" w:hAnsi="Courier New" w:hint="default"/>
      </w:rPr>
    </w:lvl>
    <w:lvl w:ilvl="5" w:tplc="0476948E">
      <w:start w:val="1"/>
      <w:numFmt w:val="bullet"/>
      <w:lvlText w:val=""/>
      <w:lvlJc w:val="left"/>
      <w:pPr>
        <w:ind w:left="4320" w:hanging="360"/>
      </w:pPr>
      <w:rPr>
        <w:rFonts w:ascii="Wingdings" w:hAnsi="Wingdings" w:hint="default"/>
      </w:rPr>
    </w:lvl>
    <w:lvl w:ilvl="6" w:tplc="B5F4010A">
      <w:start w:val="1"/>
      <w:numFmt w:val="bullet"/>
      <w:lvlText w:val=""/>
      <w:lvlJc w:val="left"/>
      <w:pPr>
        <w:ind w:left="5040" w:hanging="360"/>
      </w:pPr>
      <w:rPr>
        <w:rFonts w:ascii="Symbol" w:hAnsi="Symbol" w:hint="default"/>
      </w:rPr>
    </w:lvl>
    <w:lvl w:ilvl="7" w:tplc="196483A2">
      <w:start w:val="1"/>
      <w:numFmt w:val="bullet"/>
      <w:lvlText w:val="o"/>
      <w:lvlJc w:val="left"/>
      <w:pPr>
        <w:ind w:left="5760" w:hanging="360"/>
      </w:pPr>
      <w:rPr>
        <w:rFonts w:ascii="Courier New" w:hAnsi="Courier New" w:hint="default"/>
      </w:rPr>
    </w:lvl>
    <w:lvl w:ilvl="8" w:tplc="5DA2ADEE">
      <w:start w:val="1"/>
      <w:numFmt w:val="bullet"/>
      <w:lvlText w:val=""/>
      <w:lvlJc w:val="left"/>
      <w:pPr>
        <w:ind w:left="6480" w:hanging="360"/>
      </w:pPr>
      <w:rPr>
        <w:rFonts w:ascii="Wingdings" w:hAnsi="Wingdings" w:hint="default"/>
      </w:rPr>
    </w:lvl>
  </w:abstractNum>
  <w:abstractNum w:abstractNumId="19" w15:restartNumberingAfterBreak="0">
    <w:nsid w:val="361B778F"/>
    <w:multiLevelType w:val="hybridMultilevel"/>
    <w:tmpl w:val="5F781C60"/>
    <w:lvl w:ilvl="0" w:tplc="D8B648D4">
      <w:start w:val="70"/>
      <w:numFmt w:val="bullet"/>
      <w:pStyle w:val="Bulletprincip"/>
      <w:lvlText w:val="-"/>
      <w:lvlJc w:val="left"/>
      <w:pPr>
        <w:ind w:left="360" w:hanging="360"/>
      </w:pPr>
      <w:rPr>
        <w:rFonts w:ascii="Calibri" w:eastAsia="Times New Roman" w:hAnsi="Calibri" w:hint="default"/>
        <w:color w:val="1F497D"/>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FA559F"/>
    <w:multiLevelType w:val="hybridMultilevel"/>
    <w:tmpl w:val="1E8C32E2"/>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1" w15:restartNumberingAfterBreak="0">
    <w:nsid w:val="39750951"/>
    <w:multiLevelType w:val="hybridMultilevel"/>
    <w:tmpl w:val="1FE4B372"/>
    <w:lvl w:ilvl="0" w:tplc="0409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2" w15:restartNumberingAfterBreak="0">
    <w:nsid w:val="3BE75DA3"/>
    <w:multiLevelType w:val="hybridMultilevel"/>
    <w:tmpl w:val="E410C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D326753"/>
    <w:multiLevelType w:val="hybridMultilevel"/>
    <w:tmpl w:val="32F2E2F4"/>
    <w:lvl w:ilvl="0" w:tplc="0409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4" w15:restartNumberingAfterBreak="0">
    <w:nsid w:val="3D785814"/>
    <w:multiLevelType w:val="hybridMultilevel"/>
    <w:tmpl w:val="A54AA6EC"/>
    <w:lvl w:ilvl="0" w:tplc="FFFFFFFF">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15:restartNumberingAfterBreak="0">
    <w:nsid w:val="3E0170E7"/>
    <w:multiLevelType w:val="hybridMultilevel"/>
    <w:tmpl w:val="2DA8E2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0BC3804"/>
    <w:multiLevelType w:val="hybridMultilevel"/>
    <w:tmpl w:val="8AAE9E8C"/>
    <w:lvl w:ilvl="0" w:tplc="FFFFFFFF">
      <w:start w:val="1"/>
      <w:numFmt w:val="bullet"/>
      <w:pStyle w:val="Odsekzoznamu"/>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7" w15:restartNumberingAfterBreak="0">
    <w:nsid w:val="41C42EDB"/>
    <w:multiLevelType w:val="hybridMultilevel"/>
    <w:tmpl w:val="698232FC"/>
    <w:lvl w:ilvl="0" w:tplc="3926BF66">
      <w:start w:val="1"/>
      <w:numFmt w:val="bullet"/>
      <w:lvlText w:val="·"/>
      <w:lvlJc w:val="left"/>
      <w:pPr>
        <w:ind w:left="720" w:hanging="360"/>
      </w:pPr>
      <w:rPr>
        <w:rFonts w:ascii="Symbol" w:hAnsi="Symbol" w:hint="default"/>
      </w:rPr>
    </w:lvl>
    <w:lvl w:ilvl="1" w:tplc="6090ED88">
      <w:start w:val="1"/>
      <w:numFmt w:val="bullet"/>
      <w:lvlText w:val="o"/>
      <w:lvlJc w:val="left"/>
      <w:pPr>
        <w:ind w:left="1440" w:hanging="360"/>
      </w:pPr>
      <w:rPr>
        <w:rFonts w:ascii="Courier New" w:hAnsi="Courier New" w:hint="default"/>
      </w:rPr>
    </w:lvl>
    <w:lvl w:ilvl="2" w:tplc="FD1E3690">
      <w:start w:val="1"/>
      <w:numFmt w:val="bullet"/>
      <w:lvlText w:val=""/>
      <w:lvlJc w:val="left"/>
      <w:pPr>
        <w:ind w:left="2160" w:hanging="360"/>
      </w:pPr>
      <w:rPr>
        <w:rFonts w:ascii="Wingdings" w:hAnsi="Wingdings" w:hint="default"/>
      </w:rPr>
    </w:lvl>
    <w:lvl w:ilvl="3" w:tplc="810C0B60">
      <w:start w:val="1"/>
      <w:numFmt w:val="bullet"/>
      <w:lvlText w:val=""/>
      <w:lvlJc w:val="left"/>
      <w:pPr>
        <w:ind w:left="2880" w:hanging="360"/>
      </w:pPr>
      <w:rPr>
        <w:rFonts w:ascii="Symbol" w:hAnsi="Symbol" w:hint="default"/>
      </w:rPr>
    </w:lvl>
    <w:lvl w:ilvl="4" w:tplc="D63E9FDA">
      <w:start w:val="1"/>
      <w:numFmt w:val="bullet"/>
      <w:lvlText w:val="o"/>
      <w:lvlJc w:val="left"/>
      <w:pPr>
        <w:ind w:left="3600" w:hanging="360"/>
      </w:pPr>
      <w:rPr>
        <w:rFonts w:ascii="Courier New" w:hAnsi="Courier New" w:hint="default"/>
      </w:rPr>
    </w:lvl>
    <w:lvl w:ilvl="5" w:tplc="03A88062">
      <w:start w:val="1"/>
      <w:numFmt w:val="bullet"/>
      <w:lvlText w:val=""/>
      <w:lvlJc w:val="left"/>
      <w:pPr>
        <w:ind w:left="4320" w:hanging="360"/>
      </w:pPr>
      <w:rPr>
        <w:rFonts w:ascii="Wingdings" w:hAnsi="Wingdings" w:hint="default"/>
      </w:rPr>
    </w:lvl>
    <w:lvl w:ilvl="6" w:tplc="D6BA3F00">
      <w:start w:val="1"/>
      <w:numFmt w:val="bullet"/>
      <w:lvlText w:val=""/>
      <w:lvlJc w:val="left"/>
      <w:pPr>
        <w:ind w:left="5040" w:hanging="360"/>
      </w:pPr>
      <w:rPr>
        <w:rFonts w:ascii="Symbol" w:hAnsi="Symbol" w:hint="default"/>
      </w:rPr>
    </w:lvl>
    <w:lvl w:ilvl="7" w:tplc="44606CE4">
      <w:start w:val="1"/>
      <w:numFmt w:val="bullet"/>
      <w:lvlText w:val="o"/>
      <w:lvlJc w:val="left"/>
      <w:pPr>
        <w:ind w:left="5760" w:hanging="360"/>
      </w:pPr>
      <w:rPr>
        <w:rFonts w:ascii="Courier New" w:hAnsi="Courier New" w:hint="default"/>
      </w:rPr>
    </w:lvl>
    <w:lvl w:ilvl="8" w:tplc="CB7AB07A">
      <w:start w:val="1"/>
      <w:numFmt w:val="bullet"/>
      <w:lvlText w:val=""/>
      <w:lvlJc w:val="left"/>
      <w:pPr>
        <w:ind w:left="6480" w:hanging="360"/>
      </w:pPr>
      <w:rPr>
        <w:rFonts w:ascii="Wingdings" w:hAnsi="Wingdings" w:hint="default"/>
      </w:rPr>
    </w:lvl>
  </w:abstractNum>
  <w:abstractNum w:abstractNumId="28" w15:restartNumberingAfterBreak="0">
    <w:nsid w:val="4C7E52AE"/>
    <w:multiLevelType w:val="hybridMultilevel"/>
    <w:tmpl w:val="25DA87BA"/>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29" w15:restartNumberingAfterBreak="0">
    <w:nsid w:val="4C8D7DD2"/>
    <w:multiLevelType w:val="hybridMultilevel"/>
    <w:tmpl w:val="322084DC"/>
    <w:lvl w:ilvl="0" w:tplc="041B0001">
      <w:start w:val="1"/>
      <w:numFmt w:val="bullet"/>
      <w:lvlText w:val=""/>
      <w:lvlJc w:val="left"/>
      <w:pPr>
        <w:ind w:left="720" w:hanging="360"/>
      </w:pPr>
      <w:rPr>
        <w:rFonts w:ascii="Symbol" w:hAnsi="Symbol"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30" w15:restartNumberingAfterBreak="0">
    <w:nsid w:val="4CAB085C"/>
    <w:multiLevelType w:val="hybridMultilevel"/>
    <w:tmpl w:val="C8C6D1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1684D6E"/>
    <w:multiLevelType w:val="hybridMultilevel"/>
    <w:tmpl w:val="D9820B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6165C68"/>
    <w:multiLevelType w:val="hybridMultilevel"/>
    <w:tmpl w:val="9C3E6EE0"/>
    <w:lvl w:ilvl="0" w:tplc="14D23BDC">
      <w:start w:val="1"/>
      <w:numFmt w:val="bullet"/>
      <w:lvlText w:val="·"/>
      <w:lvlJc w:val="left"/>
      <w:pPr>
        <w:ind w:left="720" w:hanging="360"/>
      </w:pPr>
      <w:rPr>
        <w:rFonts w:ascii="Symbol" w:hAnsi="Symbol" w:hint="default"/>
      </w:rPr>
    </w:lvl>
    <w:lvl w:ilvl="1" w:tplc="D34A7130">
      <w:start w:val="1"/>
      <w:numFmt w:val="bullet"/>
      <w:lvlText w:val="o"/>
      <w:lvlJc w:val="left"/>
      <w:pPr>
        <w:ind w:left="1440" w:hanging="360"/>
      </w:pPr>
      <w:rPr>
        <w:rFonts w:ascii="Courier New" w:hAnsi="Courier New" w:hint="default"/>
      </w:rPr>
    </w:lvl>
    <w:lvl w:ilvl="2" w:tplc="CD5CCA22">
      <w:start w:val="1"/>
      <w:numFmt w:val="bullet"/>
      <w:lvlText w:val=""/>
      <w:lvlJc w:val="left"/>
      <w:pPr>
        <w:ind w:left="2160" w:hanging="360"/>
      </w:pPr>
      <w:rPr>
        <w:rFonts w:ascii="Wingdings" w:hAnsi="Wingdings" w:hint="default"/>
      </w:rPr>
    </w:lvl>
    <w:lvl w:ilvl="3" w:tplc="EEAE2FC4">
      <w:start w:val="1"/>
      <w:numFmt w:val="bullet"/>
      <w:lvlText w:val=""/>
      <w:lvlJc w:val="left"/>
      <w:pPr>
        <w:ind w:left="2880" w:hanging="360"/>
      </w:pPr>
      <w:rPr>
        <w:rFonts w:ascii="Symbol" w:hAnsi="Symbol" w:hint="default"/>
      </w:rPr>
    </w:lvl>
    <w:lvl w:ilvl="4" w:tplc="00F29820">
      <w:start w:val="1"/>
      <w:numFmt w:val="bullet"/>
      <w:lvlText w:val="o"/>
      <w:lvlJc w:val="left"/>
      <w:pPr>
        <w:ind w:left="3600" w:hanging="360"/>
      </w:pPr>
      <w:rPr>
        <w:rFonts w:ascii="Courier New" w:hAnsi="Courier New" w:hint="default"/>
      </w:rPr>
    </w:lvl>
    <w:lvl w:ilvl="5" w:tplc="89B6771E">
      <w:start w:val="1"/>
      <w:numFmt w:val="bullet"/>
      <w:lvlText w:val=""/>
      <w:lvlJc w:val="left"/>
      <w:pPr>
        <w:ind w:left="4320" w:hanging="360"/>
      </w:pPr>
      <w:rPr>
        <w:rFonts w:ascii="Wingdings" w:hAnsi="Wingdings" w:hint="default"/>
      </w:rPr>
    </w:lvl>
    <w:lvl w:ilvl="6" w:tplc="2618B052">
      <w:start w:val="1"/>
      <w:numFmt w:val="bullet"/>
      <w:lvlText w:val=""/>
      <w:lvlJc w:val="left"/>
      <w:pPr>
        <w:ind w:left="5040" w:hanging="360"/>
      </w:pPr>
      <w:rPr>
        <w:rFonts w:ascii="Symbol" w:hAnsi="Symbol" w:hint="default"/>
      </w:rPr>
    </w:lvl>
    <w:lvl w:ilvl="7" w:tplc="E38AB584">
      <w:start w:val="1"/>
      <w:numFmt w:val="bullet"/>
      <w:lvlText w:val="o"/>
      <w:lvlJc w:val="left"/>
      <w:pPr>
        <w:ind w:left="5760" w:hanging="360"/>
      </w:pPr>
      <w:rPr>
        <w:rFonts w:ascii="Courier New" w:hAnsi="Courier New" w:hint="default"/>
      </w:rPr>
    </w:lvl>
    <w:lvl w:ilvl="8" w:tplc="35D45626">
      <w:start w:val="1"/>
      <w:numFmt w:val="bullet"/>
      <w:lvlText w:val=""/>
      <w:lvlJc w:val="left"/>
      <w:pPr>
        <w:ind w:left="6480" w:hanging="360"/>
      </w:pPr>
      <w:rPr>
        <w:rFonts w:ascii="Wingdings" w:hAnsi="Wingdings" w:hint="default"/>
      </w:rPr>
    </w:lvl>
  </w:abstractNum>
  <w:abstractNum w:abstractNumId="33" w15:restartNumberingAfterBreak="0">
    <w:nsid w:val="587C5211"/>
    <w:multiLevelType w:val="hybridMultilevel"/>
    <w:tmpl w:val="46D24D34"/>
    <w:lvl w:ilvl="0" w:tplc="041B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34" w15:restartNumberingAfterBreak="0">
    <w:nsid w:val="5D63711C"/>
    <w:multiLevelType w:val="hybridMultilevel"/>
    <w:tmpl w:val="2460D5C8"/>
    <w:lvl w:ilvl="0" w:tplc="0220CB7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E4661E8"/>
    <w:multiLevelType w:val="hybridMultilevel"/>
    <w:tmpl w:val="E9E6B064"/>
    <w:lvl w:ilvl="0" w:tplc="A7D0603A">
      <w:start w:val="1"/>
      <w:numFmt w:val="bullet"/>
      <w:pStyle w:val="Bullet20"/>
      <w:lvlText w:val="-"/>
      <w:lvlJc w:val="left"/>
      <w:pPr>
        <w:ind w:left="360" w:hanging="360"/>
      </w:pPr>
      <w:rPr>
        <w:rFonts w:ascii="Courier New" w:hAnsi="Courier New" w:hint="default"/>
        <w:color w:val="auto"/>
      </w:rPr>
    </w:lvl>
    <w:lvl w:ilvl="1" w:tplc="8264BFE0">
      <w:start w:val="2"/>
      <w:numFmt w:val="bullet"/>
      <w:lvlText w:val="-"/>
      <w:lvlJc w:val="left"/>
      <w:pPr>
        <w:ind w:left="1080" w:hanging="360"/>
      </w:pPr>
      <w:rPr>
        <w:rFonts w:ascii="Arial" w:eastAsia="Times New Roman" w:hAnsi="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66093A1D"/>
    <w:multiLevelType w:val="hybridMultilevel"/>
    <w:tmpl w:val="37B21E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8DD287E"/>
    <w:multiLevelType w:val="hybridMultilevel"/>
    <w:tmpl w:val="6798C802"/>
    <w:lvl w:ilvl="0" w:tplc="A6D818D6">
      <w:start w:val="1"/>
      <w:numFmt w:val="bullet"/>
      <w:lvlText w:val="·"/>
      <w:lvlJc w:val="left"/>
      <w:pPr>
        <w:ind w:left="720" w:hanging="360"/>
      </w:pPr>
      <w:rPr>
        <w:rFonts w:ascii="Symbol" w:hAnsi="Symbol" w:hint="default"/>
      </w:rPr>
    </w:lvl>
    <w:lvl w:ilvl="1" w:tplc="4824043C">
      <w:start w:val="1"/>
      <w:numFmt w:val="bullet"/>
      <w:lvlText w:val="o"/>
      <w:lvlJc w:val="left"/>
      <w:pPr>
        <w:ind w:left="1440" w:hanging="360"/>
      </w:pPr>
      <w:rPr>
        <w:rFonts w:ascii="Courier New" w:hAnsi="Courier New" w:hint="default"/>
      </w:rPr>
    </w:lvl>
    <w:lvl w:ilvl="2" w:tplc="D1380980">
      <w:start w:val="1"/>
      <w:numFmt w:val="bullet"/>
      <w:lvlText w:val=""/>
      <w:lvlJc w:val="left"/>
      <w:pPr>
        <w:ind w:left="2160" w:hanging="360"/>
      </w:pPr>
      <w:rPr>
        <w:rFonts w:ascii="Wingdings" w:hAnsi="Wingdings" w:hint="default"/>
      </w:rPr>
    </w:lvl>
    <w:lvl w:ilvl="3" w:tplc="C8201C92">
      <w:start w:val="1"/>
      <w:numFmt w:val="bullet"/>
      <w:lvlText w:val=""/>
      <w:lvlJc w:val="left"/>
      <w:pPr>
        <w:ind w:left="2880" w:hanging="360"/>
      </w:pPr>
      <w:rPr>
        <w:rFonts w:ascii="Symbol" w:hAnsi="Symbol" w:hint="default"/>
      </w:rPr>
    </w:lvl>
    <w:lvl w:ilvl="4" w:tplc="64F20558">
      <w:start w:val="1"/>
      <w:numFmt w:val="bullet"/>
      <w:lvlText w:val="o"/>
      <w:lvlJc w:val="left"/>
      <w:pPr>
        <w:ind w:left="3600" w:hanging="360"/>
      </w:pPr>
      <w:rPr>
        <w:rFonts w:ascii="Courier New" w:hAnsi="Courier New" w:hint="default"/>
      </w:rPr>
    </w:lvl>
    <w:lvl w:ilvl="5" w:tplc="65FA9BF8">
      <w:start w:val="1"/>
      <w:numFmt w:val="bullet"/>
      <w:lvlText w:val=""/>
      <w:lvlJc w:val="left"/>
      <w:pPr>
        <w:ind w:left="4320" w:hanging="360"/>
      </w:pPr>
      <w:rPr>
        <w:rFonts w:ascii="Wingdings" w:hAnsi="Wingdings" w:hint="default"/>
      </w:rPr>
    </w:lvl>
    <w:lvl w:ilvl="6" w:tplc="E62231C4">
      <w:start w:val="1"/>
      <w:numFmt w:val="bullet"/>
      <w:lvlText w:val=""/>
      <w:lvlJc w:val="left"/>
      <w:pPr>
        <w:ind w:left="5040" w:hanging="360"/>
      </w:pPr>
      <w:rPr>
        <w:rFonts w:ascii="Symbol" w:hAnsi="Symbol" w:hint="default"/>
      </w:rPr>
    </w:lvl>
    <w:lvl w:ilvl="7" w:tplc="75129F18">
      <w:start w:val="1"/>
      <w:numFmt w:val="bullet"/>
      <w:lvlText w:val="o"/>
      <w:lvlJc w:val="left"/>
      <w:pPr>
        <w:ind w:left="5760" w:hanging="360"/>
      </w:pPr>
      <w:rPr>
        <w:rFonts w:ascii="Courier New" w:hAnsi="Courier New" w:hint="default"/>
      </w:rPr>
    </w:lvl>
    <w:lvl w:ilvl="8" w:tplc="E3DE6EF6">
      <w:start w:val="1"/>
      <w:numFmt w:val="bullet"/>
      <w:lvlText w:val=""/>
      <w:lvlJc w:val="left"/>
      <w:pPr>
        <w:ind w:left="6480" w:hanging="360"/>
      </w:pPr>
      <w:rPr>
        <w:rFonts w:ascii="Wingdings" w:hAnsi="Wingdings" w:hint="default"/>
      </w:rPr>
    </w:lvl>
  </w:abstractNum>
  <w:abstractNum w:abstractNumId="38" w15:restartNumberingAfterBreak="0">
    <w:nsid w:val="70FE0370"/>
    <w:multiLevelType w:val="hybridMultilevel"/>
    <w:tmpl w:val="FD58A0C4"/>
    <w:lvl w:ilvl="0" w:tplc="0409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abstractNum w:abstractNumId="39" w15:restartNumberingAfterBreak="0">
    <w:nsid w:val="775C458B"/>
    <w:multiLevelType w:val="hybridMultilevel"/>
    <w:tmpl w:val="B85E6D94"/>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EE31E9F"/>
    <w:multiLevelType w:val="hybridMultilevel"/>
    <w:tmpl w:val="EA2EA000"/>
    <w:lvl w:ilvl="0" w:tplc="0409000F">
      <w:start w:val="1"/>
      <w:numFmt w:val="decimal"/>
      <w:lvlText w:val="%1."/>
      <w:lvlJc w:val="left"/>
      <w:pPr>
        <w:ind w:left="720" w:hanging="360"/>
      </w:pPr>
      <w:rPr>
        <w:rFonts w:hint="default"/>
      </w:rPr>
    </w:lvl>
    <w:lvl w:ilvl="1" w:tplc="DC706F62">
      <w:start w:val="1"/>
      <w:numFmt w:val="bullet"/>
      <w:lvlText w:val="o"/>
      <w:lvlJc w:val="left"/>
      <w:pPr>
        <w:ind w:left="1440" w:hanging="360"/>
      </w:pPr>
      <w:rPr>
        <w:rFonts w:ascii="Courier New" w:hAnsi="Courier New" w:hint="default"/>
      </w:rPr>
    </w:lvl>
    <w:lvl w:ilvl="2" w:tplc="60AE88F2">
      <w:start w:val="1"/>
      <w:numFmt w:val="bullet"/>
      <w:lvlText w:val=""/>
      <w:lvlJc w:val="left"/>
      <w:pPr>
        <w:ind w:left="2160" w:hanging="360"/>
      </w:pPr>
      <w:rPr>
        <w:rFonts w:ascii="Wingdings" w:hAnsi="Wingdings" w:hint="default"/>
      </w:rPr>
    </w:lvl>
    <w:lvl w:ilvl="3" w:tplc="0BB6993A" w:tentative="1">
      <w:start w:val="1"/>
      <w:numFmt w:val="bullet"/>
      <w:lvlText w:val=""/>
      <w:lvlJc w:val="left"/>
      <w:pPr>
        <w:ind w:left="2880" w:hanging="360"/>
      </w:pPr>
      <w:rPr>
        <w:rFonts w:ascii="Symbol" w:hAnsi="Symbol" w:hint="default"/>
      </w:rPr>
    </w:lvl>
    <w:lvl w:ilvl="4" w:tplc="CCC67AD0" w:tentative="1">
      <w:start w:val="1"/>
      <w:numFmt w:val="bullet"/>
      <w:lvlText w:val="o"/>
      <w:lvlJc w:val="left"/>
      <w:pPr>
        <w:ind w:left="3600" w:hanging="360"/>
      </w:pPr>
      <w:rPr>
        <w:rFonts w:ascii="Courier New" w:hAnsi="Courier New" w:hint="default"/>
      </w:rPr>
    </w:lvl>
    <w:lvl w:ilvl="5" w:tplc="10A636E0" w:tentative="1">
      <w:start w:val="1"/>
      <w:numFmt w:val="bullet"/>
      <w:lvlText w:val=""/>
      <w:lvlJc w:val="left"/>
      <w:pPr>
        <w:ind w:left="4320" w:hanging="360"/>
      </w:pPr>
      <w:rPr>
        <w:rFonts w:ascii="Wingdings" w:hAnsi="Wingdings" w:hint="default"/>
      </w:rPr>
    </w:lvl>
    <w:lvl w:ilvl="6" w:tplc="7924F36C" w:tentative="1">
      <w:start w:val="1"/>
      <w:numFmt w:val="bullet"/>
      <w:lvlText w:val=""/>
      <w:lvlJc w:val="left"/>
      <w:pPr>
        <w:ind w:left="5040" w:hanging="360"/>
      </w:pPr>
      <w:rPr>
        <w:rFonts w:ascii="Symbol" w:hAnsi="Symbol" w:hint="default"/>
      </w:rPr>
    </w:lvl>
    <w:lvl w:ilvl="7" w:tplc="FCE441DE" w:tentative="1">
      <w:start w:val="1"/>
      <w:numFmt w:val="bullet"/>
      <w:lvlText w:val="o"/>
      <w:lvlJc w:val="left"/>
      <w:pPr>
        <w:ind w:left="5760" w:hanging="360"/>
      </w:pPr>
      <w:rPr>
        <w:rFonts w:ascii="Courier New" w:hAnsi="Courier New" w:hint="default"/>
      </w:rPr>
    </w:lvl>
    <w:lvl w:ilvl="8" w:tplc="4E94E88E"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32"/>
  </w:num>
  <w:num w:numId="4">
    <w:abstractNumId w:val="27"/>
  </w:num>
  <w:num w:numId="5">
    <w:abstractNumId w:val="37"/>
  </w:num>
  <w:num w:numId="6">
    <w:abstractNumId w:val="13"/>
  </w:num>
  <w:num w:numId="7">
    <w:abstractNumId w:val="8"/>
  </w:num>
  <w:num w:numId="8">
    <w:abstractNumId w:val="1"/>
  </w:num>
  <w:num w:numId="9">
    <w:abstractNumId w:val="0"/>
  </w:num>
  <w:num w:numId="10">
    <w:abstractNumId w:val="6"/>
  </w:num>
  <w:num w:numId="11">
    <w:abstractNumId w:val="35"/>
  </w:num>
  <w:num w:numId="12">
    <w:abstractNumId w:val="14"/>
  </w:num>
  <w:num w:numId="13">
    <w:abstractNumId w:val="19"/>
  </w:num>
  <w:num w:numId="14">
    <w:abstractNumId w:val="31"/>
  </w:num>
  <w:num w:numId="15">
    <w:abstractNumId w:val="26"/>
  </w:num>
  <w:num w:numId="16">
    <w:abstractNumId w:val="30"/>
  </w:num>
  <w:num w:numId="17">
    <w:abstractNumId w:val="9"/>
  </w:num>
  <w:num w:numId="18">
    <w:abstractNumId w:val="12"/>
  </w:num>
  <w:num w:numId="19">
    <w:abstractNumId w:val="36"/>
  </w:num>
  <w:num w:numId="20">
    <w:abstractNumId w:val="22"/>
  </w:num>
  <w:num w:numId="21">
    <w:abstractNumId w:val="11"/>
  </w:num>
  <w:num w:numId="22">
    <w:abstractNumId w:val="25"/>
  </w:num>
  <w:num w:numId="23">
    <w:abstractNumId w:val="5"/>
  </w:num>
  <w:num w:numId="24">
    <w:abstractNumId w:val="24"/>
  </w:num>
  <w:num w:numId="25">
    <w:abstractNumId w:val="21"/>
  </w:num>
  <w:num w:numId="26">
    <w:abstractNumId w:val="28"/>
  </w:num>
  <w:num w:numId="27">
    <w:abstractNumId w:val="3"/>
  </w:num>
  <w:num w:numId="28">
    <w:abstractNumId w:val="38"/>
  </w:num>
  <w:num w:numId="29">
    <w:abstractNumId w:val="23"/>
  </w:num>
  <w:num w:numId="30">
    <w:abstractNumId w:val="40"/>
  </w:num>
  <w:num w:numId="31">
    <w:abstractNumId w:val="33"/>
  </w:num>
  <w:num w:numId="32">
    <w:abstractNumId w:val="18"/>
  </w:num>
  <w:num w:numId="33">
    <w:abstractNumId w:val="39"/>
  </w:num>
  <w:num w:numId="34">
    <w:abstractNumId w:val="20"/>
  </w:num>
  <w:num w:numId="35">
    <w:abstractNumId w:val="10"/>
  </w:num>
  <w:num w:numId="36">
    <w:abstractNumId w:val="2"/>
  </w:num>
  <w:num w:numId="37">
    <w:abstractNumId w:val="4"/>
  </w:num>
  <w:num w:numId="38">
    <w:abstractNumId w:val="17"/>
  </w:num>
  <w:num w:numId="39">
    <w:abstractNumId w:val="29"/>
  </w:num>
  <w:num w:numId="40">
    <w:abstractNumId w:val="16"/>
  </w:num>
  <w:num w:numId="41">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E4"/>
    <w:rsid w:val="00000E18"/>
    <w:rsid w:val="00001C50"/>
    <w:rsid w:val="00001D6C"/>
    <w:rsid w:val="0000296D"/>
    <w:rsid w:val="000055CD"/>
    <w:rsid w:val="00005FC9"/>
    <w:rsid w:val="000103B2"/>
    <w:rsid w:val="0001073D"/>
    <w:rsid w:val="000132C3"/>
    <w:rsid w:val="00013F18"/>
    <w:rsid w:val="00014EC0"/>
    <w:rsid w:val="0001538F"/>
    <w:rsid w:val="00015EE7"/>
    <w:rsid w:val="0001675E"/>
    <w:rsid w:val="00020D52"/>
    <w:rsid w:val="000220FD"/>
    <w:rsid w:val="00022984"/>
    <w:rsid w:val="00022EF1"/>
    <w:rsid w:val="00023309"/>
    <w:rsid w:val="00023F0F"/>
    <w:rsid w:val="00024CD6"/>
    <w:rsid w:val="00026A8E"/>
    <w:rsid w:val="000311E7"/>
    <w:rsid w:val="000312B3"/>
    <w:rsid w:val="00032C35"/>
    <w:rsid w:val="000335F0"/>
    <w:rsid w:val="0003368E"/>
    <w:rsid w:val="000368D9"/>
    <w:rsid w:val="00036B92"/>
    <w:rsid w:val="0003778A"/>
    <w:rsid w:val="00041F66"/>
    <w:rsid w:val="00042DD2"/>
    <w:rsid w:val="0004520A"/>
    <w:rsid w:val="00045751"/>
    <w:rsid w:val="00045D2D"/>
    <w:rsid w:val="000460B6"/>
    <w:rsid w:val="00047DAF"/>
    <w:rsid w:val="00050846"/>
    <w:rsid w:val="0005332F"/>
    <w:rsid w:val="00053BB0"/>
    <w:rsid w:val="000554E2"/>
    <w:rsid w:val="000560A3"/>
    <w:rsid w:val="00056760"/>
    <w:rsid w:val="000572D7"/>
    <w:rsid w:val="00061BCF"/>
    <w:rsid w:val="00063144"/>
    <w:rsid w:val="0006464E"/>
    <w:rsid w:val="000671E5"/>
    <w:rsid w:val="00071570"/>
    <w:rsid w:val="00071672"/>
    <w:rsid w:val="00071FEB"/>
    <w:rsid w:val="000740D8"/>
    <w:rsid w:val="000760B9"/>
    <w:rsid w:val="000778EC"/>
    <w:rsid w:val="0008131D"/>
    <w:rsid w:val="00081611"/>
    <w:rsid w:val="0008370D"/>
    <w:rsid w:val="00083D89"/>
    <w:rsid w:val="00083EAB"/>
    <w:rsid w:val="00084AF6"/>
    <w:rsid w:val="000855DE"/>
    <w:rsid w:val="00085641"/>
    <w:rsid w:val="0008618D"/>
    <w:rsid w:val="00091F5E"/>
    <w:rsid w:val="000930BD"/>
    <w:rsid w:val="00093D36"/>
    <w:rsid w:val="00093D95"/>
    <w:rsid w:val="00094866"/>
    <w:rsid w:val="00095CE4"/>
    <w:rsid w:val="000966FF"/>
    <w:rsid w:val="000971EA"/>
    <w:rsid w:val="00097323"/>
    <w:rsid w:val="000A09D0"/>
    <w:rsid w:val="000A13C5"/>
    <w:rsid w:val="000A5005"/>
    <w:rsid w:val="000A5E4D"/>
    <w:rsid w:val="000A69B4"/>
    <w:rsid w:val="000A7BA4"/>
    <w:rsid w:val="000B078D"/>
    <w:rsid w:val="000B0E7D"/>
    <w:rsid w:val="000B1B94"/>
    <w:rsid w:val="000B3887"/>
    <w:rsid w:val="000B3EC5"/>
    <w:rsid w:val="000B4232"/>
    <w:rsid w:val="000C1CDC"/>
    <w:rsid w:val="000C25D0"/>
    <w:rsid w:val="000C3BCF"/>
    <w:rsid w:val="000C4B04"/>
    <w:rsid w:val="000C56D0"/>
    <w:rsid w:val="000C68D6"/>
    <w:rsid w:val="000D2930"/>
    <w:rsid w:val="000D3378"/>
    <w:rsid w:val="000D4377"/>
    <w:rsid w:val="000D44C7"/>
    <w:rsid w:val="000D67FD"/>
    <w:rsid w:val="000D707C"/>
    <w:rsid w:val="000D7E84"/>
    <w:rsid w:val="000E0498"/>
    <w:rsid w:val="000E070F"/>
    <w:rsid w:val="000E1784"/>
    <w:rsid w:val="000E1F99"/>
    <w:rsid w:val="000E24FC"/>
    <w:rsid w:val="000E3A88"/>
    <w:rsid w:val="000E5062"/>
    <w:rsid w:val="000E7A4A"/>
    <w:rsid w:val="000F0B7F"/>
    <w:rsid w:val="000F3DA9"/>
    <w:rsid w:val="000F3E41"/>
    <w:rsid w:val="000F6022"/>
    <w:rsid w:val="00100B2E"/>
    <w:rsid w:val="00101DEB"/>
    <w:rsid w:val="00102DF3"/>
    <w:rsid w:val="00102F7B"/>
    <w:rsid w:val="00104D5C"/>
    <w:rsid w:val="00105998"/>
    <w:rsid w:val="0011006E"/>
    <w:rsid w:val="00113A48"/>
    <w:rsid w:val="001152E3"/>
    <w:rsid w:val="001201BE"/>
    <w:rsid w:val="001207AE"/>
    <w:rsid w:val="00124CAF"/>
    <w:rsid w:val="001253C6"/>
    <w:rsid w:val="00125975"/>
    <w:rsid w:val="00126033"/>
    <w:rsid w:val="00126E04"/>
    <w:rsid w:val="001275D0"/>
    <w:rsid w:val="00127969"/>
    <w:rsid w:val="00133E84"/>
    <w:rsid w:val="00135AF3"/>
    <w:rsid w:val="001362C4"/>
    <w:rsid w:val="00136CF9"/>
    <w:rsid w:val="00140F33"/>
    <w:rsid w:val="001437DC"/>
    <w:rsid w:val="00143C3E"/>
    <w:rsid w:val="001452E9"/>
    <w:rsid w:val="0014551A"/>
    <w:rsid w:val="001465DC"/>
    <w:rsid w:val="00146CF2"/>
    <w:rsid w:val="00146D34"/>
    <w:rsid w:val="00150912"/>
    <w:rsid w:val="001535E8"/>
    <w:rsid w:val="0015465B"/>
    <w:rsid w:val="00156278"/>
    <w:rsid w:val="00156A17"/>
    <w:rsid w:val="001609A9"/>
    <w:rsid w:val="00161A39"/>
    <w:rsid w:val="001627CE"/>
    <w:rsid w:val="001659A2"/>
    <w:rsid w:val="00166117"/>
    <w:rsid w:val="00167EA3"/>
    <w:rsid w:val="0017268F"/>
    <w:rsid w:val="00172C70"/>
    <w:rsid w:val="00172FA8"/>
    <w:rsid w:val="00173327"/>
    <w:rsid w:val="001740CB"/>
    <w:rsid w:val="001753B8"/>
    <w:rsid w:val="00180758"/>
    <w:rsid w:val="00181D26"/>
    <w:rsid w:val="00182886"/>
    <w:rsid w:val="00187EB9"/>
    <w:rsid w:val="0019308F"/>
    <w:rsid w:val="00193BDB"/>
    <w:rsid w:val="00194198"/>
    <w:rsid w:val="001A28CA"/>
    <w:rsid w:val="001A3036"/>
    <w:rsid w:val="001A4FF1"/>
    <w:rsid w:val="001A71F4"/>
    <w:rsid w:val="001B0020"/>
    <w:rsid w:val="001B04F4"/>
    <w:rsid w:val="001B11CB"/>
    <w:rsid w:val="001B15C5"/>
    <w:rsid w:val="001B1E18"/>
    <w:rsid w:val="001B37D4"/>
    <w:rsid w:val="001B5326"/>
    <w:rsid w:val="001B6927"/>
    <w:rsid w:val="001B7718"/>
    <w:rsid w:val="001C1441"/>
    <w:rsid w:val="001C155E"/>
    <w:rsid w:val="001C2E88"/>
    <w:rsid w:val="001C2E96"/>
    <w:rsid w:val="001C38CD"/>
    <w:rsid w:val="001C457F"/>
    <w:rsid w:val="001C582F"/>
    <w:rsid w:val="001C6753"/>
    <w:rsid w:val="001D0BAF"/>
    <w:rsid w:val="001D3442"/>
    <w:rsid w:val="001D48A4"/>
    <w:rsid w:val="001D5E0D"/>
    <w:rsid w:val="001D6D4E"/>
    <w:rsid w:val="001D721B"/>
    <w:rsid w:val="001D7E20"/>
    <w:rsid w:val="001E188B"/>
    <w:rsid w:val="001E2923"/>
    <w:rsid w:val="001E3607"/>
    <w:rsid w:val="001E6A3A"/>
    <w:rsid w:val="001E729F"/>
    <w:rsid w:val="001E7BB4"/>
    <w:rsid w:val="001F015F"/>
    <w:rsid w:val="001F270A"/>
    <w:rsid w:val="001F4A16"/>
    <w:rsid w:val="001F4C63"/>
    <w:rsid w:val="001F5BF5"/>
    <w:rsid w:val="001F6FE1"/>
    <w:rsid w:val="00201A09"/>
    <w:rsid w:val="00201C3D"/>
    <w:rsid w:val="002020FF"/>
    <w:rsid w:val="00202215"/>
    <w:rsid w:val="00206F36"/>
    <w:rsid w:val="00207017"/>
    <w:rsid w:val="002077E1"/>
    <w:rsid w:val="00207B6D"/>
    <w:rsid w:val="002101D4"/>
    <w:rsid w:val="00213A7E"/>
    <w:rsid w:val="00214AD4"/>
    <w:rsid w:val="00216C2C"/>
    <w:rsid w:val="002201F4"/>
    <w:rsid w:val="00220AFF"/>
    <w:rsid w:val="00221441"/>
    <w:rsid w:val="0022375A"/>
    <w:rsid w:val="002317FB"/>
    <w:rsid w:val="00234505"/>
    <w:rsid w:val="00235FE2"/>
    <w:rsid w:val="002362FB"/>
    <w:rsid w:val="00236B39"/>
    <w:rsid w:val="00236EBE"/>
    <w:rsid w:val="002401A7"/>
    <w:rsid w:val="0024112A"/>
    <w:rsid w:val="00241460"/>
    <w:rsid w:val="002429E8"/>
    <w:rsid w:val="00250001"/>
    <w:rsid w:val="0025056E"/>
    <w:rsid w:val="00252129"/>
    <w:rsid w:val="002523BB"/>
    <w:rsid w:val="00253536"/>
    <w:rsid w:val="0025669C"/>
    <w:rsid w:val="00257EBC"/>
    <w:rsid w:val="00261AA1"/>
    <w:rsid w:val="00262ABF"/>
    <w:rsid w:val="00264045"/>
    <w:rsid w:val="002663F5"/>
    <w:rsid w:val="002676FA"/>
    <w:rsid w:val="002713B2"/>
    <w:rsid w:val="00271B51"/>
    <w:rsid w:val="00271D68"/>
    <w:rsid w:val="0027434A"/>
    <w:rsid w:val="0027649E"/>
    <w:rsid w:val="00277A86"/>
    <w:rsid w:val="002816B8"/>
    <w:rsid w:val="002859C8"/>
    <w:rsid w:val="00285E2A"/>
    <w:rsid w:val="00285EC6"/>
    <w:rsid w:val="0029487F"/>
    <w:rsid w:val="00294B37"/>
    <w:rsid w:val="00295B2C"/>
    <w:rsid w:val="00295E80"/>
    <w:rsid w:val="00295EE7"/>
    <w:rsid w:val="00296F46"/>
    <w:rsid w:val="002A0E82"/>
    <w:rsid w:val="002A1D72"/>
    <w:rsid w:val="002A2270"/>
    <w:rsid w:val="002A2518"/>
    <w:rsid w:val="002A25E5"/>
    <w:rsid w:val="002A6562"/>
    <w:rsid w:val="002A6CFC"/>
    <w:rsid w:val="002B1FCF"/>
    <w:rsid w:val="002B5940"/>
    <w:rsid w:val="002B60D7"/>
    <w:rsid w:val="002B6290"/>
    <w:rsid w:val="002C2D5B"/>
    <w:rsid w:val="002C3422"/>
    <w:rsid w:val="002D18BD"/>
    <w:rsid w:val="002D2FEA"/>
    <w:rsid w:val="002D3242"/>
    <w:rsid w:val="002D539A"/>
    <w:rsid w:val="002D6D00"/>
    <w:rsid w:val="002D7AD4"/>
    <w:rsid w:val="002E24DA"/>
    <w:rsid w:val="002E2F10"/>
    <w:rsid w:val="002E46C2"/>
    <w:rsid w:val="002E472F"/>
    <w:rsid w:val="002E4C68"/>
    <w:rsid w:val="002E4F19"/>
    <w:rsid w:val="002E72F0"/>
    <w:rsid w:val="002E7595"/>
    <w:rsid w:val="002E7918"/>
    <w:rsid w:val="002F35F3"/>
    <w:rsid w:val="00301512"/>
    <w:rsid w:val="003044C0"/>
    <w:rsid w:val="00304A03"/>
    <w:rsid w:val="00310BC7"/>
    <w:rsid w:val="00314344"/>
    <w:rsid w:val="00314C27"/>
    <w:rsid w:val="00317863"/>
    <w:rsid w:val="00320250"/>
    <w:rsid w:val="00321FC0"/>
    <w:rsid w:val="00322384"/>
    <w:rsid w:val="003233B4"/>
    <w:rsid w:val="00326E8A"/>
    <w:rsid w:val="00334148"/>
    <w:rsid w:val="00334F74"/>
    <w:rsid w:val="00335C55"/>
    <w:rsid w:val="00336455"/>
    <w:rsid w:val="00342AB4"/>
    <w:rsid w:val="003448F1"/>
    <w:rsid w:val="003467A9"/>
    <w:rsid w:val="00346A27"/>
    <w:rsid w:val="00353824"/>
    <w:rsid w:val="0035542D"/>
    <w:rsid w:val="00355E7E"/>
    <w:rsid w:val="00356170"/>
    <w:rsid w:val="00357BFE"/>
    <w:rsid w:val="00360A71"/>
    <w:rsid w:val="00360F43"/>
    <w:rsid w:val="00361176"/>
    <w:rsid w:val="003635CC"/>
    <w:rsid w:val="0036469E"/>
    <w:rsid w:val="00364BC4"/>
    <w:rsid w:val="003652C1"/>
    <w:rsid w:val="003676CF"/>
    <w:rsid w:val="0037055D"/>
    <w:rsid w:val="003719DE"/>
    <w:rsid w:val="00373FE5"/>
    <w:rsid w:val="00380C0A"/>
    <w:rsid w:val="00380C1E"/>
    <w:rsid w:val="00381156"/>
    <w:rsid w:val="00381754"/>
    <w:rsid w:val="00381D36"/>
    <w:rsid w:val="003837BA"/>
    <w:rsid w:val="00383B8C"/>
    <w:rsid w:val="00383CB9"/>
    <w:rsid w:val="00383D4E"/>
    <w:rsid w:val="00384309"/>
    <w:rsid w:val="00385481"/>
    <w:rsid w:val="0038628D"/>
    <w:rsid w:val="003874C9"/>
    <w:rsid w:val="00387962"/>
    <w:rsid w:val="00387C4E"/>
    <w:rsid w:val="00390E04"/>
    <w:rsid w:val="00390E8F"/>
    <w:rsid w:val="00394102"/>
    <w:rsid w:val="0039456F"/>
    <w:rsid w:val="00394F12"/>
    <w:rsid w:val="00395C64"/>
    <w:rsid w:val="003A0CB9"/>
    <w:rsid w:val="003A11B5"/>
    <w:rsid w:val="003A1C0A"/>
    <w:rsid w:val="003A25C2"/>
    <w:rsid w:val="003A44FF"/>
    <w:rsid w:val="003A58A6"/>
    <w:rsid w:val="003B11CB"/>
    <w:rsid w:val="003B5024"/>
    <w:rsid w:val="003B5B33"/>
    <w:rsid w:val="003C45DE"/>
    <w:rsid w:val="003C60BA"/>
    <w:rsid w:val="003C6AA0"/>
    <w:rsid w:val="003C7979"/>
    <w:rsid w:val="003D138C"/>
    <w:rsid w:val="003D1BAC"/>
    <w:rsid w:val="003D2533"/>
    <w:rsid w:val="003D6D03"/>
    <w:rsid w:val="003E082E"/>
    <w:rsid w:val="003E0BE2"/>
    <w:rsid w:val="003E32E7"/>
    <w:rsid w:val="003E3F60"/>
    <w:rsid w:val="003E433D"/>
    <w:rsid w:val="003E52A9"/>
    <w:rsid w:val="003F01CA"/>
    <w:rsid w:val="003F11D9"/>
    <w:rsid w:val="003F1A4D"/>
    <w:rsid w:val="003F2915"/>
    <w:rsid w:val="003F36DB"/>
    <w:rsid w:val="003F4748"/>
    <w:rsid w:val="003F4A82"/>
    <w:rsid w:val="003F504B"/>
    <w:rsid w:val="003F5ED8"/>
    <w:rsid w:val="003F6F1A"/>
    <w:rsid w:val="003F7A3C"/>
    <w:rsid w:val="004002B1"/>
    <w:rsid w:val="00402ED6"/>
    <w:rsid w:val="00403925"/>
    <w:rsid w:val="00403CCE"/>
    <w:rsid w:val="00404275"/>
    <w:rsid w:val="004047CE"/>
    <w:rsid w:val="0040492B"/>
    <w:rsid w:val="004051B4"/>
    <w:rsid w:val="00410BF0"/>
    <w:rsid w:val="00415E82"/>
    <w:rsid w:val="004163F1"/>
    <w:rsid w:val="00417407"/>
    <w:rsid w:val="0042010C"/>
    <w:rsid w:val="004203D6"/>
    <w:rsid w:val="004219BB"/>
    <w:rsid w:val="00422EFB"/>
    <w:rsid w:val="00423BF0"/>
    <w:rsid w:val="00423D4E"/>
    <w:rsid w:val="004252E8"/>
    <w:rsid w:val="00426628"/>
    <w:rsid w:val="00427381"/>
    <w:rsid w:val="00431A4D"/>
    <w:rsid w:val="00432FB5"/>
    <w:rsid w:val="00433BD6"/>
    <w:rsid w:val="00434672"/>
    <w:rsid w:val="00435805"/>
    <w:rsid w:val="00436030"/>
    <w:rsid w:val="0043D077"/>
    <w:rsid w:val="004400F0"/>
    <w:rsid w:val="00441602"/>
    <w:rsid w:val="0044183F"/>
    <w:rsid w:val="00443FE3"/>
    <w:rsid w:val="004457FE"/>
    <w:rsid w:val="004460B1"/>
    <w:rsid w:val="00450546"/>
    <w:rsid w:val="00450F95"/>
    <w:rsid w:val="00451E88"/>
    <w:rsid w:val="00452031"/>
    <w:rsid w:val="00452A97"/>
    <w:rsid w:val="0045338F"/>
    <w:rsid w:val="00454A86"/>
    <w:rsid w:val="00454C63"/>
    <w:rsid w:val="004568B4"/>
    <w:rsid w:val="00460938"/>
    <w:rsid w:val="0046265E"/>
    <w:rsid w:val="00467B1E"/>
    <w:rsid w:val="00470423"/>
    <w:rsid w:val="00471B97"/>
    <w:rsid w:val="00475568"/>
    <w:rsid w:val="00477A27"/>
    <w:rsid w:val="00477EB3"/>
    <w:rsid w:val="00480DA1"/>
    <w:rsid w:val="004810F2"/>
    <w:rsid w:val="00483B6D"/>
    <w:rsid w:val="004845C9"/>
    <w:rsid w:val="004859F6"/>
    <w:rsid w:val="00486A74"/>
    <w:rsid w:val="00487A5B"/>
    <w:rsid w:val="0049020C"/>
    <w:rsid w:val="00490B6B"/>
    <w:rsid w:val="004918C9"/>
    <w:rsid w:val="00492A9C"/>
    <w:rsid w:val="00494169"/>
    <w:rsid w:val="004956A3"/>
    <w:rsid w:val="00496D43"/>
    <w:rsid w:val="00496E0D"/>
    <w:rsid w:val="004A34CC"/>
    <w:rsid w:val="004A4213"/>
    <w:rsid w:val="004A574A"/>
    <w:rsid w:val="004A57CF"/>
    <w:rsid w:val="004A5D91"/>
    <w:rsid w:val="004A7A86"/>
    <w:rsid w:val="004AB95E"/>
    <w:rsid w:val="004B0A5A"/>
    <w:rsid w:val="004B12CF"/>
    <w:rsid w:val="004B1963"/>
    <w:rsid w:val="004B271B"/>
    <w:rsid w:val="004B2F1C"/>
    <w:rsid w:val="004B39FF"/>
    <w:rsid w:val="004B442B"/>
    <w:rsid w:val="004B67B2"/>
    <w:rsid w:val="004B6C59"/>
    <w:rsid w:val="004C066B"/>
    <w:rsid w:val="004C0B98"/>
    <w:rsid w:val="004C15AF"/>
    <w:rsid w:val="004C25A2"/>
    <w:rsid w:val="004C26B3"/>
    <w:rsid w:val="004C50DA"/>
    <w:rsid w:val="004C6B6E"/>
    <w:rsid w:val="004C73D9"/>
    <w:rsid w:val="004C7880"/>
    <w:rsid w:val="004C7CEE"/>
    <w:rsid w:val="004D0125"/>
    <w:rsid w:val="004D0AD1"/>
    <w:rsid w:val="004D13C1"/>
    <w:rsid w:val="004D2D4F"/>
    <w:rsid w:val="004D2ECB"/>
    <w:rsid w:val="004D3E9E"/>
    <w:rsid w:val="004D4301"/>
    <w:rsid w:val="004D656D"/>
    <w:rsid w:val="004D73C4"/>
    <w:rsid w:val="004D797D"/>
    <w:rsid w:val="004E0283"/>
    <w:rsid w:val="004E105C"/>
    <w:rsid w:val="004E44E0"/>
    <w:rsid w:val="004E537E"/>
    <w:rsid w:val="004E55AA"/>
    <w:rsid w:val="004E5A8C"/>
    <w:rsid w:val="004E6BFF"/>
    <w:rsid w:val="004E6DD5"/>
    <w:rsid w:val="004E78E2"/>
    <w:rsid w:val="004F044F"/>
    <w:rsid w:val="004F065A"/>
    <w:rsid w:val="004F2250"/>
    <w:rsid w:val="004F2A6B"/>
    <w:rsid w:val="004F3220"/>
    <w:rsid w:val="004F338E"/>
    <w:rsid w:val="004F4871"/>
    <w:rsid w:val="004F663F"/>
    <w:rsid w:val="00500985"/>
    <w:rsid w:val="00500E37"/>
    <w:rsid w:val="005011E3"/>
    <w:rsid w:val="005032F0"/>
    <w:rsid w:val="005035AD"/>
    <w:rsid w:val="00505226"/>
    <w:rsid w:val="005061E0"/>
    <w:rsid w:val="00506581"/>
    <w:rsid w:val="005107FE"/>
    <w:rsid w:val="005121A2"/>
    <w:rsid w:val="00512EB1"/>
    <w:rsid w:val="00516054"/>
    <w:rsid w:val="00517B4E"/>
    <w:rsid w:val="00520613"/>
    <w:rsid w:val="0052143C"/>
    <w:rsid w:val="005225E6"/>
    <w:rsid w:val="00524B58"/>
    <w:rsid w:val="00525DB9"/>
    <w:rsid w:val="00526697"/>
    <w:rsid w:val="005269F5"/>
    <w:rsid w:val="00530E6A"/>
    <w:rsid w:val="00534799"/>
    <w:rsid w:val="005360F2"/>
    <w:rsid w:val="00544D39"/>
    <w:rsid w:val="00545817"/>
    <w:rsid w:val="00545A12"/>
    <w:rsid w:val="00546AD2"/>
    <w:rsid w:val="00547948"/>
    <w:rsid w:val="0055011E"/>
    <w:rsid w:val="0055177C"/>
    <w:rsid w:val="00551B11"/>
    <w:rsid w:val="00551EA4"/>
    <w:rsid w:val="005545B4"/>
    <w:rsid w:val="005606D0"/>
    <w:rsid w:val="0057249B"/>
    <w:rsid w:val="00572AB3"/>
    <w:rsid w:val="00574E5C"/>
    <w:rsid w:val="00574E7D"/>
    <w:rsid w:val="0057530D"/>
    <w:rsid w:val="005763D2"/>
    <w:rsid w:val="00576749"/>
    <w:rsid w:val="00577880"/>
    <w:rsid w:val="005779EC"/>
    <w:rsid w:val="005812BB"/>
    <w:rsid w:val="00583217"/>
    <w:rsid w:val="00583A03"/>
    <w:rsid w:val="00584C20"/>
    <w:rsid w:val="00585FC6"/>
    <w:rsid w:val="00586330"/>
    <w:rsid w:val="00586477"/>
    <w:rsid w:val="00586F2B"/>
    <w:rsid w:val="00592AFE"/>
    <w:rsid w:val="0059313F"/>
    <w:rsid w:val="00593CB9"/>
    <w:rsid w:val="00595336"/>
    <w:rsid w:val="005A0E1D"/>
    <w:rsid w:val="005A16E0"/>
    <w:rsid w:val="005A18BF"/>
    <w:rsid w:val="005A37E3"/>
    <w:rsid w:val="005A38FD"/>
    <w:rsid w:val="005A39FB"/>
    <w:rsid w:val="005A501F"/>
    <w:rsid w:val="005A5C2F"/>
    <w:rsid w:val="005A6A22"/>
    <w:rsid w:val="005A7068"/>
    <w:rsid w:val="005A7069"/>
    <w:rsid w:val="005B0841"/>
    <w:rsid w:val="005B3DA3"/>
    <w:rsid w:val="005B3F23"/>
    <w:rsid w:val="005B3F7F"/>
    <w:rsid w:val="005B49BB"/>
    <w:rsid w:val="005B5543"/>
    <w:rsid w:val="005B5C60"/>
    <w:rsid w:val="005C2B19"/>
    <w:rsid w:val="005C2D9D"/>
    <w:rsid w:val="005C5591"/>
    <w:rsid w:val="005C5EA1"/>
    <w:rsid w:val="005D1385"/>
    <w:rsid w:val="005D27CD"/>
    <w:rsid w:val="005D31FB"/>
    <w:rsid w:val="005D352B"/>
    <w:rsid w:val="005D5780"/>
    <w:rsid w:val="005D5A4B"/>
    <w:rsid w:val="005D7E4E"/>
    <w:rsid w:val="005E0936"/>
    <w:rsid w:val="005E1AF1"/>
    <w:rsid w:val="005E1BF9"/>
    <w:rsid w:val="005E3DDE"/>
    <w:rsid w:val="005F201A"/>
    <w:rsid w:val="005F27F2"/>
    <w:rsid w:val="005F3C48"/>
    <w:rsid w:val="005F4B3D"/>
    <w:rsid w:val="005F605D"/>
    <w:rsid w:val="005F63DA"/>
    <w:rsid w:val="00600B29"/>
    <w:rsid w:val="00601929"/>
    <w:rsid w:val="006037B6"/>
    <w:rsid w:val="006041F6"/>
    <w:rsid w:val="00605699"/>
    <w:rsid w:val="0060626D"/>
    <w:rsid w:val="00611E8E"/>
    <w:rsid w:val="00612D6D"/>
    <w:rsid w:val="00613393"/>
    <w:rsid w:val="00613710"/>
    <w:rsid w:val="00614B04"/>
    <w:rsid w:val="0061556D"/>
    <w:rsid w:val="00615981"/>
    <w:rsid w:val="0062092C"/>
    <w:rsid w:val="006223AB"/>
    <w:rsid w:val="00623484"/>
    <w:rsid w:val="0062439F"/>
    <w:rsid w:val="0062496B"/>
    <w:rsid w:val="006278A8"/>
    <w:rsid w:val="0062F4A8"/>
    <w:rsid w:val="006300ED"/>
    <w:rsid w:val="00632832"/>
    <w:rsid w:val="00634742"/>
    <w:rsid w:val="00634851"/>
    <w:rsid w:val="00634E73"/>
    <w:rsid w:val="00640C6E"/>
    <w:rsid w:val="00643724"/>
    <w:rsid w:val="00645294"/>
    <w:rsid w:val="00645FA1"/>
    <w:rsid w:val="006468B4"/>
    <w:rsid w:val="0064712F"/>
    <w:rsid w:val="00647608"/>
    <w:rsid w:val="006549A6"/>
    <w:rsid w:val="00654F18"/>
    <w:rsid w:val="00655ADD"/>
    <w:rsid w:val="006562AF"/>
    <w:rsid w:val="006563FD"/>
    <w:rsid w:val="00660754"/>
    <w:rsid w:val="00660AE5"/>
    <w:rsid w:val="0066192A"/>
    <w:rsid w:val="00661C7A"/>
    <w:rsid w:val="00664547"/>
    <w:rsid w:val="00666696"/>
    <w:rsid w:val="00667892"/>
    <w:rsid w:val="00667F6E"/>
    <w:rsid w:val="00672C65"/>
    <w:rsid w:val="00673ABF"/>
    <w:rsid w:val="00673FAB"/>
    <w:rsid w:val="00674411"/>
    <w:rsid w:val="00675DBA"/>
    <w:rsid w:val="00677456"/>
    <w:rsid w:val="00680503"/>
    <w:rsid w:val="006809ED"/>
    <w:rsid w:val="006815D3"/>
    <w:rsid w:val="00681F94"/>
    <w:rsid w:val="006824F0"/>
    <w:rsid w:val="00682AA7"/>
    <w:rsid w:val="00683995"/>
    <w:rsid w:val="00684E00"/>
    <w:rsid w:val="00685F5F"/>
    <w:rsid w:val="00686F04"/>
    <w:rsid w:val="00690360"/>
    <w:rsid w:val="0069044D"/>
    <w:rsid w:val="0069051B"/>
    <w:rsid w:val="006914AF"/>
    <w:rsid w:val="006924EA"/>
    <w:rsid w:val="0069251E"/>
    <w:rsid w:val="006943EA"/>
    <w:rsid w:val="006951AB"/>
    <w:rsid w:val="006A01A2"/>
    <w:rsid w:val="006A255F"/>
    <w:rsid w:val="006A2846"/>
    <w:rsid w:val="006A5852"/>
    <w:rsid w:val="006A7251"/>
    <w:rsid w:val="006B2446"/>
    <w:rsid w:val="006B4E35"/>
    <w:rsid w:val="006B673E"/>
    <w:rsid w:val="006B7368"/>
    <w:rsid w:val="006B7EB4"/>
    <w:rsid w:val="006C02B8"/>
    <w:rsid w:val="006C1372"/>
    <w:rsid w:val="006C21DE"/>
    <w:rsid w:val="006C68B5"/>
    <w:rsid w:val="006C7D16"/>
    <w:rsid w:val="006D2332"/>
    <w:rsid w:val="006D3200"/>
    <w:rsid w:val="006D3F59"/>
    <w:rsid w:val="006D561C"/>
    <w:rsid w:val="006D77C9"/>
    <w:rsid w:val="006E4C9A"/>
    <w:rsid w:val="006E58AA"/>
    <w:rsid w:val="006F035A"/>
    <w:rsid w:val="006F15B4"/>
    <w:rsid w:val="006F2427"/>
    <w:rsid w:val="006F6A84"/>
    <w:rsid w:val="006F7E88"/>
    <w:rsid w:val="00700A60"/>
    <w:rsid w:val="00705004"/>
    <w:rsid w:val="00705D15"/>
    <w:rsid w:val="00705F6E"/>
    <w:rsid w:val="007069F6"/>
    <w:rsid w:val="007071D9"/>
    <w:rsid w:val="0070756E"/>
    <w:rsid w:val="007104EB"/>
    <w:rsid w:val="00710FD1"/>
    <w:rsid w:val="00711FF6"/>
    <w:rsid w:val="00712EA2"/>
    <w:rsid w:val="007143A3"/>
    <w:rsid w:val="00714EA6"/>
    <w:rsid w:val="007152CB"/>
    <w:rsid w:val="00715ABD"/>
    <w:rsid w:val="00717ED3"/>
    <w:rsid w:val="00720741"/>
    <w:rsid w:val="00721DF6"/>
    <w:rsid w:val="00722FB7"/>
    <w:rsid w:val="00723364"/>
    <w:rsid w:val="00723D0F"/>
    <w:rsid w:val="0072417E"/>
    <w:rsid w:val="007246D8"/>
    <w:rsid w:val="0072692D"/>
    <w:rsid w:val="00727522"/>
    <w:rsid w:val="007276C1"/>
    <w:rsid w:val="00730133"/>
    <w:rsid w:val="007301F0"/>
    <w:rsid w:val="00731CA6"/>
    <w:rsid w:val="007325BF"/>
    <w:rsid w:val="007325E7"/>
    <w:rsid w:val="00735D20"/>
    <w:rsid w:val="00736E8E"/>
    <w:rsid w:val="00740448"/>
    <w:rsid w:val="00740CD0"/>
    <w:rsid w:val="00741616"/>
    <w:rsid w:val="007440CD"/>
    <w:rsid w:val="007444F3"/>
    <w:rsid w:val="00745F32"/>
    <w:rsid w:val="00746A51"/>
    <w:rsid w:val="00747063"/>
    <w:rsid w:val="0074752A"/>
    <w:rsid w:val="00752435"/>
    <w:rsid w:val="00752C72"/>
    <w:rsid w:val="00752FB6"/>
    <w:rsid w:val="00753449"/>
    <w:rsid w:val="007550B2"/>
    <w:rsid w:val="00755841"/>
    <w:rsid w:val="007564D9"/>
    <w:rsid w:val="00761BA5"/>
    <w:rsid w:val="00763794"/>
    <w:rsid w:val="007656EA"/>
    <w:rsid w:val="007661F1"/>
    <w:rsid w:val="0077180A"/>
    <w:rsid w:val="00772FE4"/>
    <w:rsid w:val="00774ECF"/>
    <w:rsid w:val="00777239"/>
    <w:rsid w:val="00780081"/>
    <w:rsid w:val="00780EB5"/>
    <w:rsid w:val="007833FB"/>
    <w:rsid w:val="00783F71"/>
    <w:rsid w:val="00784CFB"/>
    <w:rsid w:val="007853FD"/>
    <w:rsid w:val="0079087B"/>
    <w:rsid w:val="00792145"/>
    <w:rsid w:val="007937EB"/>
    <w:rsid w:val="00795198"/>
    <w:rsid w:val="00796BC4"/>
    <w:rsid w:val="007A0B94"/>
    <w:rsid w:val="007A0ED9"/>
    <w:rsid w:val="007A112B"/>
    <w:rsid w:val="007A2F17"/>
    <w:rsid w:val="007A7BC7"/>
    <w:rsid w:val="007B0C32"/>
    <w:rsid w:val="007B2386"/>
    <w:rsid w:val="007B24F1"/>
    <w:rsid w:val="007B2942"/>
    <w:rsid w:val="007B2A26"/>
    <w:rsid w:val="007B3ED0"/>
    <w:rsid w:val="007B5306"/>
    <w:rsid w:val="007B649B"/>
    <w:rsid w:val="007B672E"/>
    <w:rsid w:val="007B6B8D"/>
    <w:rsid w:val="007B6D1B"/>
    <w:rsid w:val="007C1318"/>
    <w:rsid w:val="007C1556"/>
    <w:rsid w:val="007C2287"/>
    <w:rsid w:val="007C3397"/>
    <w:rsid w:val="007C41FD"/>
    <w:rsid w:val="007C5852"/>
    <w:rsid w:val="007C60A1"/>
    <w:rsid w:val="007C7DD0"/>
    <w:rsid w:val="007D2165"/>
    <w:rsid w:val="007D484E"/>
    <w:rsid w:val="007E0196"/>
    <w:rsid w:val="007E106D"/>
    <w:rsid w:val="007E28F2"/>
    <w:rsid w:val="007E2F59"/>
    <w:rsid w:val="007E5AFC"/>
    <w:rsid w:val="007E6BA4"/>
    <w:rsid w:val="007E7A09"/>
    <w:rsid w:val="007F06EE"/>
    <w:rsid w:val="007F2B0A"/>
    <w:rsid w:val="007F35FB"/>
    <w:rsid w:val="007F3D61"/>
    <w:rsid w:val="007F4568"/>
    <w:rsid w:val="007F46EA"/>
    <w:rsid w:val="007F6EEA"/>
    <w:rsid w:val="007F6F79"/>
    <w:rsid w:val="00804672"/>
    <w:rsid w:val="008048F0"/>
    <w:rsid w:val="0080495F"/>
    <w:rsid w:val="00804CB8"/>
    <w:rsid w:val="00805F4C"/>
    <w:rsid w:val="00806C8B"/>
    <w:rsid w:val="008072CA"/>
    <w:rsid w:val="00810CC2"/>
    <w:rsid w:val="00811635"/>
    <w:rsid w:val="008116F1"/>
    <w:rsid w:val="0081525D"/>
    <w:rsid w:val="008164C4"/>
    <w:rsid w:val="008171BE"/>
    <w:rsid w:val="00826942"/>
    <w:rsid w:val="00826F2F"/>
    <w:rsid w:val="0082D8ED"/>
    <w:rsid w:val="00841616"/>
    <w:rsid w:val="00845025"/>
    <w:rsid w:val="00845881"/>
    <w:rsid w:val="00846977"/>
    <w:rsid w:val="00850FAD"/>
    <w:rsid w:val="00853559"/>
    <w:rsid w:val="0085366C"/>
    <w:rsid w:val="008554FF"/>
    <w:rsid w:val="00857192"/>
    <w:rsid w:val="0085755E"/>
    <w:rsid w:val="00861606"/>
    <w:rsid w:val="00861C5A"/>
    <w:rsid w:val="00861E75"/>
    <w:rsid w:val="00862B7D"/>
    <w:rsid w:val="00863BA3"/>
    <w:rsid w:val="00863D9C"/>
    <w:rsid w:val="0086519D"/>
    <w:rsid w:val="00865A27"/>
    <w:rsid w:val="0086674A"/>
    <w:rsid w:val="008675A3"/>
    <w:rsid w:val="008706C9"/>
    <w:rsid w:val="008711A0"/>
    <w:rsid w:val="00872478"/>
    <w:rsid w:val="0087328A"/>
    <w:rsid w:val="00873A9F"/>
    <w:rsid w:val="0087422C"/>
    <w:rsid w:val="00875AC9"/>
    <w:rsid w:val="00877099"/>
    <w:rsid w:val="008827F9"/>
    <w:rsid w:val="00882A67"/>
    <w:rsid w:val="00883642"/>
    <w:rsid w:val="008844DD"/>
    <w:rsid w:val="00887115"/>
    <w:rsid w:val="00887ACD"/>
    <w:rsid w:val="008901F0"/>
    <w:rsid w:val="0089124D"/>
    <w:rsid w:val="00892594"/>
    <w:rsid w:val="00892F5B"/>
    <w:rsid w:val="00894E57"/>
    <w:rsid w:val="00895E2F"/>
    <w:rsid w:val="008A1A31"/>
    <w:rsid w:val="008A24AB"/>
    <w:rsid w:val="008A277A"/>
    <w:rsid w:val="008A36CF"/>
    <w:rsid w:val="008A3760"/>
    <w:rsid w:val="008A3AF0"/>
    <w:rsid w:val="008A53E8"/>
    <w:rsid w:val="008A62D2"/>
    <w:rsid w:val="008A64D7"/>
    <w:rsid w:val="008A78C0"/>
    <w:rsid w:val="008A7B20"/>
    <w:rsid w:val="008B03D0"/>
    <w:rsid w:val="008B0E07"/>
    <w:rsid w:val="008B6865"/>
    <w:rsid w:val="008B754C"/>
    <w:rsid w:val="008B7FDA"/>
    <w:rsid w:val="008C0042"/>
    <w:rsid w:val="008C0BBD"/>
    <w:rsid w:val="008C17BD"/>
    <w:rsid w:val="008C18CC"/>
    <w:rsid w:val="008C55C2"/>
    <w:rsid w:val="008C6BCB"/>
    <w:rsid w:val="008C7AFC"/>
    <w:rsid w:val="008D031A"/>
    <w:rsid w:val="008D0BDE"/>
    <w:rsid w:val="008D1ABF"/>
    <w:rsid w:val="008D3017"/>
    <w:rsid w:val="008D3135"/>
    <w:rsid w:val="008D32EE"/>
    <w:rsid w:val="008D395C"/>
    <w:rsid w:val="008D59A3"/>
    <w:rsid w:val="008E1824"/>
    <w:rsid w:val="008E462E"/>
    <w:rsid w:val="008E4E8C"/>
    <w:rsid w:val="008E575D"/>
    <w:rsid w:val="008E5D50"/>
    <w:rsid w:val="008E6017"/>
    <w:rsid w:val="008E764E"/>
    <w:rsid w:val="008F0B22"/>
    <w:rsid w:val="008F0EA0"/>
    <w:rsid w:val="008F4897"/>
    <w:rsid w:val="008F6551"/>
    <w:rsid w:val="008F7F57"/>
    <w:rsid w:val="00904C52"/>
    <w:rsid w:val="00904F1F"/>
    <w:rsid w:val="00905B23"/>
    <w:rsid w:val="0090636D"/>
    <w:rsid w:val="0090664A"/>
    <w:rsid w:val="009075BF"/>
    <w:rsid w:val="00907A7F"/>
    <w:rsid w:val="009118E5"/>
    <w:rsid w:val="00913B9A"/>
    <w:rsid w:val="00914881"/>
    <w:rsid w:val="00915F21"/>
    <w:rsid w:val="009233FC"/>
    <w:rsid w:val="00924B8F"/>
    <w:rsid w:val="009251BD"/>
    <w:rsid w:val="00930F98"/>
    <w:rsid w:val="009310DA"/>
    <w:rsid w:val="0093293F"/>
    <w:rsid w:val="009338DC"/>
    <w:rsid w:val="00934846"/>
    <w:rsid w:val="00934F31"/>
    <w:rsid w:val="00937430"/>
    <w:rsid w:val="009401AA"/>
    <w:rsid w:val="009417F2"/>
    <w:rsid w:val="00941FC0"/>
    <w:rsid w:val="00942769"/>
    <w:rsid w:val="00942E9A"/>
    <w:rsid w:val="0094429B"/>
    <w:rsid w:val="00944BB5"/>
    <w:rsid w:val="00945FC1"/>
    <w:rsid w:val="009514F8"/>
    <w:rsid w:val="0095226B"/>
    <w:rsid w:val="00953BB6"/>
    <w:rsid w:val="00954A0F"/>
    <w:rsid w:val="00956FC1"/>
    <w:rsid w:val="00957B7C"/>
    <w:rsid w:val="00960FF3"/>
    <w:rsid w:val="009623EF"/>
    <w:rsid w:val="009636C8"/>
    <w:rsid w:val="00963813"/>
    <w:rsid w:val="00964694"/>
    <w:rsid w:val="00965B1B"/>
    <w:rsid w:val="00966DDE"/>
    <w:rsid w:val="00970B67"/>
    <w:rsid w:val="009710ED"/>
    <w:rsid w:val="0097394D"/>
    <w:rsid w:val="00974199"/>
    <w:rsid w:val="009749EB"/>
    <w:rsid w:val="00974B64"/>
    <w:rsid w:val="009772C5"/>
    <w:rsid w:val="009836C2"/>
    <w:rsid w:val="00983862"/>
    <w:rsid w:val="00984C18"/>
    <w:rsid w:val="0098514A"/>
    <w:rsid w:val="00986458"/>
    <w:rsid w:val="00986EBF"/>
    <w:rsid w:val="00987720"/>
    <w:rsid w:val="00992237"/>
    <w:rsid w:val="009937C6"/>
    <w:rsid w:val="009A0881"/>
    <w:rsid w:val="009A0ED4"/>
    <w:rsid w:val="009A1229"/>
    <w:rsid w:val="009A2FC2"/>
    <w:rsid w:val="009A34DB"/>
    <w:rsid w:val="009A3E72"/>
    <w:rsid w:val="009A61CD"/>
    <w:rsid w:val="009B0761"/>
    <w:rsid w:val="009B16FC"/>
    <w:rsid w:val="009B2499"/>
    <w:rsid w:val="009B29E4"/>
    <w:rsid w:val="009B36A3"/>
    <w:rsid w:val="009C035A"/>
    <w:rsid w:val="009C7C12"/>
    <w:rsid w:val="009D050F"/>
    <w:rsid w:val="009D0B5D"/>
    <w:rsid w:val="009D1275"/>
    <w:rsid w:val="009D1A06"/>
    <w:rsid w:val="009D247B"/>
    <w:rsid w:val="009D2705"/>
    <w:rsid w:val="009D3F25"/>
    <w:rsid w:val="009D422B"/>
    <w:rsid w:val="009D4856"/>
    <w:rsid w:val="009D51DE"/>
    <w:rsid w:val="009D5A03"/>
    <w:rsid w:val="009D5EC7"/>
    <w:rsid w:val="009D7096"/>
    <w:rsid w:val="009D7DA6"/>
    <w:rsid w:val="009E16FE"/>
    <w:rsid w:val="009E1E5D"/>
    <w:rsid w:val="009E515D"/>
    <w:rsid w:val="009F06C6"/>
    <w:rsid w:val="009F6F78"/>
    <w:rsid w:val="009F7E42"/>
    <w:rsid w:val="00A00C6E"/>
    <w:rsid w:val="00A031CE"/>
    <w:rsid w:val="00A036C5"/>
    <w:rsid w:val="00A05764"/>
    <w:rsid w:val="00A10598"/>
    <w:rsid w:val="00A11B80"/>
    <w:rsid w:val="00A13990"/>
    <w:rsid w:val="00A1481D"/>
    <w:rsid w:val="00A16071"/>
    <w:rsid w:val="00A1660A"/>
    <w:rsid w:val="00A16F44"/>
    <w:rsid w:val="00A20754"/>
    <w:rsid w:val="00A209E2"/>
    <w:rsid w:val="00A22F46"/>
    <w:rsid w:val="00A22F5D"/>
    <w:rsid w:val="00A25591"/>
    <w:rsid w:val="00A269F0"/>
    <w:rsid w:val="00A27BDA"/>
    <w:rsid w:val="00A3309B"/>
    <w:rsid w:val="00A339FC"/>
    <w:rsid w:val="00A39536"/>
    <w:rsid w:val="00A43E00"/>
    <w:rsid w:val="00A452FB"/>
    <w:rsid w:val="00A4564A"/>
    <w:rsid w:val="00A47202"/>
    <w:rsid w:val="00A52AFB"/>
    <w:rsid w:val="00A53B39"/>
    <w:rsid w:val="00A5756E"/>
    <w:rsid w:val="00A576CC"/>
    <w:rsid w:val="00A606FA"/>
    <w:rsid w:val="00A60749"/>
    <w:rsid w:val="00A610E3"/>
    <w:rsid w:val="00A62870"/>
    <w:rsid w:val="00A634C7"/>
    <w:rsid w:val="00A637E7"/>
    <w:rsid w:val="00A65071"/>
    <w:rsid w:val="00A65454"/>
    <w:rsid w:val="00A65724"/>
    <w:rsid w:val="00A67FB6"/>
    <w:rsid w:val="00A70074"/>
    <w:rsid w:val="00A70AAC"/>
    <w:rsid w:val="00A71A90"/>
    <w:rsid w:val="00A7453E"/>
    <w:rsid w:val="00A74957"/>
    <w:rsid w:val="00A7534F"/>
    <w:rsid w:val="00A853FE"/>
    <w:rsid w:val="00A86225"/>
    <w:rsid w:val="00A874A8"/>
    <w:rsid w:val="00A91ACF"/>
    <w:rsid w:val="00A923CB"/>
    <w:rsid w:val="00A9264A"/>
    <w:rsid w:val="00A943D4"/>
    <w:rsid w:val="00A95ECB"/>
    <w:rsid w:val="00A9612E"/>
    <w:rsid w:val="00A96780"/>
    <w:rsid w:val="00A977FE"/>
    <w:rsid w:val="00AA0DFF"/>
    <w:rsid w:val="00AA0E63"/>
    <w:rsid w:val="00AA1FE7"/>
    <w:rsid w:val="00AA25A2"/>
    <w:rsid w:val="00AA3A61"/>
    <w:rsid w:val="00AB1D2E"/>
    <w:rsid w:val="00AB282E"/>
    <w:rsid w:val="00AB2B3C"/>
    <w:rsid w:val="00AB4A08"/>
    <w:rsid w:val="00AC07D5"/>
    <w:rsid w:val="00AC0EEA"/>
    <w:rsid w:val="00AC54CF"/>
    <w:rsid w:val="00AC64F2"/>
    <w:rsid w:val="00AC7750"/>
    <w:rsid w:val="00AC7F1E"/>
    <w:rsid w:val="00AC7FEE"/>
    <w:rsid w:val="00AD21E6"/>
    <w:rsid w:val="00AD2D8C"/>
    <w:rsid w:val="00AD50EF"/>
    <w:rsid w:val="00AD5DDF"/>
    <w:rsid w:val="00AD61D6"/>
    <w:rsid w:val="00AE30EE"/>
    <w:rsid w:val="00AE311B"/>
    <w:rsid w:val="00AE3B33"/>
    <w:rsid w:val="00AE42C5"/>
    <w:rsid w:val="00AE4433"/>
    <w:rsid w:val="00AE673A"/>
    <w:rsid w:val="00AE68EA"/>
    <w:rsid w:val="00AE7B66"/>
    <w:rsid w:val="00AF1DE4"/>
    <w:rsid w:val="00AF264E"/>
    <w:rsid w:val="00AF38A9"/>
    <w:rsid w:val="00AF4814"/>
    <w:rsid w:val="00AF486C"/>
    <w:rsid w:val="00AF4C79"/>
    <w:rsid w:val="00AF5FA2"/>
    <w:rsid w:val="00AF798C"/>
    <w:rsid w:val="00B032C5"/>
    <w:rsid w:val="00B034D0"/>
    <w:rsid w:val="00B03BC5"/>
    <w:rsid w:val="00B03F44"/>
    <w:rsid w:val="00B12340"/>
    <w:rsid w:val="00B1251D"/>
    <w:rsid w:val="00B1587E"/>
    <w:rsid w:val="00B15C71"/>
    <w:rsid w:val="00B16E37"/>
    <w:rsid w:val="00B17ED6"/>
    <w:rsid w:val="00B2352D"/>
    <w:rsid w:val="00B247CC"/>
    <w:rsid w:val="00B24FF5"/>
    <w:rsid w:val="00B260DC"/>
    <w:rsid w:val="00B26E6D"/>
    <w:rsid w:val="00B306A3"/>
    <w:rsid w:val="00B30C46"/>
    <w:rsid w:val="00B320E1"/>
    <w:rsid w:val="00B3210A"/>
    <w:rsid w:val="00B35EA7"/>
    <w:rsid w:val="00B40971"/>
    <w:rsid w:val="00B4393C"/>
    <w:rsid w:val="00B460C7"/>
    <w:rsid w:val="00B51A92"/>
    <w:rsid w:val="00B51D37"/>
    <w:rsid w:val="00B534B4"/>
    <w:rsid w:val="00B53AC9"/>
    <w:rsid w:val="00B56941"/>
    <w:rsid w:val="00B60DDC"/>
    <w:rsid w:val="00B611AB"/>
    <w:rsid w:val="00B62B5C"/>
    <w:rsid w:val="00B62BAC"/>
    <w:rsid w:val="00B64DB2"/>
    <w:rsid w:val="00B658E1"/>
    <w:rsid w:val="00B65BE3"/>
    <w:rsid w:val="00B65C38"/>
    <w:rsid w:val="00B66CCE"/>
    <w:rsid w:val="00B74B3C"/>
    <w:rsid w:val="00B837CA"/>
    <w:rsid w:val="00B84A70"/>
    <w:rsid w:val="00B850A6"/>
    <w:rsid w:val="00B86512"/>
    <w:rsid w:val="00B8798C"/>
    <w:rsid w:val="00B925ED"/>
    <w:rsid w:val="00B92B89"/>
    <w:rsid w:val="00B931B8"/>
    <w:rsid w:val="00B93473"/>
    <w:rsid w:val="00B93D99"/>
    <w:rsid w:val="00B94536"/>
    <w:rsid w:val="00B95930"/>
    <w:rsid w:val="00B963BD"/>
    <w:rsid w:val="00B9F263"/>
    <w:rsid w:val="00BA0002"/>
    <w:rsid w:val="00BA03E8"/>
    <w:rsid w:val="00BA0B48"/>
    <w:rsid w:val="00BA140E"/>
    <w:rsid w:val="00BA34B0"/>
    <w:rsid w:val="00BA4F8C"/>
    <w:rsid w:val="00BA9BA3"/>
    <w:rsid w:val="00BB2547"/>
    <w:rsid w:val="00BB4CB9"/>
    <w:rsid w:val="00BC2E1F"/>
    <w:rsid w:val="00BC3525"/>
    <w:rsid w:val="00BC5C60"/>
    <w:rsid w:val="00BC5EC0"/>
    <w:rsid w:val="00BC764D"/>
    <w:rsid w:val="00BC774E"/>
    <w:rsid w:val="00BD0909"/>
    <w:rsid w:val="00BD214F"/>
    <w:rsid w:val="00BD21F0"/>
    <w:rsid w:val="00BD3313"/>
    <w:rsid w:val="00BD4A8C"/>
    <w:rsid w:val="00BD56F3"/>
    <w:rsid w:val="00BD5991"/>
    <w:rsid w:val="00BD7D1D"/>
    <w:rsid w:val="00BE1A51"/>
    <w:rsid w:val="00BE32F5"/>
    <w:rsid w:val="00BF0A3C"/>
    <w:rsid w:val="00BF19B1"/>
    <w:rsid w:val="00BF1AB8"/>
    <w:rsid w:val="00BF27EA"/>
    <w:rsid w:val="00BF3BB2"/>
    <w:rsid w:val="00BF4EC6"/>
    <w:rsid w:val="00BF4F03"/>
    <w:rsid w:val="00BF6A50"/>
    <w:rsid w:val="00C01343"/>
    <w:rsid w:val="00C01BE8"/>
    <w:rsid w:val="00C04C83"/>
    <w:rsid w:val="00C0505E"/>
    <w:rsid w:val="00C074FF"/>
    <w:rsid w:val="00C14CFF"/>
    <w:rsid w:val="00C15450"/>
    <w:rsid w:val="00C15C23"/>
    <w:rsid w:val="00C1639D"/>
    <w:rsid w:val="00C165CF"/>
    <w:rsid w:val="00C20AD5"/>
    <w:rsid w:val="00C20FC0"/>
    <w:rsid w:val="00C21FD6"/>
    <w:rsid w:val="00C24B0D"/>
    <w:rsid w:val="00C261D8"/>
    <w:rsid w:val="00C32C18"/>
    <w:rsid w:val="00C34C43"/>
    <w:rsid w:val="00C37271"/>
    <w:rsid w:val="00C41A73"/>
    <w:rsid w:val="00C43B0E"/>
    <w:rsid w:val="00C43D68"/>
    <w:rsid w:val="00C44365"/>
    <w:rsid w:val="00C47004"/>
    <w:rsid w:val="00C51795"/>
    <w:rsid w:val="00C524FF"/>
    <w:rsid w:val="00C5310A"/>
    <w:rsid w:val="00C53FDF"/>
    <w:rsid w:val="00C54EA4"/>
    <w:rsid w:val="00C61A73"/>
    <w:rsid w:val="00C62D4E"/>
    <w:rsid w:val="00C6330F"/>
    <w:rsid w:val="00C64F67"/>
    <w:rsid w:val="00C65A48"/>
    <w:rsid w:val="00C65D40"/>
    <w:rsid w:val="00C6711A"/>
    <w:rsid w:val="00C712F8"/>
    <w:rsid w:val="00C71D45"/>
    <w:rsid w:val="00C73B29"/>
    <w:rsid w:val="00C75101"/>
    <w:rsid w:val="00C77FF8"/>
    <w:rsid w:val="00C80327"/>
    <w:rsid w:val="00C80D77"/>
    <w:rsid w:val="00C8300C"/>
    <w:rsid w:val="00C83589"/>
    <w:rsid w:val="00C85774"/>
    <w:rsid w:val="00C857E2"/>
    <w:rsid w:val="00C85E61"/>
    <w:rsid w:val="00C8602A"/>
    <w:rsid w:val="00C87152"/>
    <w:rsid w:val="00C87166"/>
    <w:rsid w:val="00C90FB8"/>
    <w:rsid w:val="00C92048"/>
    <w:rsid w:val="00C9206E"/>
    <w:rsid w:val="00C92B81"/>
    <w:rsid w:val="00C95E43"/>
    <w:rsid w:val="00C963E0"/>
    <w:rsid w:val="00CA0047"/>
    <w:rsid w:val="00CA0A6C"/>
    <w:rsid w:val="00CA1197"/>
    <w:rsid w:val="00CA1F08"/>
    <w:rsid w:val="00CA64C1"/>
    <w:rsid w:val="00CB0CBB"/>
    <w:rsid w:val="00CB2448"/>
    <w:rsid w:val="00CB2C8C"/>
    <w:rsid w:val="00CB2F19"/>
    <w:rsid w:val="00CB499E"/>
    <w:rsid w:val="00CB5419"/>
    <w:rsid w:val="00CB63A7"/>
    <w:rsid w:val="00CB7F85"/>
    <w:rsid w:val="00CC18B1"/>
    <w:rsid w:val="00CC1B91"/>
    <w:rsid w:val="00CC2ACA"/>
    <w:rsid w:val="00CC3619"/>
    <w:rsid w:val="00CC3BC0"/>
    <w:rsid w:val="00CC3D66"/>
    <w:rsid w:val="00CC439D"/>
    <w:rsid w:val="00CC64AA"/>
    <w:rsid w:val="00CC65D9"/>
    <w:rsid w:val="00CC7A17"/>
    <w:rsid w:val="00CC7DF6"/>
    <w:rsid w:val="00CD09A6"/>
    <w:rsid w:val="00CD2AFB"/>
    <w:rsid w:val="00CD4489"/>
    <w:rsid w:val="00CD4492"/>
    <w:rsid w:val="00CD46A3"/>
    <w:rsid w:val="00CD65E5"/>
    <w:rsid w:val="00CD74C6"/>
    <w:rsid w:val="00CE1B74"/>
    <w:rsid w:val="00CE1FF7"/>
    <w:rsid w:val="00CE23F9"/>
    <w:rsid w:val="00CE331B"/>
    <w:rsid w:val="00CE39E3"/>
    <w:rsid w:val="00CE63DC"/>
    <w:rsid w:val="00CE74D1"/>
    <w:rsid w:val="00CE7FB5"/>
    <w:rsid w:val="00CF1F55"/>
    <w:rsid w:val="00CF4953"/>
    <w:rsid w:val="00CF5408"/>
    <w:rsid w:val="00CF6202"/>
    <w:rsid w:val="00CF68BD"/>
    <w:rsid w:val="00CF6EA8"/>
    <w:rsid w:val="00CF7FF5"/>
    <w:rsid w:val="00D00D79"/>
    <w:rsid w:val="00D01358"/>
    <w:rsid w:val="00D02139"/>
    <w:rsid w:val="00D02CE4"/>
    <w:rsid w:val="00D02D1E"/>
    <w:rsid w:val="00D065E4"/>
    <w:rsid w:val="00D10F45"/>
    <w:rsid w:val="00D11336"/>
    <w:rsid w:val="00D12212"/>
    <w:rsid w:val="00D12340"/>
    <w:rsid w:val="00D13D42"/>
    <w:rsid w:val="00D13FE5"/>
    <w:rsid w:val="00D14CA4"/>
    <w:rsid w:val="00D150A6"/>
    <w:rsid w:val="00D16C05"/>
    <w:rsid w:val="00D207AF"/>
    <w:rsid w:val="00D20D61"/>
    <w:rsid w:val="00D22239"/>
    <w:rsid w:val="00D22763"/>
    <w:rsid w:val="00D2429A"/>
    <w:rsid w:val="00D24CB0"/>
    <w:rsid w:val="00D2662D"/>
    <w:rsid w:val="00D2677F"/>
    <w:rsid w:val="00D26929"/>
    <w:rsid w:val="00D26F20"/>
    <w:rsid w:val="00D3020E"/>
    <w:rsid w:val="00D372D3"/>
    <w:rsid w:val="00D37327"/>
    <w:rsid w:val="00D4114F"/>
    <w:rsid w:val="00D42486"/>
    <w:rsid w:val="00D42A10"/>
    <w:rsid w:val="00D43092"/>
    <w:rsid w:val="00D4332A"/>
    <w:rsid w:val="00D44253"/>
    <w:rsid w:val="00D45DE4"/>
    <w:rsid w:val="00D47146"/>
    <w:rsid w:val="00D50FD6"/>
    <w:rsid w:val="00D51CEB"/>
    <w:rsid w:val="00D52523"/>
    <w:rsid w:val="00D5276B"/>
    <w:rsid w:val="00D529E5"/>
    <w:rsid w:val="00D5401E"/>
    <w:rsid w:val="00D5491E"/>
    <w:rsid w:val="00D54BF2"/>
    <w:rsid w:val="00D55A39"/>
    <w:rsid w:val="00D571B3"/>
    <w:rsid w:val="00D57B96"/>
    <w:rsid w:val="00D600EC"/>
    <w:rsid w:val="00D61028"/>
    <w:rsid w:val="00D6171B"/>
    <w:rsid w:val="00D65932"/>
    <w:rsid w:val="00D66C7F"/>
    <w:rsid w:val="00D66FCD"/>
    <w:rsid w:val="00D6725D"/>
    <w:rsid w:val="00D7072F"/>
    <w:rsid w:val="00D73509"/>
    <w:rsid w:val="00D7472A"/>
    <w:rsid w:val="00D74D9B"/>
    <w:rsid w:val="00D755C1"/>
    <w:rsid w:val="00D80A69"/>
    <w:rsid w:val="00D816CB"/>
    <w:rsid w:val="00D81971"/>
    <w:rsid w:val="00D81EE7"/>
    <w:rsid w:val="00D81F55"/>
    <w:rsid w:val="00D82699"/>
    <w:rsid w:val="00D832BF"/>
    <w:rsid w:val="00D8354C"/>
    <w:rsid w:val="00D83C7E"/>
    <w:rsid w:val="00D84B80"/>
    <w:rsid w:val="00D85F58"/>
    <w:rsid w:val="00D864E9"/>
    <w:rsid w:val="00D86BD6"/>
    <w:rsid w:val="00D8702F"/>
    <w:rsid w:val="00D87BD9"/>
    <w:rsid w:val="00D90F39"/>
    <w:rsid w:val="00D91057"/>
    <w:rsid w:val="00D948CA"/>
    <w:rsid w:val="00D95C8A"/>
    <w:rsid w:val="00D963C5"/>
    <w:rsid w:val="00D96D85"/>
    <w:rsid w:val="00DA265B"/>
    <w:rsid w:val="00DA3367"/>
    <w:rsid w:val="00DA44F9"/>
    <w:rsid w:val="00DA4A02"/>
    <w:rsid w:val="00DA74A7"/>
    <w:rsid w:val="00DB0C8A"/>
    <w:rsid w:val="00DB0D81"/>
    <w:rsid w:val="00DB0E7B"/>
    <w:rsid w:val="00DB166F"/>
    <w:rsid w:val="00DB2E92"/>
    <w:rsid w:val="00DC3011"/>
    <w:rsid w:val="00DC4303"/>
    <w:rsid w:val="00DC5F1F"/>
    <w:rsid w:val="00DC6DD6"/>
    <w:rsid w:val="00DC7869"/>
    <w:rsid w:val="00DC79B7"/>
    <w:rsid w:val="00DD0ADE"/>
    <w:rsid w:val="00DD14F0"/>
    <w:rsid w:val="00DD1C78"/>
    <w:rsid w:val="00DD7F3C"/>
    <w:rsid w:val="00DE3962"/>
    <w:rsid w:val="00DE48F8"/>
    <w:rsid w:val="00DE60AF"/>
    <w:rsid w:val="00DE7326"/>
    <w:rsid w:val="00DF01F8"/>
    <w:rsid w:val="00DF0DDE"/>
    <w:rsid w:val="00DF21E5"/>
    <w:rsid w:val="00DF360E"/>
    <w:rsid w:val="00DF76AF"/>
    <w:rsid w:val="00E01141"/>
    <w:rsid w:val="00E011F9"/>
    <w:rsid w:val="00E01CBE"/>
    <w:rsid w:val="00E02BB2"/>
    <w:rsid w:val="00E02E9A"/>
    <w:rsid w:val="00E02FD7"/>
    <w:rsid w:val="00E046AB"/>
    <w:rsid w:val="00E074F0"/>
    <w:rsid w:val="00E13200"/>
    <w:rsid w:val="00E1424D"/>
    <w:rsid w:val="00E15454"/>
    <w:rsid w:val="00E26AA2"/>
    <w:rsid w:val="00E27AFB"/>
    <w:rsid w:val="00E310D7"/>
    <w:rsid w:val="00E31407"/>
    <w:rsid w:val="00E31469"/>
    <w:rsid w:val="00E360BA"/>
    <w:rsid w:val="00E362F7"/>
    <w:rsid w:val="00E36A0C"/>
    <w:rsid w:val="00E44094"/>
    <w:rsid w:val="00E47380"/>
    <w:rsid w:val="00E476C1"/>
    <w:rsid w:val="00E5072A"/>
    <w:rsid w:val="00E52281"/>
    <w:rsid w:val="00E57B03"/>
    <w:rsid w:val="00E606DA"/>
    <w:rsid w:val="00E617A9"/>
    <w:rsid w:val="00E61CDA"/>
    <w:rsid w:val="00E633BB"/>
    <w:rsid w:val="00E65CD3"/>
    <w:rsid w:val="00E707D2"/>
    <w:rsid w:val="00E711A2"/>
    <w:rsid w:val="00E722C1"/>
    <w:rsid w:val="00E72AF9"/>
    <w:rsid w:val="00E7359B"/>
    <w:rsid w:val="00E7487B"/>
    <w:rsid w:val="00E74B64"/>
    <w:rsid w:val="00E75807"/>
    <w:rsid w:val="00E80F05"/>
    <w:rsid w:val="00E80F2D"/>
    <w:rsid w:val="00E82519"/>
    <w:rsid w:val="00E83822"/>
    <w:rsid w:val="00E838EB"/>
    <w:rsid w:val="00E83958"/>
    <w:rsid w:val="00E86474"/>
    <w:rsid w:val="00E86C14"/>
    <w:rsid w:val="00E91710"/>
    <w:rsid w:val="00E944CE"/>
    <w:rsid w:val="00EA07C5"/>
    <w:rsid w:val="00EA0EAB"/>
    <w:rsid w:val="00EA3552"/>
    <w:rsid w:val="00EA433A"/>
    <w:rsid w:val="00EA7DB6"/>
    <w:rsid w:val="00EA7E2C"/>
    <w:rsid w:val="00EB131C"/>
    <w:rsid w:val="00EB1E28"/>
    <w:rsid w:val="00EB6678"/>
    <w:rsid w:val="00EB673D"/>
    <w:rsid w:val="00EB6A96"/>
    <w:rsid w:val="00EC11AF"/>
    <w:rsid w:val="00EC2A8C"/>
    <w:rsid w:val="00EC3066"/>
    <w:rsid w:val="00EC4E1A"/>
    <w:rsid w:val="00EC6AF6"/>
    <w:rsid w:val="00ED0596"/>
    <w:rsid w:val="00ED0B6E"/>
    <w:rsid w:val="00ED0DA0"/>
    <w:rsid w:val="00ED0FC9"/>
    <w:rsid w:val="00ED3DEC"/>
    <w:rsid w:val="00ED4FC8"/>
    <w:rsid w:val="00ED6CAA"/>
    <w:rsid w:val="00EE23E3"/>
    <w:rsid w:val="00EE2B3B"/>
    <w:rsid w:val="00EE3250"/>
    <w:rsid w:val="00EE3A7B"/>
    <w:rsid w:val="00EE548A"/>
    <w:rsid w:val="00EE5884"/>
    <w:rsid w:val="00EE68FF"/>
    <w:rsid w:val="00EE6A84"/>
    <w:rsid w:val="00EE70F1"/>
    <w:rsid w:val="00EF0209"/>
    <w:rsid w:val="00EF1B5F"/>
    <w:rsid w:val="00EF330F"/>
    <w:rsid w:val="00EF57A6"/>
    <w:rsid w:val="00EF6A12"/>
    <w:rsid w:val="00F036DD"/>
    <w:rsid w:val="00F047CE"/>
    <w:rsid w:val="00F04B6E"/>
    <w:rsid w:val="00F06821"/>
    <w:rsid w:val="00F076AC"/>
    <w:rsid w:val="00F10B43"/>
    <w:rsid w:val="00F10E40"/>
    <w:rsid w:val="00F10F58"/>
    <w:rsid w:val="00F11651"/>
    <w:rsid w:val="00F126CC"/>
    <w:rsid w:val="00F12C4A"/>
    <w:rsid w:val="00F14E4C"/>
    <w:rsid w:val="00F14F39"/>
    <w:rsid w:val="00F152AA"/>
    <w:rsid w:val="00F160FC"/>
    <w:rsid w:val="00F162BC"/>
    <w:rsid w:val="00F162CD"/>
    <w:rsid w:val="00F2135A"/>
    <w:rsid w:val="00F273E0"/>
    <w:rsid w:val="00F30A77"/>
    <w:rsid w:val="00F33248"/>
    <w:rsid w:val="00F35530"/>
    <w:rsid w:val="00F3645A"/>
    <w:rsid w:val="00F36670"/>
    <w:rsid w:val="00F36A49"/>
    <w:rsid w:val="00F37CC0"/>
    <w:rsid w:val="00F430CF"/>
    <w:rsid w:val="00F434A3"/>
    <w:rsid w:val="00F45F8F"/>
    <w:rsid w:val="00F47B5E"/>
    <w:rsid w:val="00F5630D"/>
    <w:rsid w:val="00F56EA9"/>
    <w:rsid w:val="00F5718E"/>
    <w:rsid w:val="00F607D6"/>
    <w:rsid w:val="00F63689"/>
    <w:rsid w:val="00F65839"/>
    <w:rsid w:val="00F6671F"/>
    <w:rsid w:val="00F66B2C"/>
    <w:rsid w:val="00F717E5"/>
    <w:rsid w:val="00F73EBC"/>
    <w:rsid w:val="00F76925"/>
    <w:rsid w:val="00F76B79"/>
    <w:rsid w:val="00F76D9F"/>
    <w:rsid w:val="00F84D7F"/>
    <w:rsid w:val="00F85666"/>
    <w:rsid w:val="00F87648"/>
    <w:rsid w:val="00F90443"/>
    <w:rsid w:val="00F9118B"/>
    <w:rsid w:val="00F91266"/>
    <w:rsid w:val="00F9140D"/>
    <w:rsid w:val="00F9142F"/>
    <w:rsid w:val="00F915BF"/>
    <w:rsid w:val="00F92888"/>
    <w:rsid w:val="00F92D31"/>
    <w:rsid w:val="00F960B2"/>
    <w:rsid w:val="00F96E0C"/>
    <w:rsid w:val="00FA2226"/>
    <w:rsid w:val="00FA2887"/>
    <w:rsid w:val="00FA2BBA"/>
    <w:rsid w:val="00FA2D1C"/>
    <w:rsid w:val="00FA5EF2"/>
    <w:rsid w:val="00FB27C5"/>
    <w:rsid w:val="00FB64CE"/>
    <w:rsid w:val="00FB6C2C"/>
    <w:rsid w:val="00FC246C"/>
    <w:rsid w:val="00FC461A"/>
    <w:rsid w:val="00FC5596"/>
    <w:rsid w:val="00FC5DD1"/>
    <w:rsid w:val="00FC6DDF"/>
    <w:rsid w:val="00FD23DA"/>
    <w:rsid w:val="00FD3213"/>
    <w:rsid w:val="00FD46F3"/>
    <w:rsid w:val="00FD6730"/>
    <w:rsid w:val="00FD6ECF"/>
    <w:rsid w:val="00FD77C9"/>
    <w:rsid w:val="00FD7CF3"/>
    <w:rsid w:val="00FE02B9"/>
    <w:rsid w:val="00FE3099"/>
    <w:rsid w:val="00FE54D9"/>
    <w:rsid w:val="00FE62FC"/>
    <w:rsid w:val="00FE6599"/>
    <w:rsid w:val="00FF11A2"/>
    <w:rsid w:val="00FF212E"/>
    <w:rsid w:val="00FF273B"/>
    <w:rsid w:val="00FF3447"/>
    <w:rsid w:val="00FF5554"/>
    <w:rsid w:val="00FF7222"/>
    <w:rsid w:val="00FF7B9D"/>
    <w:rsid w:val="01268275"/>
    <w:rsid w:val="012B665E"/>
    <w:rsid w:val="01363661"/>
    <w:rsid w:val="014A3789"/>
    <w:rsid w:val="014E6BE9"/>
    <w:rsid w:val="0158540E"/>
    <w:rsid w:val="0158E3B9"/>
    <w:rsid w:val="01783239"/>
    <w:rsid w:val="0180F911"/>
    <w:rsid w:val="018272A6"/>
    <w:rsid w:val="0185C329"/>
    <w:rsid w:val="0194CCFC"/>
    <w:rsid w:val="01ABF661"/>
    <w:rsid w:val="01B10C04"/>
    <w:rsid w:val="01B1842F"/>
    <w:rsid w:val="01B91652"/>
    <w:rsid w:val="01BCD72E"/>
    <w:rsid w:val="01C2C5FC"/>
    <w:rsid w:val="01C63AA5"/>
    <w:rsid w:val="01D22467"/>
    <w:rsid w:val="01D326D0"/>
    <w:rsid w:val="01FCF9BD"/>
    <w:rsid w:val="01FF7253"/>
    <w:rsid w:val="0201506E"/>
    <w:rsid w:val="0241555B"/>
    <w:rsid w:val="0274BB11"/>
    <w:rsid w:val="02778767"/>
    <w:rsid w:val="0283C93F"/>
    <w:rsid w:val="0285F63B"/>
    <w:rsid w:val="0297EC4E"/>
    <w:rsid w:val="02A0DF03"/>
    <w:rsid w:val="02A839ED"/>
    <w:rsid w:val="02AEA71B"/>
    <w:rsid w:val="02D00CC9"/>
    <w:rsid w:val="02D8F10D"/>
    <w:rsid w:val="02EAD2B1"/>
    <w:rsid w:val="02EC56FC"/>
    <w:rsid w:val="02F29A61"/>
    <w:rsid w:val="02F63801"/>
    <w:rsid w:val="02FAF5D4"/>
    <w:rsid w:val="0303B723"/>
    <w:rsid w:val="0308402F"/>
    <w:rsid w:val="030AD534"/>
    <w:rsid w:val="030CC667"/>
    <w:rsid w:val="03123214"/>
    <w:rsid w:val="03184EBA"/>
    <w:rsid w:val="032E6CB9"/>
    <w:rsid w:val="0335DF87"/>
    <w:rsid w:val="0336D12B"/>
    <w:rsid w:val="03566F3F"/>
    <w:rsid w:val="035C5A15"/>
    <w:rsid w:val="036F3D5E"/>
    <w:rsid w:val="037AD5A9"/>
    <w:rsid w:val="038351A3"/>
    <w:rsid w:val="038DE5C5"/>
    <w:rsid w:val="038E9891"/>
    <w:rsid w:val="03AACD64"/>
    <w:rsid w:val="03B620DD"/>
    <w:rsid w:val="03D09C48"/>
    <w:rsid w:val="03DB0479"/>
    <w:rsid w:val="03F1682C"/>
    <w:rsid w:val="03F191A7"/>
    <w:rsid w:val="03F5D470"/>
    <w:rsid w:val="04034144"/>
    <w:rsid w:val="0408E2F8"/>
    <w:rsid w:val="04170683"/>
    <w:rsid w:val="042518F9"/>
    <w:rsid w:val="04267D01"/>
    <w:rsid w:val="043AB75C"/>
    <w:rsid w:val="045AB0A9"/>
    <w:rsid w:val="048C527A"/>
    <w:rsid w:val="049383D8"/>
    <w:rsid w:val="049EEC42"/>
    <w:rsid w:val="04A268F4"/>
    <w:rsid w:val="04C83000"/>
    <w:rsid w:val="04D82AFA"/>
    <w:rsid w:val="04F9B81D"/>
    <w:rsid w:val="04FFD69B"/>
    <w:rsid w:val="0505096E"/>
    <w:rsid w:val="0512ADD3"/>
    <w:rsid w:val="053242DC"/>
    <w:rsid w:val="05353982"/>
    <w:rsid w:val="05441618"/>
    <w:rsid w:val="054CD319"/>
    <w:rsid w:val="05526BCD"/>
    <w:rsid w:val="05544C63"/>
    <w:rsid w:val="055987EF"/>
    <w:rsid w:val="05619DB2"/>
    <w:rsid w:val="057C73CB"/>
    <w:rsid w:val="058BD624"/>
    <w:rsid w:val="05A41261"/>
    <w:rsid w:val="05AB23E9"/>
    <w:rsid w:val="05AC3588"/>
    <w:rsid w:val="05DBEACA"/>
    <w:rsid w:val="05FED0B2"/>
    <w:rsid w:val="061914C4"/>
    <w:rsid w:val="0629CA92"/>
    <w:rsid w:val="06383F0E"/>
    <w:rsid w:val="06434944"/>
    <w:rsid w:val="065A1EA7"/>
    <w:rsid w:val="06608655"/>
    <w:rsid w:val="068BC508"/>
    <w:rsid w:val="0693E8B7"/>
    <w:rsid w:val="069C9AD2"/>
    <w:rsid w:val="06A2EBDD"/>
    <w:rsid w:val="06A5AF15"/>
    <w:rsid w:val="06AECBA6"/>
    <w:rsid w:val="06B8AFA3"/>
    <w:rsid w:val="06C0CCBD"/>
    <w:rsid w:val="06C15E40"/>
    <w:rsid w:val="06C1EA50"/>
    <w:rsid w:val="06C62E5E"/>
    <w:rsid w:val="06D887A0"/>
    <w:rsid w:val="06E73FE3"/>
    <w:rsid w:val="06F2B8EE"/>
    <w:rsid w:val="06F8300C"/>
    <w:rsid w:val="071816A4"/>
    <w:rsid w:val="071AE13D"/>
    <w:rsid w:val="07390C60"/>
    <w:rsid w:val="0757E2A5"/>
    <w:rsid w:val="0767DC7A"/>
    <w:rsid w:val="0789EA14"/>
    <w:rsid w:val="079E9EB7"/>
    <w:rsid w:val="07B3C970"/>
    <w:rsid w:val="07BB816F"/>
    <w:rsid w:val="07C25DAB"/>
    <w:rsid w:val="07C37CDD"/>
    <w:rsid w:val="07EDFBBC"/>
    <w:rsid w:val="07F5BEC6"/>
    <w:rsid w:val="08062131"/>
    <w:rsid w:val="0806880F"/>
    <w:rsid w:val="0837F08B"/>
    <w:rsid w:val="084398C1"/>
    <w:rsid w:val="0855EFC5"/>
    <w:rsid w:val="085D0D40"/>
    <w:rsid w:val="086020DA"/>
    <w:rsid w:val="0864E852"/>
    <w:rsid w:val="086ACFF6"/>
    <w:rsid w:val="086F4D6C"/>
    <w:rsid w:val="0874E9DB"/>
    <w:rsid w:val="087CDB4D"/>
    <w:rsid w:val="08870C5C"/>
    <w:rsid w:val="088821CE"/>
    <w:rsid w:val="08AD8447"/>
    <w:rsid w:val="08B1CE8C"/>
    <w:rsid w:val="090A3D16"/>
    <w:rsid w:val="0929FBFA"/>
    <w:rsid w:val="09367174"/>
    <w:rsid w:val="093AE5A7"/>
    <w:rsid w:val="0940B7BE"/>
    <w:rsid w:val="096BB036"/>
    <w:rsid w:val="0974D8C4"/>
    <w:rsid w:val="0974FF3C"/>
    <w:rsid w:val="097CA170"/>
    <w:rsid w:val="09BF1E83"/>
    <w:rsid w:val="09D0A225"/>
    <w:rsid w:val="09D54763"/>
    <w:rsid w:val="09D768CD"/>
    <w:rsid w:val="09E02E2B"/>
    <w:rsid w:val="09E053EB"/>
    <w:rsid w:val="09E1E0F1"/>
    <w:rsid w:val="09FA9299"/>
    <w:rsid w:val="09FBBA13"/>
    <w:rsid w:val="0A0277FB"/>
    <w:rsid w:val="0A130549"/>
    <w:rsid w:val="0A1B5D65"/>
    <w:rsid w:val="0A2A032B"/>
    <w:rsid w:val="0A3C3B3C"/>
    <w:rsid w:val="0A4FDDBA"/>
    <w:rsid w:val="0A6D9A2B"/>
    <w:rsid w:val="0A7902A6"/>
    <w:rsid w:val="0A90D083"/>
    <w:rsid w:val="0A9519D8"/>
    <w:rsid w:val="0A9569B8"/>
    <w:rsid w:val="0AA6B0EF"/>
    <w:rsid w:val="0AB9D1E2"/>
    <w:rsid w:val="0AC77093"/>
    <w:rsid w:val="0AE2E8CE"/>
    <w:rsid w:val="0AE32C9D"/>
    <w:rsid w:val="0AEBE59E"/>
    <w:rsid w:val="0AF06258"/>
    <w:rsid w:val="0AF185D6"/>
    <w:rsid w:val="0AF738ED"/>
    <w:rsid w:val="0B0D3073"/>
    <w:rsid w:val="0B40218D"/>
    <w:rsid w:val="0B4598D3"/>
    <w:rsid w:val="0B4BD4B5"/>
    <w:rsid w:val="0B7F7B1C"/>
    <w:rsid w:val="0B8755FD"/>
    <w:rsid w:val="0B8B5295"/>
    <w:rsid w:val="0B90418E"/>
    <w:rsid w:val="0B98B770"/>
    <w:rsid w:val="0BA61515"/>
    <w:rsid w:val="0BA61759"/>
    <w:rsid w:val="0BB113D3"/>
    <w:rsid w:val="0BBA1230"/>
    <w:rsid w:val="0BBE5640"/>
    <w:rsid w:val="0BC453AF"/>
    <w:rsid w:val="0BD60AE7"/>
    <w:rsid w:val="0BDF4EC8"/>
    <w:rsid w:val="0BEA249E"/>
    <w:rsid w:val="0BF12D5A"/>
    <w:rsid w:val="0BF9FB59"/>
    <w:rsid w:val="0C016B62"/>
    <w:rsid w:val="0C0E2982"/>
    <w:rsid w:val="0C1AFAEF"/>
    <w:rsid w:val="0C1C4FC7"/>
    <w:rsid w:val="0C22A2B5"/>
    <w:rsid w:val="0C2DA638"/>
    <w:rsid w:val="0C3556A9"/>
    <w:rsid w:val="0C3ADD4F"/>
    <w:rsid w:val="0C4479D1"/>
    <w:rsid w:val="0C453735"/>
    <w:rsid w:val="0C4B63EF"/>
    <w:rsid w:val="0C620657"/>
    <w:rsid w:val="0C6231AC"/>
    <w:rsid w:val="0C830938"/>
    <w:rsid w:val="0C84386F"/>
    <w:rsid w:val="0C86494F"/>
    <w:rsid w:val="0C87D110"/>
    <w:rsid w:val="0C9642D1"/>
    <w:rsid w:val="0CAE3081"/>
    <w:rsid w:val="0CB3ED30"/>
    <w:rsid w:val="0CBB4A53"/>
    <w:rsid w:val="0CC0B50B"/>
    <w:rsid w:val="0CC2C27B"/>
    <w:rsid w:val="0CCD7294"/>
    <w:rsid w:val="0CD193CD"/>
    <w:rsid w:val="0CD41872"/>
    <w:rsid w:val="0CE72138"/>
    <w:rsid w:val="0CECF3E7"/>
    <w:rsid w:val="0D044843"/>
    <w:rsid w:val="0D0F2900"/>
    <w:rsid w:val="0D177767"/>
    <w:rsid w:val="0D2F1222"/>
    <w:rsid w:val="0D46F090"/>
    <w:rsid w:val="0D4EBA0C"/>
    <w:rsid w:val="0D533E45"/>
    <w:rsid w:val="0D6A7B15"/>
    <w:rsid w:val="0D6FE47E"/>
    <w:rsid w:val="0D70F2EB"/>
    <w:rsid w:val="0D7D2C38"/>
    <w:rsid w:val="0D7D3B9F"/>
    <w:rsid w:val="0D876902"/>
    <w:rsid w:val="0DA43F36"/>
    <w:rsid w:val="0DA4863E"/>
    <w:rsid w:val="0DB1E6AC"/>
    <w:rsid w:val="0DC87145"/>
    <w:rsid w:val="0DCA2D15"/>
    <w:rsid w:val="0DF8EA12"/>
    <w:rsid w:val="0DF9386A"/>
    <w:rsid w:val="0E053E40"/>
    <w:rsid w:val="0E09223F"/>
    <w:rsid w:val="0E146558"/>
    <w:rsid w:val="0E269316"/>
    <w:rsid w:val="0E3514A4"/>
    <w:rsid w:val="0E67BDFF"/>
    <w:rsid w:val="0E6F5E28"/>
    <w:rsid w:val="0E701F45"/>
    <w:rsid w:val="0E93B8B8"/>
    <w:rsid w:val="0E9BFEFC"/>
    <w:rsid w:val="0E9CDA25"/>
    <w:rsid w:val="0EA82244"/>
    <w:rsid w:val="0EAB4D7E"/>
    <w:rsid w:val="0EC9538F"/>
    <w:rsid w:val="0EDB2C59"/>
    <w:rsid w:val="0EDB78DC"/>
    <w:rsid w:val="0EDD8401"/>
    <w:rsid w:val="0EEB74B6"/>
    <w:rsid w:val="0EF169BC"/>
    <w:rsid w:val="0EF2E94F"/>
    <w:rsid w:val="0EF5F702"/>
    <w:rsid w:val="0EF7BA0E"/>
    <w:rsid w:val="0F05B312"/>
    <w:rsid w:val="0F0EEF54"/>
    <w:rsid w:val="0F0F67CD"/>
    <w:rsid w:val="0F1F7ABD"/>
    <w:rsid w:val="0F24BD15"/>
    <w:rsid w:val="0F28842A"/>
    <w:rsid w:val="0F376CFA"/>
    <w:rsid w:val="0F425003"/>
    <w:rsid w:val="0F4FA175"/>
    <w:rsid w:val="0F54692D"/>
    <w:rsid w:val="0F916CEB"/>
    <w:rsid w:val="0F92BF91"/>
    <w:rsid w:val="0FBB0444"/>
    <w:rsid w:val="0FBFF87A"/>
    <w:rsid w:val="0FC4E09D"/>
    <w:rsid w:val="0FD178CA"/>
    <w:rsid w:val="0FDA8DCD"/>
    <w:rsid w:val="0FF70949"/>
    <w:rsid w:val="1004087A"/>
    <w:rsid w:val="100458BD"/>
    <w:rsid w:val="1011F0CA"/>
    <w:rsid w:val="101E9F7E"/>
    <w:rsid w:val="1021B11A"/>
    <w:rsid w:val="104FFE6D"/>
    <w:rsid w:val="10502CE2"/>
    <w:rsid w:val="106F6CC6"/>
    <w:rsid w:val="10751B94"/>
    <w:rsid w:val="107D532D"/>
    <w:rsid w:val="10AAD7F3"/>
    <w:rsid w:val="10CC230A"/>
    <w:rsid w:val="10CC4211"/>
    <w:rsid w:val="10D2771B"/>
    <w:rsid w:val="10DD7CE8"/>
    <w:rsid w:val="10DDAD58"/>
    <w:rsid w:val="10EC07D3"/>
    <w:rsid w:val="10F5FDBA"/>
    <w:rsid w:val="11124746"/>
    <w:rsid w:val="111CF52F"/>
    <w:rsid w:val="11286381"/>
    <w:rsid w:val="1147C0D4"/>
    <w:rsid w:val="1156ACB8"/>
    <w:rsid w:val="115FBA23"/>
    <w:rsid w:val="116901C7"/>
    <w:rsid w:val="11854B58"/>
    <w:rsid w:val="1188C7F5"/>
    <w:rsid w:val="11D14B60"/>
    <w:rsid w:val="11F6B4C2"/>
    <w:rsid w:val="120A5776"/>
    <w:rsid w:val="12151187"/>
    <w:rsid w:val="12158F08"/>
    <w:rsid w:val="12238002"/>
    <w:rsid w:val="12244A73"/>
    <w:rsid w:val="1235464C"/>
    <w:rsid w:val="12496C7D"/>
    <w:rsid w:val="12502DBD"/>
    <w:rsid w:val="1258F340"/>
    <w:rsid w:val="1286B2D4"/>
    <w:rsid w:val="128EAE5A"/>
    <w:rsid w:val="12A03886"/>
    <w:rsid w:val="12DC6FE1"/>
    <w:rsid w:val="12E346BE"/>
    <w:rsid w:val="12EBCD9F"/>
    <w:rsid w:val="1316D69C"/>
    <w:rsid w:val="13232BFA"/>
    <w:rsid w:val="13267FC0"/>
    <w:rsid w:val="132DF511"/>
    <w:rsid w:val="133A8314"/>
    <w:rsid w:val="133BA93C"/>
    <w:rsid w:val="134870F8"/>
    <w:rsid w:val="13490C77"/>
    <w:rsid w:val="134D2836"/>
    <w:rsid w:val="13655326"/>
    <w:rsid w:val="136EC5A2"/>
    <w:rsid w:val="1387F639"/>
    <w:rsid w:val="1393312D"/>
    <w:rsid w:val="13936B05"/>
    <w:rsid w:val="13A7B12D"/>
    <w:rsid w:val="13B0016C"/>
    <w:rsid w:val="13B9AA7D"/>
    <w:rsid w:val="13C08AF5"/>
    <w:rsid w:val="13C9AC09"/>
    <w:rsid w:val="13DB6181"/>
    <w:rsid w:val="13DE9999"/>
    <w:rsid w:val="13FB1146"/>
    <w:rsid w:val="1400B607"/>
    <w:rsid w:val="14195AA1"/>
    <w:rsid w:val="14201D60"/>
    <w:rsid w:val="14247156"/>
    <w:rsid w:val="1438F919"/>
    <w:rsid w:val="1440EB76"/>
    <w:rsid w:val="14528387"/>
    <w:rsid w:val="14595653"/>
    <w:rsid w:val="1462ACA4"/>
    <w:rsid w:val="14659FE2"/>
    <w:rsid w:val="146D4391"/>
    <w:rsid w:val="146DD4D7"/>
    <w:rsid w:val="14851A20"/>
    <w:rsid w:val="14906EEA"/>
    <w:rsid w:val="14A24339"/>
    <w:rsid w:val="14AE18EF"/>
    <w:rsid w:val="14BD2B18"/>
    <w:rsid w:val="14E52131"/>
    <w:rsid w:val="14E5BBB7"/>
    <w:rsid w:val="14E80F99"/>
    <w:rsid w:val="14F786BF"/>
    <w:rsid w:val="150111CC"/>
    <w:rsid w:val="1501D094"/>
    <w:rsid w:val="15038DDA"/>
    <w:rsid w:val="151D573C"/>
    <w:rsid w:val="151E5D52"/>
    <w:rsid w:val="15210D59"/>
    <w:rsid w:val="1525812A"/>
    <w:rsid w:val="152EB5BF"/>
    <w:rsid w:val="1542B86D"/>
    <w:rsid w:val="1542DDE9"/>
    <w:rsid w:val="1544B0CF"/>
    <w:rsid w:val="155A4A4A"/>
    <w:rsid w:val="155B7AFB"/>
    <w:rsid w:val="155CC95C"/>
    <w:rsid w:val="155D30EA"/>
    <w:rsid w:val="155E8195"/>
    <w:rsid w:val="15644B8E"/>
    <w:rsid w:val="156E67CE"/>
    <w:rsid w:val="156F2022"/>
    <w:rsid w:val="157AD9E9"/>
    <w:rsid w:val="157AE3C8"/>
    <w:rsid w:val="1583EC8F"/>
    <w:rsid w:val="15878530"/>
    <w:rsid w:val="159B1B58"/>
    <w:rsid w:val="15B0EE0B"/>
    <w:rsid w:val="15D087D3"/>
    <w:rsid w:val="15D10DB2"/>
    <w:rsid w:val="15E1CE87"/>
    <w:rsid w:val="15FD7776"/>
    <w:rsid w:val="1600718A"/>
    <w:rsid w:val="1601CDD7"/>
    <w:rsid w:val="16038869"/>
    <w:rsid w:val="1605A113"/>
    <w:rsid w:val="1623C16F"/>
    <w:rsid w:val="1637EB94"/>
    <w:rsid w:val="163F203F"/>
    <w:rsid w:val="165AF58F"/>
    <w:rsid w:val="166C717C"/>
    <w:rsid w:val="166D5544"/>
    <w:rsid w:val="167F8E86"/>
    <w:rsid w:val="1680C827"/>
    <w:rsid w:val="16852A95"/>
    <w:rsid w:val="168CD110"/>
    <w:rsid w:val="169B87A3"/>
    <w:rsid w:val="169E94BB"/>
    <w:rsid w:val="16A903C8"/>
    <w:rsid w:val="16D15AEC"/>
    <w:rsid w:val="16D5F2D6"/>
    <w:rsid w:val="16D6E757"/>
    <w:rsid w:val="16E871C0"/>
    <w:rsid w:val="171B46E6"/>
    <w:rsid w:val="177E2DA0"/>
    <w:rsid w:val="177F33E3"/>
    <w:rsid w:val="179C8C4C"/>
    <w:rsid w:val="17A34D77"/>
    <w:rsid w:val="17AB968D"/>
    <w:rsid w:val="17C36252"/>
    <w:rsid w:val="17D603D0"/>
    <w:rsid w:val="17E13F5C"/>
    <w:rsid w:val="17E86FBA"/>
    <w:rsid w:val="1816B4E5"/>
    <w:rsid w:val="1828A171"/>
    <w:rsid w:val="1838C449"/>
    <w:rsid w:val="183A805A"/>
    <w:rsid w:val="184241A6"/>
    <w:rsid w:val="184F26E2"/>
    <w:rsid w:val="18538D79"/>
    <w:rsid w:val="1861C70E"/>
    <w:rsid w:val="187009A1"/>
    <w:rsid w:val="1871D678"/>
    <w:rsid w:val="18722EAF"/>
    <w:rsid w:val="1872CDB9"/>
    <w:rsid w:val="1883B376"/>
    <w:rsid w:val="1894CF91"/>
    <w:rsid w:val="189A6896"/>
    <w:rsid w:val="18A1BBF8"/>
    <w:rsid w:val="18AFD2BA"/>
    <w:rsid w:val="18B8AE01"/>
    <w:rsid w:val="18BFE01D"/>
    <w:rsid w:val="18D6D55B"/>
    <w:rsid w:val="18DAA0CD"/>
    <w:rsid w:val="18EBCED0"/>
    <w:rsid w:val="18FCAB9C"/>
    <w:rsid w:val="18FEFF7E"/>
    <w:rsid w:val="18FF2E1C"/>
    <w:rsid w:val="1900A1B9"/>
    <w:rsid w:val="190F7DBA"/>
    <w:rsid w:val="191B6BD9"/>
    <w:rsid w:val="191C0B1B"/>
    <w:rsid w:val="1933C1BD"/>
    <w:rsid w:val="1941F4BC"/>
    <w:rsid w:val="1942DC13"/>
    <w:rsid w:val="19451F7C"/>
    <w:rsid w:val="194E7DFE"/>
    <w:rsid w:val="19554FB8"/>
    <w:rsid w:val="19555776"/>
    <w:rsid w:val="1959156D"/>
    <w:rsid w:val="1974DF85"/>
    <w:rsid w:val="1977D66A"/>
    <w:rsid w:val="19831E75"/>
    <w:rsid w:val="1986ABA5"/>
    <w:rsid w:val="198A5AE5"/>
    <w:rsid w:val="199BC9CC"/>
    <w:rsid w:val="199CC8B9"/>
    <w:rsid w:val="19B58F0E"/>
    <w:rsid w:val="19B9F645"/>
    <w:rsid w:val="19DE0726"/>
    <w:rsid w:val="1A050E16"/>
    <w:rsid w:val="1A1D6218"/>
    <w:rsid w:val="1A272FD4"/>
    <w:rsid w:val="1A3BCA70"/>
    <w:rsid w:val="1A42E271"/>
    <w:rsid w:val="1A499024"/>
    <w:rsid w:val="1A5DD144"/>
    <w:rsid w:val="1A5FC8FC"/>
    <w:rsid w:val="1A6002B4"/>
    <w:rsid w:val="1A68A9D2"/>
    <w:rsid w:val="1A738C91"/>
    <w:rsid w:val="1A89AE99"/>
    <w:rsid w:val="1A89DC1A"/>
    <w:rsid w:val="1A8F4AFD"/>
    <w:rsid w:val="1A9DA6FC"/>
    <w:rsid w:val="1A9EADB3"/>
    <w:rsid w:val="1AA86FF5"/>
    <w:rsid w:val="1AACF111"/>
    <w:rsid w:val="1AB1FAE1"/>
    <w:rsid w:val="1ABF96A4"/>
    <w:rsid w:val="1ACD76A4"/>
    <w:rsid w:val="1AE16F98"/>
    <w:rsid w:val="1AE5641D"/>
    <w:rsid w:val="1AE7745B"/>
    <w:rsid w:val="1AE8DC53"/>
    <w:rsid w:val="1AF0B919"/>
    <w:rsid w:val="1B29D298"/>
    <w:rsid w:val="1B2B85A7"/>
    <w:rsid w:val="1B2E66B2"/>
    <w:rsid w:val="1B371A51"/>
    <w:rsid w:val="1B4CA747"/>
    <w:rsid w:val="1B5EA309"/>
    <w:rsid w:val="1B6B8569"/>
    <w:rsid w:val="1B7528B4"/>
    <w:rsid w:val="1B88DC42"/>
    <w:rsid w:val="1B9D79C7"/>
    <w:rsid w:val="1B9F421B"/>
    <w:rsid w:val="1BA17A38"/>
    <w:rsid w:val="1BACDBC5"/>
    <w:rsid w:val="1BACF603"/>
    <w:rsid w:val="1BB1E994"/>
    <w:rsid w:val="1BB54873"/>
    <w:rsid w:val="1BC1626D"/>
    <w:rsid w:val="1BC79134"/>
    <w:rsid w:val="1BD35CBD"/>
    <w:rsid w:val="1BDE20C0"/>
    <w:rsid w:val="1BE8940E"/>
    <w:rsid w:val="1BF0F39E"/>
    <w:rsid w:val="1C03AF24"/>
    <w:rsid w:val="1C10CC33"/>
    <w:rsid w:val="1C15195A"/>
    <w:rsid w:val="1C4567B4"/>
    <w:rsid w:val="1C516603"/>
    <w:rsid w:val="1C56FC6E"/>
    <w:rsid w:val="1C5D20A1"/>
    <w:rsid w:val="1C646838"/>
    <w:rsid w:val="1C6AB3F2"/>
    <w:rsid w:val="1C71715B"/>
    <w:rsid w:val="1C717A61"/>
    <w:rsid w:val="1C75CDB7"/>
    <w:rsid w:val="1C78F363"/>
    <w:rsid w:val="1C836108"/>
    <w:rsid w:val="1C852040"/>
    <w:rsid w:val="1C88487D"/>
    <w:rsid w:val="1CB74D47"/>
    <w:rsid w:val="1CB8EA3E"/>
    <w:rsid w:val="1CBA038F"/>
    <w:rsid w:val="1CBE44D4"/>
    <w:rsid w:val="1CBFCDD3"/>
    <w:rsid w:val="1CDDDD6B"/>
    <w:rsid w:val="1CFC7F8B"/>
    <w:rsid w:val="1D085279"/>
    <w:rsid w:val="1D0F280D"/>
    <w:rsid w:val="1D11CAB1"/>
    <w:rsid w:val="1D11CC5E"/>
    <w:rsid w:val="1D14632C"/>
    <w:rsid w:val="1D22C0C4"/>
    <w:rsid w:val="1D29E9D0"/>
    <w:rsid w:val="1D3D46D4"/>
    <w:rsid w:val="1D4DAB91"/>
    <w:rsid w:val="1D4E608E"/>
    <w:rsid w:val="1D5F3819"/>
    <w:rsid w:val="1D6D18BF"/>
    <w:rsid w:val="1D6F0754"/>
    <w:rsid w:val="1D7C8025"/>
    <w:rsid w:val="1D97A9D5"/>
    <w:rsid w:val="1DB0F3C8"/>
    <w:rsid w:val="1DF91927"/>
    <w:rsid w:val="1E020B43"/>
    <w:rsid w:val="1E077DE8"/>
    <w:rsid w:val="1E09B041"/>
    <w:rsid w:val="1E17DADB"/>
    <w:rsid w:val="1E3D673B"/>
    <w:rsid w:val="1E441C5D"/>
    <w:rsid w:val="1E47CCBA"/>
    <w:rsid w:val="1E4CA908"/>
    <w:rsid w:val="1E640BC0"/>
    <w:rsid w:val="1E69194C"/>
    <w:rsid w:val="1E82BC99"/>
    <w:rsid w:val="1E85AB74"/>
    <w:rsid w:val="1E86F2D9"/>
    <w:rsid w:val="1E8C7702"/>
    <w:rsid w:val="1E95048E"/>
    <w:rsid w:val="1E95A799"/>
    <w:rsid w:val="1E9D2B93"/>
    <w:rsid w:val="1EA8B068"/>
    <w:rsid w:val="1EACC4FB"/>
    <w:rsid w:val="1EC6B901"/>
    <w:rsid w:val="1ED07DBC"/>
    <w:rsid w:val="1EE29A73"/>
    <w:rsid w:val="1EE34B3F"/>
    <w:rsid w:val="1EFDB92E"/>
    <w:rsid w:val="1F068A8C"/>
    <w:rsid w:val="1F1AC5DB"/>
    <w:rsid w:val="1F34FCE5"/>
    <w:rsid w:val="1F3ED8A9"/>
    <w:rsid w:val="1F4082D6"/>
    <w:rsid w:val="1F4A7C06"/>
    <w:rsid w:val="1F4D02FD"/>
    <w:rsid w:val="1F4DA4B6"/>
    <w:rsid w:val="1F635AC4"/>
    <w:rsid w:val="1F711A51"/>
    <w:rsid w:val="1F76F60E"/>
    <w:rsid w:val="1FACFE9A"/>
    <w:rsid w:val="1FBE1EFC"/>
    <w:rsid w:val="1FBFE93F"/>
    <w:rsid w:val="1FDD8322"/>
    <w:rsid w:val="1FE82AED"/>
    <w:rsid w:val="1FEFE682"/>
    <w:rsid w:val="1FFF8DF1"/>
    <w:rsid w:val="2007A09F"/>
    <w:rsid w:val="2013A178"/>
    <w:rsid w:val="203130BC"/>
    <w:rsid w:val="204056CC"/>
    <w:rsid w:val="20416E5E"/>
    <w:rsid w:val="2042904D"/>
    <w:rsid w:val="206CD8F3"/>
    <w:rsid w:val="2073C236"/>
    <w:rsid w:val="207CC97B"/>
    <w:rsid w:val="208982C7"/>
    <w:rsid w:val="20A8E6CE"/>
    <w:rsid w:val="20BD2DE9"/>
    <w:rsid w:val="20C9DA9A"/>
    <w:rsid w:val="20CE735B"/>
    <w:rsid w:val="20D4005A"/>
    <w:rsid w:val="20F1CDEE"/>
    <w:rsid w:val="211E2357"/>
    <w:rsid w:val="2139C027"/>
    <w:rsid w:val="213FDA20"/>
    <w:rsid w:val="2151C0DB"/>
    <w:rsid w:val="21574EA9"/>
    <w:rsid w:val="215BD978"/>
    <w:rsid w:val="2161972A"/>
    <w:rsid w:val="2166CEEE"/>
    <w:rsid w:val="2171D6BD"/>
    <w:rsid w:val="217A74B8"/>
    <w:rsid w:val="217E07F9"/>
    <w:rsid w:val="21877C8B"/>
    <w:rsid w:val="218E3CCA"/>
    <w:rsid w:val="21998A3D"/>
    <w:rsid w:val="21B3FFAE"/>
    <w:rsid w:val="21BD097B"/>
    <w:rsid w:val="21C15A98"/>
    <w:rsid w:val="21C6A262"/>
    <w:rsid w:val="21C90650"/>
    <w:rsid w:val="21CDC6F1"/>
    <w:rsid w:val="21D0D722"/>
    <w:rsid w:val="21ED62D1"/>
    <w:rsid w:val="21FAAD95"/>
    <w:rsid w:val="21FDE8EC"/>
    <w:rsid w:val="21FF632B"/>
    <w:rsid w:val="22149E0A"/>
    <w:rsid w:val="22151810"/>
    <w:rsid w:val="22168C01"/>
    <w:rsid w:val="2218B63C"/>
    <w:rsid w:val="22191E97"/>
    <w:rsid w:val="222D72BE"/>
    <w:rsid w:val="22557518"/>
    <w:rsid w:val="228596E2"/>
    <w:rsid w:val="22B91641"/>
    <w:rsid w:val="22D04C0B"/>
    <w:rsid w:val="22F7771D"/>
    <w:rsid w:val="2303051E"/>
    <w:rsid w:val="230D1A91"/>
    <w:rsid w:val="230D6D22"/>
    <w:rsid w:val="230E2389"/>
    <w:rsid w:val="2342F624"/>
    <w:rsid w:val="2343FC67"/>
    <w:rsid w:val="23479060"/>
    <w:rsid w:val="235388D6"/>
    <w:rsid w:val="235AC910"/>
    <w:rsid w:val="236CF1B0"/>
    <w:rsid w:val="23894FD6"/>
    <w:rsid w:val="238DB04D"/>
    <w:rsid w:val="2397DBF7"/>
    <w:rsid w:val="23995259"/>
    <w:rsid w:val="23A149BB"/>
    <w:rsid w:val="23A81193"/>
    <w:rsid w:val="23AE1D3E"/>
    <w:rsid w:val="23B61F74"/>
    <w:rsid w:val="23BB83F8"/>
    <w:rsid w:val="23C13C02"/>
    <w:rsid w:val="23C33D35"/>
    <w:rsid w:val="23DC7BEE"/>
    <w:rsid w:val="23E6A756"/>
    <w:rsid w:val="23F7E7C8"/>
    <w:rsid w:val="24078076"/>
    <w:rsid w:val="2415653D"/>
    <w:rsid w:val="24298B1A"/>
    <w:rsid w:val="242DC51F"/>
    <w:rsid w:val="2438D252"/>
    <w:rsid w:val="243C7E23"/>
    <w:rsid w:val="243CB366"/>
    <w:rsid w:val="2440E22A"/>
    <w:rsid w:val="244F95E3"/>
    <w:rsid w:val="245651C0"/>
    <w:rsid w:val="2462F8E3"/>
    <w:rsid w:val="2466C62D"/>
    <w:rsid w:val="246F39E3"/>
    <w:rsid w:val="247A3205"/>
    <w:rsid w:val="247AFE50"/>
    <w:rsid w:val="2491E626"/>
    <w:rsid w:val="24924508"/>
    <w:rsid w:val="249F8AA4"/>
    <w:rsid w:val="24AF2EE4"/>
    <w:rsid w:val="24B6B3B4"/>
    <w:rsid w:val="24BC9AD6"/>
    <w:rsid w:val="24E4B5E9"/>
    <w:rsid w:val="25028115"/>
    <w:rsid w:val="25158902"/>
    <w:rsid w:val="251702BA"/>
    <w:rsid w:val="25243B8C"/>
    <w:rsid w:val="25341D30"/>
    <w:rsid w:val="253C463F"/>
    <w:rsid w:val="2543025C"/>
    <w:rsid w:val="25650293"/>
    <w:rsid w:val="256E69D8"/>
    <w:rsid w:val="25851321"/>
    <w:rsid w:val="25860D40"/>
    <w:rsid w:val="25948685"/>
    <w:rsid w:val="25975BDE"/>
    <w:rsid w:val="25AD2337"/>
    <w:rsid w:val="25CAA406"/>
    <w:rsid w:val="25D4D11E"/>
    <w:rsid w:val="25EB397C"/>
    <w:rsid w:val="25EE6285"/>
    <w:rsid w:val="25F26B8A"/>
    <w:rsid w:val="25F99EFD"/>
    <w:rsid w:val="26078AE2"/>
    <w:rsid w:val="2623A284"/>
    <w:rsid w:val="2628A3CC"/>
    <w:rsid w:val="263C577D"/>
    <w:rsid w:val="2640204E"/>
    <w:rsid w:val="26422C59"/>
    <w:rsid w:val="2643DA13"/>
    <w:rsid w:val="2645A341"/>
    <w:rsid w:val="264FEDAC"/>
    <w:rsid w:val="26582819"/>
    <w:rsid w:val="26610553"/>
    <w:rsid w:val="266C3915"/>
    <w:rsid w:val="267068CA"/>
    <w:rsid w:val="2670C905"/>
    <w:rsid w:val="267609D0"/>
    <w:rsid w:val="26790EE7"/>
    <w:rsid w:val="2682DBB7"/>
    <w:rsid w:val="26915B4E"/>
    <w:rsid w:val="26986B2E"/>
    <w:rsid w:val="269A94C1"/>
    <w:rsid w:val="269CFC84"/>
    <w:rsid w:val="26B45CCD"/>
    <w:rsid w:val="26BB4572"/>
    <w:rsid w:val="26DD0642"/>
    <w:rsid w:val="26E2934B"/>
    <w:rsid w:val="26E5E514"/>
    <w:rsid w:val="26FD06CF"/>
    <w:rsid w:val="270165C2"/>
    <w:rsid w:val="2707C31D"/>
    <w:rsid w:val="2717C604"/>
    <w:rsid w:val="27308DD4"/>
    <w:rsid w:val="27323E51"/>
    <w:rsid w:val="27387F02"/>
    <w:rsid w:val="273C03CD"/>
    <w:rsid w:val="274341DE"/>
    <w:rsid w:val="274B8B1C"/>
    <w:rsid w:val="274C3EF7"/>
    <w:rsid w:val="276A35F7"/>
    <w:rsid w:val="27704D60"/>
    <w:rsid w:val="278CE23C"/>
    <w:rsid w:val="278DD678"/>
    <w:rsid w:val="27937899"/>
    <w:rsid w:val="279D8BC8"/>
    <w:rsid w:val="279E6D2B"/>
    <w:rsid w:val="27CB2438"/>
    <w:rsid w:val="27E08C70"/>
    <w:rsid w:val="27E18AFB"/>
    <w:rsid w:val="28046119"/>
    <w:rsid w:val="281F09A8"/>
    <w:rsid w:val="283F0C46"/>
    <w:rsid w:val="28438243"/>
    <w:rsid w:val="285E37A5"/>
    <w:rsid w:val="28646809"/>
    <w:rsid w:val="28753DC9"/>
    <w:rsid w:val="289CF2B3"/>
    <w:rsid w:val="28A53004"/>
    <w:rsid w:val="28AA5F60"/>
    <w:rsid w:val="28CBF893"/>
    <w:rsid w:val="28D44F63"/>
    <w:rsid w:val="28D626DE"/>
    <w:rsid w:val="28F049E3"/>
    <w:rsid w:val="2903A0A4"/>
    <w:rsid w:val="2908F1B2"/>
    <w:rsid w:val="2918A501"/>
    <w:rsid w:val="291EB1BA"/>
    <w:rsid w:val="29227B4C"/>
    <w:rsid w:val="29300637"/>
    <w:rsid w:val="293CC8E6"/>
    <w:rsid w:val="29434FC8"/>
    <w:rsid w:val="29616337"/>
    <w:rsid w:val="2972CCFF"/>
    <w:rsid w:val="298CDD41"/>
    <w:rsid w:val="29978C53"/>
    <w:rsid w:val="299C59B1"/>
    <w:rsid w:val="299D2632"/>
    <w:rsid w:val="29B362FA"/>
    <w:rsid w:val="29C781EA"/>
    <w:rsid w:val="29D83C4C"/>
    <w:rsid w:val="29D9E2A9"/>
    <w:rsid w:val="29DB5114"/>
    <w:rsid w:val="2A09EB1E"/>
    <w:rsid w:val="2A13BB39"/>
    <w:rsid w:val="2A19FA7F"/>
    <w:rsid w:val="2A1ADAE2"/>
    <w:rsid w:val="2A25DFCA"/>
    <w:rsid w:val="2A2F068B"/>
    <w:rsid w:val="2A342BF9"/>
    <w:rsid w:val="2A377DB9"/>
    <w:rsid w:val="2A3CFA09"/>
    <w:rsid w:val="2A3E2963"/>
    <w:rsid w:val="2A51AF6B"/>
    <w:rsid w:val="2A5A1C19"/>
    <w:rsid w:val="2A60A8B8"/>
    <w:rsid w:val="2A6E283F"/>
    <w:rsid w:val="2A79B9BE"/>
    <w:rsid w:val="2A80AB92"/>
    <w:rsid w:val="2A96B5ED"/>
    <w:rsid w:val="2AABBFA7"/>
    <w:rsid w:val="2AC4E1EC"/>
    <w:rsid w:val="2AD71DDD"/>
    <w:rsid w:val="2B0B9023"/>
    <w:rsid w:val="2B1176FC"/>
    <w:rsid w:val="2B1D0227"/>
    <w:rsid w:val="2B2EDA58"/>
    <w:rsid w:val="2B3434BC"/>
    <w:rsid w:val="2B488B2E"/>
    <w:rsid w:val="2B56A584"/>
    <w:rsid w:val="2B5AD8FA"/>
    <w:rsid w:val="2B61380D"/>
    <w:rsid w:val="2B66300B"/>
    <w:rsid w:val="2B6BBC26"/>
    <w:rsid w:val="2B6D44CD"/>
    <w:rsid w:val="2B7A0EBD"/>
    <w:rsid w:val="2B7C9ADA"/>
    <w:rsid w:val="2BBD7914"/>
    <w:rsid w:val="2BBD7CF6"/>
    <w:rsid w:val="2BD9CE42"/>
    <w:rsid w:val="2BE87E9B"/>
    <w:rsid w:val="2BFB8E44"/>
    <w:rsid w:val="2BFBE80E"/>
    <w:rsid w:val="2C105CB4"/>
    <w:rsid w:val="2C1CB3F0"/>
    <w:rsid w:val="2C344D2E"/>
    <w:rsid w:val="2C379F61"/>
    <w:rsid w:val="2C42CDB6"/>
    <w:rsid w:val="2C435982"/>
    <w:rsid w:val="2C51D176"/>
    <w:rsid w:val="2C5496A1"/>
    <w:rsid w:val="2C572877"/>
    <w:rsid w:val="2C6DB751"/>
    <w:rsid w:val="2C7DF6A8"/>
    <w:rsid w:val="2C9A58AE"/>
    <w:rsid w:val="2C9F63D6"/>
    <w:rsid w:val="2CB4DBA6"/>
    <w:rsid w:val="2CB849D3"/>
    <w:rsid w:val="2CBD6E91"/>
    <w:rsid w:val="2CBDF9C8"/>
    <w:rsid w:val="2CC9D834"/>
    <w:rsid w:val="2CCBA78C"/>
    <w:rsid w:val="2CEF11D8"/>
    <w:rsid w:val="2CF27ACB"/>
    <w:rsid w:val="2CF476A0"/>
    <w:rsid w:val="2D00913F"/>
    <w:rsid w:val="2D0E7F56"/>
    <w:rsid w:val="2D135FAD"/>
    <w:rsid w:val="2D1E05BC"/>
    <w:rsid w:val="2D217422"/>
    <w:rsid w:val="2D331521"/>
    <w:rsid w:val="2D4FC996"/>
    <w:rsid w:val="2D6B3B35"/>
    <w:rsid w:val="2D73BC39"/>
    <w:rsid w:val="2D8061A5"/>
    <w:rsid w:val="2D99EDCB"/>
    <w:rsid w:val="2DA4F29E"/>
    <w:rsid w:val="2DAB7D97"/>
    <w:rsid w:val="2DB44C8B"/>
    <w:rsid w:val="2DB8BC5F"/>
    <w:rsid w:val="2DB9EA37"/>
    <w:rsid w:val="2DBD8DEE"/>
    <w:rsid w:val="2DC9BC3C"/>
    <w:rsid w:val="2DD18BA4"/>
    <w:rsid w:val="2DED3E4F"/>
    <w:rsid w:val="2DF02F93"/>
    <w:rsid w:val="2DFCBFAA"/>
    <w:rsid w:val="2E08545B"/>
    <w:rsid w:val="2E08E07C"/>
    <w:rsid w:val="2E0C07CD"/>
    <w:rsid w:val="2E1DEC0E"/>
    <w:rsid w:val="2E205739"/>
    <w:rsid w:val="2E2AF7D3"/>
    <w:rsid w:val="2E2BFF49"/>
    <w:rsid w:val="2E2E1970"/>
    <w:rsid w:val="2E5DC0DA"/>
    <w:rsid w:val="2E5E94A3"/>
    <w:rsid w:val="2E5FEEA0"/>
    <w:rsid w:val="2E697E4A"/>
    <w:rsid w:val="2E741716"/>
    <w:rsid w:val="2E7A88D6"/>
    <w:rsid w:val="2E7F6702"/>
    <w:rsid w:val="2E86816C"/>
    <w:rsid w:val="2E8AF590"/>
    <w:rsid w:val="2E97F7A4"/>
    <w:rsid w:val="2EA4D076"/>
    <w:rsid w:val="2EB73B72"/>
    <w:rsid w:val="2EB79702"/>
    <w:rsid w:val="2EBB050D"/>
    <w:rsid w:val="2EC6061E"/>
    <w:rsid w:val="2ECF346C"/>
    <w:rsid w:val="2EE172CF"/>
    <w:rsid w:val="2EE9386B"/>
    <w:rsid w:val="2EFAB256"/>
    <w:rsid w:val="2F0F0ED5"/>
    <w:rsid w:val="2F12D9AF"/>
    <w:rsid w:val="2F1F43D5"/>
    <w:rsid w:val="2F34BEF8"/>
    <w:rsid w:val="2F5ABFA6"/>
    <w:rsid w:val="2F6057B0"/>
    <w:rsid w:val="2F7F86A0"/>
    <w:rsid w:val="2F84E1E0"/>
    <w:rsid w:val="2F99DF96"/>
    <w:rsid w:val="2F9B2E80"/>
    <w:rsid w:val="2FA087BE"/>
    <w:rsid w:val="2FB0A6A9"/>
    <w:rsid w:val="2FC12F23"/>
    <w:rsid w:val="2FC4D232"/>
    <w:rsid w:val="2FCB20E5"/>
    <w:rsid w:val="2FCF9C10"/>
    <w:rsid w:val="2FDBACB3"/>
    <w:rsid w:val="2FE5FEA8"/>
    <w:rsid w:val="2FF06AD2"/>
    <w:rsid w:val="2FFCB231"/>
    <w:rsid w:val="300BD6C2"/>
    <w:rsid w:val="301A6768"/>
    <w:rsid w:val="30237C20"/>
    <w:rsid w:val="3024AED8"/>
    <w:rsid w:val="302C2BCE"/>
    <w:rsid w:val="302C6794"/>
    <w:rsid w:val="30331727"/>
    <w:rsid w:val="304AE43C"/>
    <w:rsid w:val="306AB5E3"/>
    <w:rsid w:val="307E9C5C"/>
    <w:rsid w:val="30AF16D3"/>
    <w:rsid w:val="30E52B02"/>
    <w:rsid w:val="3116201B"/>
    <w:rsid w:val="3134641E"/>
    <w:rsid w:val="31432F2F"/>
    <w:rsid w:val="31578DEA"/>
    <w:rsid w:val="3157EBBF"/>
    <w:rsid w:val="3165C2F8"/>
    <w:rsid w:val="316E807C"/>
    <w:rsid w:val="3170D70A"/>
    <w:rsid w:val="3173EDBE"/>
    <w:rsid w:val="31748C76"/>
    <w:rsid w:val="31893BA8"/>
    <w:rsid w:val="319100E6"/>
    <w:rsid w:val="31B1BBEB"/>
    <w:rsid w:val="31B8B82B"/>
    <w:rsid w:val="31BA171E"/>
    <w:rsid w:val="31C09B2A"/>
    <w:rsid w:val="31CC1EB8"/>
    <w:rsid w:val="31D01D17"/>
    <w:rsid w:val="31D4FBB6"/>
    <w:rsid w:val="31D52FB2"/>
    <w:rsid w:val="320587C4"/>
    <w:rsid w:val="3218DC78"/>
    <w:rsid w:val="32372AAC"/>
    <w:rsid w:val="324B727A"/>
    <w:rsid w:val="325198BE"/>
    <w:rsid w:val="325EB97A"/>
    <w:rsid w:val="326152A2"/>
    <w:rsid w:val="3272CD17"/>
    <w:rsid w:val="327EFB2A"/>
    <w:rsid w:val="32991AC0"/>
    <w:rsid w:val="329D2D2B"/>
    <w:rsid w:val="32A0894F"/>
    <w:rsid w:val="32AD3BFD"/>
    <w:rsid w:val="32C05610"/>
    <w:rsid w:val="32C4E4ED"/>
    <w:rsid w:val="32EA862E"/>
    <w:rsid w:val="33081766"/>
    <w:rsid w:val="331B938C"/>
    <w:rsid w:val="33242649"/>
    <w:rsid w:val="332B9D47"/>
    <w:rsid w:val="3336D7FB"/>
    <w:rsid w:val="335025D4"/>
    <w:rsid w:val="33537E5E"/>
    <w:rsid w:val="3366708A"/>
    <w:rsid w:val="336E8462"/>
    <w:rsid w:val="336F928F"/>
    <w:rsid w:val="337BA287"/>
    <w:rsid w:val="337C9D24"/>
    <w:rsid w:val="33965BFD"/>
    <w:rsid w:val="339878F6"/>
    <w:rsid w:val="339C89D9"/>
    <w:rsid w:val="339EBF80"/>
    <w:rsid w:val="339FF83F"/>
    <w:rsid w:val="33AA947F"/>
    <w:rsid w:val="33BC0E60"/>
    <w:rsid w:val="33D9F296"/>
    <w:rsid w:val="33F7717E"/>
    <w:rsid w:val="34076E53"/>
    <w:rsid w:val="340D1019"/>
    <w:rsid w:val="34368879"/>
    <w:rsid w:val="3443D9E3"/>
    <w:rsid w:val="347C13C0"/>
    <w:rsid w:val="347C2EAB"/>
    <w:rsid w:val="3483A168"/>
    <w:rsid w:val="3484B860"/>
    <w:rsid w:val="34894D7C"/>
    <w:rsid w:val="3496EAF6"/>
    <w:rsid w:val="349FDBC0"/>
    <w:rsid w:val="34AE8201"/>
    <w:rsid w:val="34B88FA1"/>
    <w:rsid w:val="34BF3A0F"/>
    <w:rsid w:val="34C968CA"/>
    <w:rsid w:val="34DCC237"/>
    <w:rsid w:val="34E29719"/>
    <w:rsid w:val="34E8BF6E"/>
    <w:rsid w:val="34EB7636"/>
    <w:rsid w:val="3501A817"/>
    <w:rsid w:val="35034A97"/>
    <w:rsid w:val="350A6B34"/>
    <w:rsid w:val="351314C9"/>
    <w:rsid w:val="351F7177"/>
    <w:rsid w:val="35286930"/>
    <w:rsid w:val="35314F97"/>
    <w:rsid w:val="3543B626"/>
    <w:rsid w:val="35459CC1"/>
    <w:rsid w:val="354BCBEA"/>
    <w:rsid w:val="3558D3F2"/>
    <w:rsid w:val="3565187B"/>
    <w:rsid w:val="357A763B"/>
    <w:rsid w:val="357E9417"/>
    <w:rsid w:val="3584E50D"/>
    <w:rsid w:val="358FC56F"/>
    <w:rsid w:val="359C7828"/>
    <w:rsid w:val="35A110A6"/>
    <w:rsid w:val="35AC7A45"/>
    <w:rsid w:val="35BCB926"/>
    <w:rsid w:val="35C73053"/>
    <w:rsid w:val="35E41429"/>
    <w:rsid w:val="35EECBD8"/>
    <w:rsid w:val="35F2872E"/>
    <w:rsid w:val="360690DB"/>
    <w:rsid w:val="3615136F"/>
    <w:rsid w:val="361765A3"/>
    <w:rsid w:val="361EAB97"/>
    <w:rsid w:val="36233EFC"/>
    <w:rsid w:val="3624A2A9"/>
    <w:rsid w:val="364012BC"/>
    <w:rsid w:val="364C4AE3"/>
    <w:rsid w:val="364EE893"/>
    <w:rsid w:val="36585F0A"/>
    <w:rsid w:val="366CC5F2"/>
    <w:rsid w:val="36869916"/>
    <w:rsid w:val="368AB2BC"/>
    <w:rsid w:val="369C420E"/>
    <w:rsid w:val="36AB1D32"/>
    <w:rsid w:val="36B675EA"/>
    <w:rsid w:val="36BE2362"/>
    <w:rsid w:val="36C7435E"/>
    <w:rsid w:val="36D2C00D"/>
    <w:rsid w:val="36DD2510"/>
    <w:rsid w:val="36DFAE8E"/>
    <w:rsid w:val="36F09F8B"/>
    <w:rsid w:val="36F86AFB"/>
    <w:rsid w:val="36FB40B7"/>
    <w:rsid w:val="37051EE1"/>
    <w:rsid w:val="3708F92D"/>
    <w:rsid w:val="370EA44E"/>
    <w:rsid w:val="3710BDB4"/>
    <w:rsid w:val="372B3B9F"/>
    <w:rsid w:val="37411D66"/>
    <w:rsid w:val="37482AD1"/>
    <w:rsid w:val="3748F0A0"/>
    <w:rsid w:val="3765878E"/>
    <w:rsid w:val="3789CA68"/>
    <w:rsid w:val="378D1808"/>
    <w:rsid w:val="37B03A36"/>
    <w:rsid w:val="37D4F942"/>
    <w:rsid w:val="37D9F68B"/>
    <w:rsid w:val="380446AC"/>
    <w:rsid w:val="382CFF5A"/>
    <w:rsid w:val="382D6FD9"/>
    <w:rsid w:val="3830ADB5"/>
    <w:rsid w:val="3831E99E"/>
    <w:rsid w:val="38385630"/>
    <w:rsid w:val="3855BFDF"/>
    <w:rsid w:val="388B6977"/>
    <w:rsid w:val="388B97BB"/>
    <w:rsid w:val="388CAD56"/>
    <w:rsid w:val="3895FC28"/>
    <w:rsid w:val="3897A08D"/>
    <w:rsid w:val="389DC8E6"/>
    <w:rsid w:val="38CB78DF"/>
    <w:rsid w:val="38D22AD2"/>
    <w:rsid w:val="38D45C42"/>
    <w:rsid w:val="38E0DD63"/>
    <w:rsid w:val="38F9B91A"/>
    <w:rsid w:val="38FCC6C9"/>
    <w:rsid w:val="38FF4F3B"/>
    <w:rsid w:val="3910B357"/>
    <w:rsid w:val="3912845A"/>
    <w:rsid w:val="39222B97"/>
    <w:rsid w:val="3925487C"/>
    <w:rsid w:val="393ABA50"/>
    <w:rsid w:val="3943755F"/>
    <w:rsid w:val="395D5EAD"/>
    <w:rsid w:val="395DA89B"/>
    <w:rsid w:val="397D31B5"/>
    <w:rsid w:val="398235D3"/>
    <w:rsid w:val="39856F9E"/>
    <w:rsid w:val="39A17257"/>
    <w:rsid w:val="39A6D528"/>
    <w:rsid w:val="39A9F86D"/>
    <w:rsid w:val="39AB73DF"/>
    <w:rsid w:val="39AEDB01"/>
    <w:rsid w:val="39B14A1B"/>
    <w:rsid w:val="39B2CB6C"/>
    <w:rsid w:val="39D3DBAE"/>
    <w:rsid w:val="39DDB5E6"/>
    <w:rsid w:val="39DDDFF7"/>
    <w:rsid w:val="39E1DABD"/>
    <w:rsid w:val="39EF70F7"/>
    <w:rsid w:val="39F17EF4"/>
    <w:rsid w:val="39F8BB02"/>
    <w:rsid w:val="3A1FAD4B"/>
    <w:rsid w:val="3A2123CF"/>
    <w:rsid w:val="3A441AE9"/>
    <w:rsid w:val="3A509805"/>
    <w:rsid w:val="3A519375"/>
    <w:rsid w:val="3A5461A8"/>
    <w:rsid w:val="3A5C2832"/>
    <w:rsid w:val="3A61A805"/>
    <w:rsid w:val="3A6AE911"/>
    <w:rsid w:val="3A77719F"/>
    <w:rsid w:val="3AA4056A"/>
    <w:rsid w:val="3AB5FC95"/>
    <w:rsid w:val="3AC10220"/>
    <w:rsid w:val="3ACFC0D5"/>
    <w:rsid w:val="3AD94123"/>
    <w:rsid w:val="3ADA9E7F"/>
    <w:rsid w:val="3ADDF9EF"/>
    <w:rsid w:val="3AE4D2D3"/>
    <w:rsid w:val="3AE767AA"/>
    <w:rsid w:val="3AF320B6"/>
    <w:rsid w:val="3B0E4CF8"/>
    <w:rsid w:val="3B2A4C80"/>
    <w:rsid w:val="3B32B601"/>
    <w:rsid w:val="3B3FD87C"/>
    <w:rsid w:val="3B4B2369"/>
    <w:rsid w:val="3B603E88"/>
    <w:rsid w:val="3B69E76B"/>
    <w:rsid w:val="3B70AC8E"/>
    <w:rsid w:val="3B734C3A"/>
    <w:rsid w:val="3B80C14B"/>
    <w:rsid w:val="3B87C9D6"/>
    <w:rsid w:val="3B893A80"/>
    <w:rsid w:val="3B8A2E22"/>
    <w:rsid w:val="3B91EEEA"/>
    <w:rsid w:val="3BA35444"/>
    <w:rsid w:val="3BB2624E"/>
    <w:rsid w:val="3BC5721D"/>
    <w:rsid w:val="3BC749FF"/>
    <w:rsid w:val="3BCDFB97"/>
    <w:rsid w:val="3BD246F6"/>
    <w:rsid w:val="3BDFE880"/>
    <w:rsid w:val="3BE3061A"/>
    <w:rsid w:val="3BE85125"/>
    <w:rsid w:val="3BED1D5C"/>
    <w:rsid w:val="3BEF29FC"/>
    <w:rsid w:val="3BEFC3CD"/>
    <w:rsid w:val="3BFCF0FB"/>
    <w:rsid w:val="3C00B964"/>
    <w:rsid w:val="3C3175C4"/>
    <w:rsid w:val="3C36263A"/>
    <w:rsid w:val="3C3A0C0A"/>
    <w:rsid w:val="3C3AB6E3"/>
    <w:rsid w:val="3C65E269"/>
    <w:rsid w:val="3C6DC974"/>
    <w:rsid w:val="3C779756"/>
    <w:rsid w:val="3C8D85CD"/>
    <w:rsid w:val="3C9FA064"/>
    <w:rsid w:val="3CC7F2C8"/>
    <w:rsid w:val="3CCBE564"/>
    <w:rsid w:val="3CFBFD3A"/>
    <w:rsid w:val="3CFF854A"/>
    <w:rsid w:val="3D1B6543"/>
    <w:rsid w:val="3D285FE8"/>
    <w:rsid w:val="3D7559FA"/>
    <w:rsid w:val="3D79A4FE"/>
    <w:rsid w:val="3D85FA53"/>
    <w:rsid w:val="3D9C1B90"/>
    <w:rsid w:val="3DA95D66"/>
    <w:rsid w:val="3DACDAC6"/>
    <w:rsid w:val="3DAD965D"/>
    <w:rsid w:val="3DB8BF17"/>
    <w:rsid w:val="3DC4A729"/>
    <w:rsid w:val="3DDA177B"/>
    <w:rsid w:val="3DE98460"/>
    <w:rsid w:val="3E0AE087"/>
    <w:rsid w:val="3E1B051C"/>
    <w:rsid w:val="3E1B278B"/>
    <w:rsid w:val="3E31634E"/>
    <w:rsid w:val="3E38F9F5"/>
    <w:rsid w:val="3E395B03"/>
    <w:rsid w:val="3E39FB19"/>
    <w:rsid w:val="3E45E4F8"/>
    <w:rsid w:val="3E536DE7"/>
    <w:rsid w:val="3E5F9801"/>
    <w:rsid w:val="3E711C9D"/>
    <w:rsid w:val="3E714BA5"/>
    <w:rsid w:val="3E72040A"/>
    <w:rsid w:val="3E7D2531"/>
    <w:rsid w:val="3E8B4699"/>
    <w:rsid w:val="3E8C2750"/>
    <w:rsid w:val="3E9466DC"/>
    <w:rsid w:val="3E9F5CA8"/>
    <w:rsid w:val="3EB245DD"/>
    <w:rsid w:val="3EB8FFF7"/>
    <w:rsid w:val="3EDD6412"/>
    <w:rsid w:val="3EEB60FD"/>
    <w:rsid w:val="3EEE3AA1"/>
    <w:rsid w:val="3EF3787D"/>
    <w:rsid w:val="3EF746BD"/>
    <w:rsid w:val="3EFB8F04"/>
    <w:rsid w:val="3F09383A"/>
    <w:rsid w:val="3F0C6778"/>
    <w:rsid w:val="3F0F1AC2"/>
    <w:rsid w:val="3F135859"/>
    <w:rsid w:val="3F2D86A1"/>
    <w:rsid w:val="3F3E897E"/>
    <w:rsid w:val="3F460D45"/>
    <w:rsid w:val="3F50754C"/>
    <w:rsid w:val="3F550619"/>
    <w:rsid w:val="3F6131FD"/>
    <w:rsid w:val="3F7B46A3"/>
    <w:rsid w:val="3F8554C1"/>
    <w:rsid w:val="3F8B2716"/>
    <w:rsid w:val="3F9831E9"/>
    <w:rsid w:val="3FA36517"/>
    <w:rsid w:val="3FAE98F3"/>
    <w:rsid w:val="3FB98F5D"/>
    <w:rsid w:val="3FC92A5F"/>
    <w:rsid w:val="3FDCEF8C"/>
    <w:rsid w:val="3FE845CC"/>
    <w:rsid w:val="3FEA450A"/>
    <w:rsid w:val="40045CE2"/>
    <w:rsid w:val="40357BD6"/>
    <w:rsid w:val="403D2687"/>
    <w:rsid w:val="4041817E"/>
    <w:rsid w:val="404AE7EE"/>
    <w:rsid w:val="404CB115"/>
    <w:rsid w:val="4058B201"/>
    <w:rsid w:val="406DA922"/>
    <w:rsid w:val="4075F621"/>
    <w:rsid w:val="409B73E3"/>
    <w:rsid w:val="40A7D58F"/>
    <w:rsid w:val="40C240FE"/>
    <w:rsid w:val="40C2A5B3"/>
    <w:rsid w:val="40C49C66"/>
    <w:rsid w:val="40DB8A4D"/>
    <w:rsid w:val="40DD43E7"/>
    <w:rsid w:val="40DE8321"/>
    <w:rsid w:val="40DFD6A9"/>
    <w:rsid w:val="40E97AA6"/>
    <w:rsid w:val="4112863E"/>
    <w:rsid w:val="411BE72A"/>
    <w:rsid w:val="411D9463"/>
    <w:rsid w:val="41212522"/>
    <w:rsid w:val="4123397D"/>
    <w:rsid w:val="4126F0E2"/>
    <w:rsid w:val="412E4F65"/>
    <w:rsid w:val="413BA21F"/>
    <w:rsid w:val="413CAF5A"/>
    <w:rsid w:val="413FABE1"/>
    <w:rsid w:val="415CD4B2"/>
    <w:rsid w:val="415D86C6"/>
    <w:rsid w:val="4164B970"/>
    <w:rsid w:val="417D3093"/>
    <w:rsid w:val="4184B4B4"/>
    <w:rsid w:val="418CD115"/>
    <w:rsid w:val="419B8E15"/>
    <w:rsid w:val="419C510D"/>
    <w:rsid w:val="41A502C2"/>
    <w:rsid w:val="41B7119D"/>
    <w:rsid w:val="41C0A808"/>
    <w:rsid w:val="41C60D58"/>
    <w:rsid w:val="41D1E574"/>
    <w:rsid w:val="41E2D00A"/>
    <w:rsid w:val="41E65147"/>
    <w:rsid w:val="41F272C7"/>
    <w:rsid w:val="41F7C987"/>
    <w:rsid w:val="420C9B0E"/>
    <w:rsid w:val="4219FFFE"/>
    <w:rsid w:val="42295B9F"/>
    <w:rsid w:val="4232D9D0"/>
    <w:rsid w:val="4233C57B"/>
    <w:rsid w:val="423406CC"/>
    <w:rsid w:val="423BAE93"/>
    <w:rsid w:val="42573060"/>
    <w:rsid w:val="42575977"/>
    <w:rsid w:val="4260AEE5"/>
    <w:rsid w:val="426676D3"/>
    <w:rsid w:val="4276185D"/>
    <w:rsid w:val="427A2677"/>
    <w:rsid w:val="428ADD78"/>
    <w:rsid w:val="42911675"/>
    <w:rsid w:val="42988F25"/>
    <w:rsid w:val="42B1CFD5"/>
    <w:rsid w:val="42B2EBA8"/>
    <w:rsid w:val="42C0A37D"/>
    <w:rsid w:val="42C6EB10"/>
    <w:rsid w:val="42CB8DA0"/>
    <w:rsid w:val="42EF42C1"/>
    <w:rsid w:val="42F8B7E5"/>
    <w:rsid w:val="43199EB7"/>
    <w:rsid w:val="431CB9BC"/>
    <w:rsid w:val="432E95D7"/>
    <w:rsid w:val="4332FB33"/>
    <w:rsid w:val="433816A0"/>
    <w:rsid w:val="4339AA2D"/>
    <w:rsid w:val="435164FD"/>
    <w:rsid w:val="435E3403"/>
    <w:rsid w:val="4366DCCA"/>
    <w:rsid w:val="43876544"/>
    <w:rsid w:val="43953DCC"/>
    <w:rsid w:val="43B3D390"/>
    <w:rsid w:val="43B7892E"/>
    <w:rsid w:val="43BD2F70"/>
    <w:rsid w:val="43BEBCE1"/>
    <w:rsid w:val="43E82D93"/>
    <w:rsid w:val="4405A335"/>
    <w:rsid w:val="441381FF"/>
    <w:rsid w:val="4455F455"/>
    <w:rsid w:val="445740CB"/>
    <w:rsid w:val="44810E7F"/>
    <w:rsid w:val="44827EF2"/>
    <w:rsid w:val="4497375F"/>
    <w:rsid w:val="449D8DE2"/>
    <w:rsid w:val="44A3202C"/>
    <w:rsid w:val="44AA6CA5"/>
    <w:rsid w:val="44C606B9"/>
    <w:rsid w:val="44CE4ED9"/>
    <w:rsid w:val="44CF2A08"/>
    <w:rsid w:val="44D05DAD"/>
    <w:rsid w:val="44D3DC68"/>
    <w:rsid w:val="44DCE1CA"/>
    <w:rsid w:val="44E8425B"/>
    <w:rsid w:val="44E8E6D4"/>
    <w:rsid w:val="44EBB4F8"/>
    <w:rsid w:val="4501486F"/>
    <w:rsid w:val="45066A82"/>
    <w:rsid w:val="45101601"/>
    <w:rsid w:val="451683EA"/>
    <w:rsid w:val="451C38E0"/>
    <w:rsid w:val="4527601B"/>
    <w:rsid w:val="452DB5C0"/>
    <w:rsid w:val="4538C356"/>
    <w:rsid w:val="454035F5"/>
    <w:rsid w:val="454582F4"/>
    <w:rsid w:val="4560FC61"/>
    <w:rsid w:val="4564B0C6"/>
    <w:rsid w:val="4566CA0D"/>
    <w:rsid w:val="45772B2F"/>
    <w:rsid w:val="457DFD67"/>
    <w:rsid w:val="4583FDF4"/>
    <w:rsid w:val="4584EF38"/>
    <w:rsid w:val="4584FCF4"/>
    <w:rsid w:val="4585A5DB"/>
    <w:rsid w:val="458721FF"/>
    <w:rsid w:val="459E6F63"/>
    <w:rsid w:val="45AFA35A"/>
    <w:rsid w:val="45B992D9"/>
    <w:rsid w:val="45BA083C"/>
    <w:rsid w:val="45C02450"/>
    <w:rsid w:val="45C5DED9"/>
    <w:rsid w:val="45C8F635"/>
    <w:rsid w:val="45CE8F6A"/>
    <w:rsid w:val="45CF23FB"/>
    <w:rsid w:val="45DC024F"/>
    <w:rsid w:val="45EA2DEF"/>
    <w:rsid w:val="45ED9D90"/>
    <w:rsid w:val="45EEFC71"/>
    <w:rsid w:val="460B123E"/>
    <w:rsid w:val="460FEBC9"/>
    <w:rsid w:val="462FF2D4"/>
    <w:rsid w:val="46589DD2"/>
    <w:rsid w:val="46602266"/>
    <w:rsid w:val="46716D19"/>
    <w:rsid w:val="4680A5A3"/>
    <w:rsid w:val="468B6F9A"/>
    <w:rsid w:val="46904CF3"/>
    <w:rsid w:val="469A15E0"/>
    <w:rsid w:val="46A9604E"/>
    <w:rsid w:val="46A9FDC8"/>
    <w:rsid w:val="46B576CE"/>
    <w:rsid w:val="46C5EB63"/>
    <w:rsid w:val="46C5F650"/>
    <w:rsid w:val="46D26006"/>
    <w:rsid w:val="46D2D4E2"/>
    <w:rsid w:val="46D70D19"/>
    <w:rsid w:val="46DFD682"/>
    <w:rsid w:val="46E0C78E"/>
    <w:rsid w:val="46E60A1E"/>
    <w:rsid w:val="46EEE175"/>
    <w:rsid w:val="470AB567"/>
    <w:rsid w:val="471FCE55"/>
    <w:rsid w:val="472B6FD6"/>
    <w:rsid w:val="47559A6E"/>
    <w:rsid w:val="47566AEC"/>
    <w:rsid w:val="47591F6D"/>
    <w:rsid w:val="475CB96C"/>
    <w:rsid w:val="478FC0E1"/>
    <w:rsid w:val="479F348E"/>
    <w:rsid w:val="47A2899F"/>
    <w:rsid w:val="47C62D90"/>
    <w:rsid w:val="47D15B15"/>
    <w:rsid w:val="47F3349B"/>
    <w:rsid w:val="47F9D667"/>
    <w:rsid w:val="480A1AAF"/>
    <w:rsid w:val="482E820F"/>
    <w:rsid w:val="484C410C"/>
    <w:rsid w:val="48657A1B"/>
    <w:rsid w:val="4885CEB5"/>
    <w:rsid w:val="48922E04"/>
    <w:rsid w:val="4897A1A1"/>
    <w:rsid w:val="4898F693"/>
    <w:rsid w:val="48A49567"/>
    <w:rsid w:val="48A54056"/>
    <w:rsid w:val="48A57CC7"/>
    <w:rsid w:val="48AB3A58"/>
    <w:rsid w:val="48C2F15F"/>
    <w:rsid w:val="48C47D80"/>
    <w:rsid w:val="48CEEAB8"/>
    <w:rsid w:val="48D72653"/>
    <w:rsid w:val="48E635F3"/>
    <w:rsid w:val="48F955C0"/>
    <w:rsid w:val="490157B0"/>
    <w:rsid w:val="490B85E6"/>
    <w:rsid w:val="4912297C"/>
    <w:rsid w:val="49415D75"/>
    <w:rsid w:val="494288FF"/>
    <w:rsid w:val="495DA6C4"/>
    <w:rsid w:val="496693B2"/>
    <w:rsid w:val="496F7804"/>
    <w:rsid w:val="498B5012"/>
    <w:rsid w:val="498D779D"/>
    <w:rsid w:val="49948A0A"/>
    <w:rsid w:val="499850C0"/>
    <w:rsid w:val="499EAC3C"/>
    <w:rsid w:val="49C0733B"/>
    <w:rsid w:val="49C3E499"/>
    <w:rsid w:val="49C70253"/>
    <w:rsid w:val="49D8D7F2"/>
    <w:rsid w:val="4A071CC0"/>
    <w:rsid w:val="4A1EDF72"/>
    <w:rsid w:val="4A220E55"/>
    <w:rsid w:val="4A38956E"/>
    <w:rsid w:val="4A394CBC"/>
    <w:rsid w:val="4A4A5E80"/>
    <w:rsid w:val="4A5205A9"/>
    <w:rsid w:val="4A58BF3C"/>
    <w:rsid w:val="4A59B892"/>
    <w:rsid w:val="4A5A15C4"/>
    <w:rsid w:val="4A5A6360"/>
    <w:rsid w:val="4A5F1A37"/>
    <w:rsid w:val="4A649436"/>
    <w:rsid w:val="4A6DB40B"/>
    <w:rsid w:val="4ABF2C8B"/>
    <w:rsid w:val="4ADFB183"/>
    <w:rsid w:val="4AE1A4E2"/>
    <w:rsid w:val="4AEB8E5F"/>
    <w:rsid w:val="4AFEE1E6"/>
    <w:rsid w:val="4B0A169A"/>
    <w:rsid w:val="4B0BCF67"/>
    <w:rsid w:val="4B1A9D63"/>
    <w:rsid w:val="4B269C29"/>
    <w:rsid w:val="4B316C81"/>
    <w:rsid w:val="4B43BA5F"/>
    <w:rsid w:val="4B682AF7"/>
    <w:rsid w:val="4B6CEBBF"/>
    <w:rsid w:val="4B6F2FA8"/>
    <w:rsid w:val="4B7382C2"/>
    <w:rsid w:val="4B7C6E3C"/>
    <w:rsid w:val="4BC30632"/>
    <w:rsid w:val="4BE94D60"/>
    <w:rsid w:val="4C0D9951"/>
    <w:rsid w:val="4C0E2264"/>
    <w:rsid w:val="4C228B61"/>
    <w:rsid w:val="4C313AC4"/>
    <w:rsid w:val="4C4EF381"/>
    <w:rsid w:val="4C5868C7"/>
    <w:rsid w:val="4C5A219D"/>
    <w:rsid w:val="4C70951B"/>
    <w:rsid w:val="4C9DE4E3"/>
    <w:rsid w:val="4CA97575"/>
    <w:rsid w:val="4CB4A709"/>
    <w:rsid w:val="4CD6CF1C"/>
    <w:rsid w:val="4CE34F58"/>
    <w:rsid w:val="4CEBED87"/>
    <w:rsid w:val="4CF1357B"/>
    <w:rsid w:val="4CF979FA"/>
    <w:rsid w:val="4D13122C"/>
    <w:rsid w:val="4D3314B4"/>
    <w:rsid w:val="4D5A832F"/>
    <w:rsid w:val="4D63B0E2"/>
    <w:rsid w:val="4D7F51DF"/>
    <w:rsid w:val="4D8CA58F"/>
    <w:rsid w:val="4DA753F0"/>
    <w:rsid w:val="4DC25D09"/>
    <w:rsid w:val="4DC696C4"/>
    <w:rsid w:val="4DCA3334"/>
    <w:rsid w:val="4DE0B65A"/>
    <w:rsid w:val="4DF40F1B"/>
    <w:rsid w:val="4DFB1E5B"/>
    <w:rsid w:val="4E08E220"/>
    <w:rsid w:val="4E0E82C8"/>
    <w:rsid w:val="4E129847"/>
    <w:rsid w:val="4E1FC529"/>
    <w:rsid w:val="4E25A566"/>
    <w:rsid w:val="4E2CB9FC"/>
    <w:rsid w:val="4E4839A8"/>
    <w:rsid w:val="4E6DD440"/>
    <w:rsid w:val="4E74F0E5"/>
    <w:rsid w:val="4E75A8FA"/>
    <w:rsid w:val="4E85C715"/>
    <w:rsid w:val="4E87C63E"/>
    <w:rsid w:val="4E9DBC79"/>
    <w:rsid w:val="4EA16C83"/>
    <w:rsid w:val="4EA3F39E"/>
    <w:rsid w:val="4EAF1C1C"/>
    <w:rsid w:val="4EB8E30E"/>
    <w:rsid w:val="4ED38214"/>
    <w:rsid w:val="4ED61FB6"/>
    <w:rsid w:val="4EDB6527"/>
    <w:rsid w:val="4EE2025F"/>
    <w:rsid w:val="4EE90401"/>
    <w:rsid w:val="4EFF8143"/>
    <w:rsid w:val="4F086E3C"/>
    <w:rsid w:val="4F0E04CA"/>
    <w:rsid w:val="4F113756"/>
    <w:rsid w:val="4F3A4B63"/>
    <w:rsid w:val="4F4EEDBB"/>
    <w:rsid w:val="4F506D83"/>
    <w:rsid w:val="4F5EB90A"/>
    <w:rsid w:val="4F663294"/>
    <w:rsid w:val="4F764B36"/>
    <w:rsid w:val="4F8BEB03"/>
    <w:rsid w:val="4F937E0D"/>
    <w:rsid w:val="4F975D8C"/>
    <w:rsid w:val="4F9B0D1B"/>
    <w:rsid w:val="4FB41408"/>
    <w:rsid w:val="4FB50CD3"/>
    <w:rsid w:val="4FB65252"/>
    <w:rsid w:val="4FC0DB46"/>
    <w:rsid w:val="4FC502D4"/>
    <w:rsid w:val="4FCD2A16"/>
    <w:rsid w:val="4FDE636F"/>
    <w:rsid w:val="4FFD052B"/>
    <w:rsid w:val="4FFE692B"/>
    <w:rsid w:val="4FFFFA61"/>
    <w:rsid w:val="5016E864"/>
    <w:rsid w:val="5031101E"/>
    <w:rsid w:val="503C598D"/>
    <w:rsid w:val="504736B3"/>
    <w:rsid w:val="506148A7"/>
    <w:rsid w:val="506AE93B"/>
    <w:rsid w:val="50746168"/>
    <w:rsid w:val="5082E71F"/>
    <w:rsid w:val="50C4BEB1"/>
    <w:rsid w:val="50CB9D22"/>
    <w:rsid w:val="50F367B1"/>
    <w:rsid w:val="510BA8DC"/>
    <w:rsid w:val="51381535"/>
    <w:rsid w:val="514C5894"/>
    <w:rsid w:val="515B6945"/>
    <w:rsid w:val="515ED27E"/>
    <w:rsid w:val="516E7946"/>
    <w:rsid w:val="517745B2"/>
    <w:rsid w:val="517A048B"/>
    <w:rsid w:val="5180D986"/>
    <w:rsid w:val="518512CC"/>
    <w:rsid w:val="51A41752"/>
    <w:rsid w:val="51ABA2B9"/>
    <w:rsid w:val="51B8A461"/>
    <w:rsid w:val="51BEE092"/>
    <w:rsid w:val="51C647AE"/>
    <w:rsid w:val="51CBFF4D"/>
    <w:rsid w:val="51DF17DC"/>
    <w:rsid w:val="51E32FE1"/>
    <w:rsid w:val="51E4BA48"/>
    <w:rsid w:val="51EDB3C5"/>
    <w:rsid w:val="5200C4C8"/>
    <w:rsid w:val="52012FD6"/>
    <w:rsid w:val="5204EFA3"/>
    <w:rsid w:val="5209749C"/>
    <w:rsid w:val="52345D7F"/>
    <w:rsid w:val="523A936B"/>
    <w:rsid w:val="523C1C24"/>
    <w:rsid w:val="524038BA"/>
    <w:rsid w:val="52521C9E"/>
    <w:rsid w:val="525828EE"/>
    <w:rsid w:val="525DAAE3"/>
    <w:rsid w:val="5266699A"/>
    <w:rsid w:val="5271EC25"/>
    <w:rsid w:val="527C4223"/>
    <w:rsid w:val="528C1AE2"/>
    <w:rsid w:val="528C4C75"/>
    <w:rsid w:val="529090B4"/>
    <w:rsid w:val="529B813C"/>
    <w:rsid w:val="529CA80B"/>
    <w:rsid w:val="52A90F54"/>
    <w:rsid w:val="52B032EA"/>
    <w:rsid w:val="52B34DBA"/>
    <w:rsid w:val="52C77A83"/>
    <w:rsid w:val="52D183A8"/>
    <w:rsid w:val="52DB4ED4"/>
    <w:rsid w:val="52DD1B2E"/>
    <w:rsid w:val="52F03804"/>
    <w:rsid w:val="5300B19B"/>
    <w:rsid w:val="5314E66A"/>
    <w:rsid w:val="53184BDA"/>
    <w:rsid w:val="531F74AA"/>
    <w:rsid w:val="5320E32D"/>
    <w:rsid w:val="5322277F"/>
    <w:rsid w:val="53376A52"/>
    <w:rsid w:val="53471C27"/>
    <w:rsid w:val="538D4E30"/>
    <w:rsid w:val="539DC14E"/>
    <w:rsid w:val="53A412FE"/>
    <w:rsid w:val="53A4FDCC"/>
    <w:rsid w:val="53B2D8B8"/>
    <w:rsid w:val="53B86C74"/>
    <w:rsid w:val="53DA9876"/>
    <w:rsid w:val="53DD2389"/>
    <w:rsid w:val="53E36E17"/>
    <w:rsid w:val="53E7CECD"/>
    <w:rsid w:val="53F12F97"/>
    <w:rsid w:val="53F43318"/>
    <w:rsid w:val="53F7DFA5"/>
    <w:rsid w:val="5435CBD8"/>
    <w:rsid w:val="544B3724"/>
    <w:rsid w:val="5457E469"/>
    <w:rsid w:val="545C721A"/>
    <w:rsid w:val="546AE120"/>
    <w:rsid w:val="54721B9B"/>
    <w:rsid w:val="5475AF71"/>
    <w:rsid w:val="547E7AD8"/>
    <w:rsid w:val="548A7F66"/>
    <w:rsid w:val="5492032A"/>
    <w:rsid w:val="5498183D"/>
    <w:rsid w:val="549A9F3F"/>
    <w:rsid w:val="549DE7F3"/>
    <w:rsid w:val="54A7FA25"/>
    <w:rsid w:val="54AB5A68"/>
    <w:rsid w:val="54B338D8"/>
    <w:rsid w:val="54C3C78F"/>
    <w:rsid w:val="54C63013"/>
    <w:rsid w:val="54EB3011"/>
    <w:rsid w:val="54EC5F01"/>
    <w:rsid w:val="54FE507E"/>
    <w:rsid w:val="550300D5"/>
    <w:rsid w:val="55048141"/>
    <w:rsid w:val="5509A1C3"/>
    <w:rsid w:val="550E09CC"/>
    <w:rsid w:val="5515A9E2"/>
    <w:rsid w:val="55168F21"/>
    <w:rsid w:val="5519AB54"/>
    <w:rsid w:val="552393A2"/>
    <w:rsid w:val="552E1D2A"/>
    <w:rsid w:val="553BB43D"/>
    <w:rsid w:val="5550715C"/>
    <w:rsid w:val="556CFF6D"/>
    <w:rsid w:val="558BF66E"/>
    <w:rsid w:val="559223D5"/>
    <w:rsid w:val="559FCF8D"/>
    <w:rsid w:val="55AD5A01"/>
    <w:rsid w:val="55BA6630"/>
    <w:rsid w:val="55C46608"/>
    <w:rsid w:val="55D91985"/>
    <w:rsid w:val="55E2BB36"/>
    <w:rsid w:val="5606D051"/>
    <w:rsid w:val="5636FECD"/>
    <w:rsid w:val="5640C532"/>
    <w:rsid w:val="56455828"/>
    <w:rsid w:val="564819A9"/>
    <w:rsid w:val="564C80D8"/>
    <w:rsid w:val="565EEAA5"/>
    <w:rsid w:val="566819D1"/>
    <w:rsid w:val="56684927"/>
    <w:rsid w:val="566E32FA"/>
    <w:rsid w:val="56733446"/>
    <w:rsid w:val="567F66E9"/>
    <w:rsid w:val="56803BFD"/>
    <w:rsid w:val="568DB8A8"/>
    <w:rsid w:val="5690E636"/>
    <w:rsid w:val="56C2400E"/>
    <w:rsid w:val="56C6B9BA"/>
    <w:rsid w:val="56DB2FAA"/>
    <w:rsid w:val="56DF658B"/>
    <w:rsid w:val="56E1A4FC"/>
    <w:rsid w:val="56FBD238"/>
    <w:rsid w:val="5715E0BF"/>
    <w:rsid w:val="5721CD83"/>
    <w:rsid w:val="572AC1C0"/>
    <w:rsid w:val="5737F84B"/>
    <w:rsid w:val="573DDFA5"/>
    <w:rsid w:val="5744BD61"/>
    <w:rsid w:val="574E2E35"/>
    <w:rsid w:val="575DD4DB"/>
    <w:rsid w:val="577A35BC"/>
    <w:rsid w:val="577E3575"/>
    <w:rsid w:val="578DCFE6"/>
    <w:rsid w:val="5795979A"/>
    <w:rsid w:val="57A144D4"/>
    <w:rsid w:val="57A394D2"/>
    <w:rsid w:val="57A63F5E"/>
    <w:rsid w:val="57ABCD2C"/>
    <w:rsid w:val="57AE77F6"/>
    <w:rsid w:val="57B88714"/>
    <w:rsid w:val="57D0B9D2"/>
    <w:rsid w:val="57D9ABFF"/>
    <w:rsid w:val="57DCBEA2"/>
    <w:rsid w:val="57DF2E7D"/>
    <w:rsid w:val="57E51409"/>
    <w:rsid w:val="57E8E8B7"/>
    <w:rsid w:val="57EEE5F6"/>
    <w:rsid w:val="57FD53AE"/>
    <w:rsid w:val="581AB342"/>
    <w:rsid w:val="58290FF1"/>
    <w:rsid w:val="582A7077"/>
    <w:rsid w:val="5832466A"/>
    <w:rsid w:val="5832E85C"/>
    <w:rsid w:val="583F045F"/>
    <w:rsid w:val="58468853"/>
    <w:rsid w:val="58586A2C"/>
    <w:rsid w:val="5858D29F"/>
    <w:rsid w:val="585DF0FD"/>
    <w:rsid w:val="586630C8"/>
    <w:rsid w:val="587FB3F3"/>
    <w:rsid w:val="58803FD8"/>
    <w:rsid w:val="5887CE06"/>
    <w:rsid w:val="5899AA75"/>
    <w:rsid w:val="589BE7B8"/>
    <w:rsid w:val="589E4661"/>
    <w:rsid w:val="589EAA08"/>
    <w:rsid w:val="58A53DEF"/>
    <w:rsid w:val="58A68166"/>
    <w:rsid w:val="58B03CF3"/>
    <w:rsid w:val="58C93CE9"/>
    <w:rsid w:val="58EB64A0"/>
    <w:rsid w:val="5905E074"/>
    <w:rsid w:val="5916BAC1"/>
    <w:rsid w:val="591C77FE"/>
    <w:rsid w:val="59211A05"/>
    <w:rsid w:val="59409C22"/>
    <w:rsid w:val="59420FBF"/>
    <w:rsid w:val="5950FCFE"/>
    <w:rsid w:val="595830B9"/>
    <w:rsid w:val="595BF84B"/>
    <w:rsid w:val="596E4140"/>
    <w:rsid w:val="597CF22C"/>
    <w:rsid w:val="598A47A6"/>
    <w:rsid w:val="59C8199D"/>
    <w:rsid w:val="59D39210"/>
    <w:rsid w:val="59E2B8C1"/>
    <w:rsid w:val="59E944F9"/>
    <w:rsid w:val="59EE0665"/>
    <w:rsid w:val="59F3333B"/>
    <w:rsid w:val="59FBA3F9"/>
    <w:rsid w:val="5A02DCD7"/>
    <w:rsid w:val="5A03E970"/>
    <w:rsid w:val="5A13D2EF"/>
    <w:rsid w:val="5A1589A0"/>
    <w:rsid w:val="5A21C0A2"/>
    <w:rsid w:val="5A2970A3"/>
    <w:rsid w:val="5A309CC4"/>
    <w:rsid w:val="5A31E0F8"/>
    <w:rsid w:val="5A36234A"/>
    <w:rsid w:val="5A41F630"/>
    <w:rsid w:val="5A43C053"/>
    <w:rsid w:val="5A455AA8"/>
    <w:rsid w:val="5A4C2449"/>
    <w:rsid w:val="5A50B771"/>
    <w:rsid w:val="5A55EC7D"/>
    <w:rsid w:val="5A56A5E7"/>
    <w:rsid w:val="5A5F1740"/>
    <w:rsid w:val="5A6363F9"/>
    <w:rsid w:val="5A7F7C27"/>
    <w:rsid w:val="5A89F675"/>
    <w:rsid w:val="5A8E07BA"/>
    <w:rsid w:val="5A9F656E"/>
    <w:rsid w:val="5AAE9954"/>
    <w:rsid w:val="5AB232D1"/>
    <w:rsid w:val="5AB90D82"/>
    <w:rsid w:val="5AEA79C0"/>
    <w:rsid w:val="5AED05D0"/>
    <w:rsid w:val="5AF65321"/>
    <w:rsid w:val="5B0606AC"/>
    <w:rsid w:val="5B06A999"/>
    <w:rsid w:val="5B174BA9"/>
    <w:rsid w:val="5B2A28B8"/>
    <w:rsid w:val="5B4F63AF"/>
    <w:rsid w:val="5B6155D4"/>
    <w:rsid w:val="5B66D3F8"/>
    <w:rsid w:val="5B8C5949"/>
    <w:rsid w:val="5B8D7A58"/>
    <w:rsid w:val="5B9784FC"/>
    <w:rsid w:val="5B9DB6B2"/>
    <w:rsid w:val="5B9E3BB1"/>
    <w:rsid w:val="5BB3C5A3"/>
    <w:rsid w:val="5BC84D54"/>
    <w:rsid w:val="5BDDF2DC"/>
    <w:rsid w:val="5BFB02AB"/>
    <w:rsid w:val="5BFC06C5"/>
    <w:rsid w:val="5C0BA5AA"/>
    <w:rsid w:val="5C14BF8A"/>
    <w:rsid w:val="5C16443A"/>
    <w:rsid w:val="5C24138F"/>
    <w:rsid w:val="5C3D1D9E"/>
    <w:rsid w:val="5C500545"/>
    <w:rsid w:val="5C545E82"/>
    <w:rsid w:val="5C54A4F3"/>
    <w:rsid w:val="5C60989B"/>
    <w:rsid w:val="5C617F1A"/>
    <w:rsid w:val="5C70978E"/>
    <w:rsid w:val="5C70C1B3"/>
    <w:rsid w:val="5C7D8DB6"/>
    <w:rsid w:val="5C7F3E4F"/>
    <w:rsid w:val="5CBA199B"/>
    <w:rsid w:val="5CC0FC45"/>
    <w:rsid w:val="5CDD68CD"/>
    <w:rsid w:val="5CDF738E"/>
    <w:rsid w:val="5CE9931F"/>
    <w:rsid w:val="5CF1302E"/>
    <w:rsid w:val="5D190477"/>
    <w:rsid w:val="5D27AF98"/>
    <w:rsid w:val="5D307365"/>
    <w:rsid w:val="5D33B2CB"/>
    <w:rsid w:val="5D43C141"/>
    <w:rsid w:val="5D45B32E"/>
    <w:rsid w:val="5D47C462"/>
    <w:rsid w:val="5D7819B7"/>
    <w:rsid w:val="5D95A85A"/>
    <w:rsid w:val="5DA89E8E"/>
    <w:rsid w:val="5DA990C0"/>
    <w:rsid w:val="5DADD5A1"/>
    <w:rsid w:val="5DD0F402"/>
    <w:rsid w:val="5DD8F10D"/>
    <w:rsid w:val="5DE87907"/>
    <w:rsid w:val="5DEF8A55"/>
    <w:rsid w:val="5DF5AB6A"/>
    <w:rsid w:val="5DF8E7C3"/>
    <w:rsid w:val="5DFFBE81"/>
    <w:rsid w:val="5E0B6E77"/>
    <w:rsid w:val="5E27F369"/>
    <w:rsid w:val="5E2B3A8E"/>
    <w:rsid w:val="5E352F92"/>
    <w:rsid w:val="5E35E169"/>
    <w:rsid w:val="5E3FE06B"/>
    <w:rsid w:val="5E4C00A1"/>
    <w:rsid w:val="5E4C552B"/>
    <w:rsid w:val="5E552E97"/>
    <w:rsid w:val="5E6AB54B"/>
    <w:rsid w:val="5E8316DC"/>
    <w:rsid w:val="5EBB7929"/>
    <w:rsid w:val="5EBC1E8D"/>
    <w:rsid w:val="5ED73231"/>
    <w:rsid w:val="5EEFDF88"/>
    <w:rsid w:val="5EF0F4A0"/>
    <w:rsid w:val="5F00B5B8"/>
    <w:rsid w:val="5F07F6AA"/>
    <w:rsid w:val="5F0D3587"/>
    <w:rsid w:val="5F184A7E"/>
    <w:rsid w:val="5F186BB7"/>
    <w:rsid w:val="5F2CDF68"/>
    <w:rsid w:val="5F41FA87"/>
    <w:rsid w:val="5F604309"/>
    <w:rsid w:val="5F65D375"/>
    <w:rsid w:val="5F688FD8"/>
    <w:rsid w:val="5F6F4839"/>
    <w:rsid w:val="5F6FF6F9"/>
    <w:rsid w:val="5F71437A"/>
    <w:rsid w:val="5F86F114"/>
    <w:rsid w:val="5FA38A81"/>
    <w:rsid w:val="5FAEF99B"/>
    <w:rsid w:val="5FC1551A"/>
    <w:rsid w:val="5FE84909"/>
    <w:rsid w:val="5FE89286"/>
    <w:rsid w:val="5FFC516C"/>
    <w:rsid w:val="5FFD2E57"/>
    <w:rsid w:val="5FFF2BB3"/>
    <w:rsid w:val="600BE9F7"/>
    <w:rsid w:val="600F2511"/>
    <w:rsid w:val="60122AD7"/>
    <w:rsid w:val="6019D81D"/>
    <w:rsid w:val="601BC062"/>
    <w:rsid w:val="60207043"/>
    <w:rsid w:val="602885E3"/>
    <w:rsid w:val="6030A97B"/>
    <w:rsid w:val="604CA888"/>
    <w:rsid w:val="60681427"/>
    <w:rsid w:val="6070B74E"/>
    <w:rsid w:val="608DA527"/>
    <w:rsid w:val="609507D6"/>
    <w:rsid w:val="60A0B87C"/>
    <w:rsid w:val="60A47A1A"/>
    <w:rsid w:val="60C01558"/>
    <w:rsid w:val="60CCDAE3"/>
    <w:rsid w:val="60D176CA"/>
    <w:rsid w:val="60D59A23"/>
    <w:rsid w:val="60DA3D40"/>
    <w:rsid w:val="60E26A86"/>
    <w:rsid w:val="6106FF7A"/>
    <w:rsid w:val="61205E32"/>
    <w:rsid w:val="6120C450"/>
    <w:rsid w:val="61369195"/>
    <w:rsid w:val="6152AF72"/>
    <w:rsid w:val="615AE285"/>
    <w:rsid w:val="615D5038"/>
    <w:rsid w:val="616B1094"/>
    <w:rsid w:val="6177A31B"/>
    <w:rsid w:val="618B8757"/>
    <w:rsid w:val="61906A1B"/>
    <w:rsid w:val="619E0BAF"/>
    <w:rsid w:val="61A7B63B"/>
    <w:rsid w:val="61C21508"/>
    <w:rsid w:val="61E3BC25"/>
    <w:rsid w:val="61E91FA8"/>
    <w:rsid w:val="61F000A9"/>
    <w:rsid w:val="61F05660"/>
    <w:rsid w:val="61FEE67F"/>
    <w:rsid w:val="61FEEC5A"/>
    <w:rsid w:val="6200A503"/>
    <w:rsid w:val="620F8F1F"/>
    <w:rsid w:val="621CB20D"/>
    <w:rsid w:val="6222E4CF"/>
    <w:rsid w:val="62245D55"/>
    <w:rsid w:val="6229AC68"/>
    <w:rsid w:val="622FE38A"/>
    <w:rsid w:val="6236868F"/>
    <w:rsid w:val="623883B0"/>
    <w:rsid w:val="6259CB26"/>
    <w:rsid w:val="625D1255"/>
    <w:rsid w:val="6267B1CD"/>
    <w:rsid w:val="6299F25E"/>
    <w:rsid w:val="629C708E"/>
    <w:rsid w:val="62A72664"/>
    <w:rsid w:val="62AA7A65"/>
    <w:rsid w:val="62AD3749"/>
    <w:rsid w:val="62CD03B7"/>
    <w:rsid w:val="62CE588F"/>
    <w:rsid w:val="62CE704B"/>
    <w:rsid w:val="62CF070C"/>
    <w:rsid w:val="62D89226"/>
    <w:rsid w:val="62DC8074"/>
    <w:rsid w:val="62DD5183"/>
    <w:rsid w:val="62EDA511"/>
    <w:rsid w:val="62F6F478"/>
    <w:rsid w:val="62F6F5BA"/>
    <w:rsid w:val="631779BA"/>
    <w:rsid w:val="6330426F"/>
    <w:rsid w:val="634B4418"/>
    <w:rsid w:val="6362F576"/>
    <w:rsid w:val="6371DDA0"/>
    <w:rsid w:val="6373D10A"/>
    <w:rsid w:val="639A5735"/>
    <w:rsid w:val="639FD1F2"/>
    <w:rsid w:val="63A1023B"/>
    <w:rsid w:val="63A20F4E"/>
    <w:rsid w:val="63BACED2"/>
    <w:rsid w:val="63D77CA5"/>
    <w:rsid w:val="63F01227"/>
    <w:rsid w:val="63F20FB2"/>
    <w:rsid w:val="63F527F9"/>
    <w:rsid w:val="64244DDC"/>
    <w:rsid w:val="6426AE6A"/>
    <w:rsid w:val="642FF166"/>
    <w:rsid w:val="643FE263"/>
    <w:rsid w:val="64483291"/>
    <w:rsid w:val="644D67FB"/>
    <w:rsid w:val="645A5457"/>
    <w:rsid w:val="64611BF0"/>
    <w:rsid w:val="646B51E8"/>
    <w:rsid w:val="64760E26"/>
    <w:rsid w:val="647ABFB9"/>
    <w:rsid w:val="648095F8"/>
    <w:rsid w:val="649228B1"/>
    <w:rsid w:val="649ABE39"/>
    <w:rsid w:val="649EA98A"/>
    <w:rsid w:val="64A6BEFB"/>
    <w:rsid w:val="64B828B6"/>
    <w:rsid w:val="64CC0AD5"/>
    <w:rsid w:val="64D88D2D"/>
    <w:rsid w:val="64E870E0"/>
    <w:rsid w:val="6502D190"/>
    <w:rsid w:val="65046570"/>
    <w:rsid w:val="651173D8"/>
    <w:rsid w:val="65234693"/>
    <w:rsid w:val="653183DB"/>
    <w:rsid w:val="65329B91"/>
    <w:rsid w:val="653BF584"/>
    <w:rsid w:val="65464E70"/>
    <w:rsid w:val="655F063A"/>
    <w:rsid w:val="65718AB4"/>
    <w:rsid w:val="659B579E"/>
    <w:rsid w:val="65A5804E"/>
    <w:rsid w:val="65B59E9F"/>
    <w:rsid w:val="65C377D6"/>
    <w:rsid w:val="65C60948"/>
    <w:rsid w:val="65CF3502"/>
    <w:rsid w:val="65D91A1D"/>
    <w:rsid w:val="6600F330"/>
    <w:rsid w:val="6607228D"/>
    <w:rsid w:val="660EFC14"/>
    <w:rsid w:val="6617E810"/>
    <w:rsid w:val="661AF7AE"/>
    <w:rsid w:val="6624D433"/>
    <w:rsid w:val="66295A6B"/>
    <w:rsid w:val="66347A21"/>
    <w:rsid w:val="66351191"/>
    <w:rsid w:val="6639ECB7"/>
    <w:rsid w:val="664B00BD"/>
    <w:rsid w:val="665936C1"/>
    <w:rsid w:val="66621C00"/>
    <w:rsid w:val="66906518"/>
    <w:rsid w:val="66A4087B"/>
    <w:rsid w:val="66B270C3"/>
    <w:rsid w:val="66E54154"/>
    <w:rsid w:val="66E9A0A5"/>
    <w:rsid w:val="671413EC"/>
    <w:rsid w:val="6722D529"/>
    <w:rsid w:val="6728A1C5"/>
    <w:rsid w:val="67349698"/>
    <w:rsid w:val="6751F331"/>
    <w:rsid w:val="675701B1"/>
    <w:rsid w:val="676D95DE"/>
    <w:rsid w:val="677426D0"/>
    <w:rsid w:val="678120D4"/>
    <w:rsid w:val="678B98E5"/>
    <w:rsid w:val="679D3A91"/>
    <w:rsid w:val="67A9B4B4"/>
    <w:rsid w:val="67CBE4E4"/>
    <w:rsid w:val="67FCAFB4"/>
    <w:rsid w:val="68041828"/>
    <w:rsid w:val="6805F6E4"/>
    <w:rsid w:val="680BFAE0"/>
    <w:rsid w:val="68102DEF"/>
    <w:rsid w:val="6812FD4D"/>
    <w:rsid w:val="6813F08B"/>
    <w:rsid w:val="682DC40D"/>
    <w:rsid w:val="68466063"/>
    <w:rsid w:val="68583148"/>
    <w:rsid w:val="6870E66E"/>
    <w:rsid w:val="688AF497"/>
    <w:rsid w:val="68906367"/>
    <w:rsid w:val="689A2A67"/>
    <w:rsid w:val="68A14AB1"/>
    <w:rsid w:val="68AE8A02"/>
    <w:rsid w:val="68B6A0A7"/>
    <w:rsid w:val="68ED28A1"/>
    <w:rsid w:val="68F102C0"/>
    <w:rsid w:val="68FB6FDA"/>
    <w:rsid w:val="691789AD"/>
    <w:rsid w:val="69232100"/>
    <w:rsid w:val="692F27FC"/>
    <w:rsid w:val="692FB3D2"/>
    <w:rsid w:val="6963D8BD"/>
    <w:rsid w:val="69754654"/>
    <w:rsid w:val="698E4F97"/>
    <w:rsid w:val="699B71F6"/>
    <w:rsid w:val="69A1C745"/>
    <w:rsid w:val="69BCB0AF"/>
    <w:rsid w:val="69CF6829"/>
    <w:rsid w:val="69DEB8AB"/>
    <w:rsid w:val="69EC4C59"/>
    <w:rsid w:val="6A091CF4"/>
    <w:rsid w:val="6A0C365A"/>
    <w:rsid w:val="6A15ED5C"/>
    <w:rsid w:val="6A284C9D"/>
    <w:rsid w:val="6A3D81D3"/>
    <w:rsid w:val="6A41E7B1"/>
    <w:rsid w:val="6A496B55"/>
    <w:rsid w:val="6A5F5E3C"/>
    <w:rsid w:val="6A5F63FE"/>
    <w:rsid w:val="6A61E7B9"/>
    <w:rsid w:val="6A621671"/>
    <w:rsid w:val="6A727BD4"/>
    <w:rsid w:val="6A7C2638"/>
    <w:rsid w:val="6A88ABD5"/>
    <w:rsid w:val="6A895CF8"/>
    <w:rsid w:val="6A898FEA"/>
    <w:rsid w:val="6A9F32EA"/>
    <w:rsid w:val="6AAF5F94"/>
    <w:rsid w:val="6AC2C4C5"/>
    <w:rsid w:val="6AC7EB59"/>
    <w:rsid w:val="6ACB90E4"/>
    <w:rsid w:val="6AD4E5AB"/>
    <w:rsid w:val="6AE0695B"/>
    <w:rsid w:val="6AE3138F"/>
    <w:rsid w:val="6AE37091"/>
    <w:rsid w:val="6B059B58"/>
    <w:rsid w:val="6B13BECD"/>
    <w:rsid w:val="6B34E08F"/>
    <w:rsid w:val="6B383561"/>
    <w:rsid w:val="6B385FEA"/>
    <w:rsid w:val="6B584BE1"/>
    <w:rsid w:val="6B6BA632"/>
    <w:rsid w:val="6B72A51A"/>
    <w:rsid w:val="6B947C8C"/>
    <w:rsid w:val="6BA21FC4"/>
    <w:rsid w:val="6BB4A7EF"/>
    <w:rsid w:val="6C18B401"/>
    <w:rsid w:val="6C2F551C"/>
    <w:rsid w:val="6C2F9B35"/>
    <w:rsid w:val="6C3238AB"/>
    <w:rsid w:val="6C35FFB2"/>
    <w:rsid w:val="6C3EDA31"/>
    <w:rsid w:val="6C3F3BB7"/>
    <w:rsid w:val="6C5ECF68"/>
    <w:rsid w:val="6C626B01"/>
    <w:rsid w:val="6C6549A0"/>
    <w:rsid w:val="6C6892C4"/>
    <w:rsid w:val="6C6CC481"/>
    <w:rsid w:val="6C736358"/>
    <w:rsid w:val="6C7670D5"/>
    <w:rsid w:val="6C7CD7F2"/>
    <w:rsid w:val="6C899B1F"/>
    <w:rsid w:val="6C9E89C1"/>
    <w:rsid w:val="6CA21385"/>
    <w:rsid w:val="6CA23507"/>
    <w:rsid w:val="6CA30E65"/>
    <w:rsid w:val="6CAFDB33"/>
    <w:rsid w:val="6CB0E25F"/>
    <w:rsid w:val="6CC73E94"/>
    <w:rsid w:val="6CCC83AA"/>
    <w:rsid w:val="6CD7A427"/>
    <w:rsid w:val="6CD96807"/>
    <w:rsid w:val="6CDB3A7E"/>
    <w:rsid w:val="6CDF03DA"/>
    <w:rsid w:val="6CE5E08B"/>
    <w:rsid w:val="6CE7963E"/>
    <w:rsid w:val="6CF0683A"/>
    <w:rsid w:val="6D088F20"/>
    <w:rsid w:val="6D0D2356"/>
    <w:rsid w:val="6D0DC9AD"/>
    <w:rsid w:val="6D15247D"/>
    <w:rsid w:val="6D184E17"/>
    <w:rsid w:val="6D238553"/>
    <w:rsid w:val="6D4EB024"/>
    <w:rsid w:val="6D4F642E"/>
    <w:rsid w:val="6D5702DC"/>
    <w:rsid w:val="6D6B2F10"/>
    <w:rsid w:val="6D8ACF68"/>
    <w:rsid w:val="6D949AF9"/>
    <w:rsid w:val="6D98FFB7"/>
    <w:rsid w:val="6D9BB5D2"/>
    <w:rsid w:val="6D9DDB82"/>
    <w:rsid w:val="6DB883D3"/>
    <w:rsid w:val="6DBFC578"/>
    <w:rsid w:val="6DC81C83"/>
    <w:rsid w:val="6DC91310"/>
    <w:rsid w:val="6DE2F54F"/>
    <w:rsid w:val="6DE343E0"/>
    <w:rsid w:val="6DE44AFA"/>
    <w:rsid w:val="6DE4C010"/>
    <w:rsid w:val="6DF0D8DE"/>
    <w:rsid w:val="6DF0E4B7"/>
    <w:rsid w:val="6DF24AE1"/>
    <w:rsid w:val="6DF69223"/>
    <w:rsid w:val="6DFED077"/>
    <w:rsid w:val="6E096686"/>
    <w:rsid w:val="6E20F12F"/>
    <w:rsid w:val="6E223FF2"/>
    <w:rsid w:val="6E241A8C"/>
    <w:rsid w:val="6E4382DF"/>
    <w:rsid w:val="6E4B0EE7"/>
    <w:rsid w:val="6E55C06E"/>
    <w:rsid w:val="6E56EA30"/>
    <w:rsid w:val="6E739EC2"/>
    <w:rsid w:val="6E7AFC75"/>
    <w:rsid w:val="6E85A870"/>
    <w:rsid w:val="6E8AA828"/>
    <w:rsid w:val="6EA143F2"/>
    <w:rsid w:val="6EA2B51F"/>
    <w:rsid w:val="6EA5A5AD"/>
    <w:rsid w:val="6EB062B2"/>
    <w:rsid w:val="6ECA8D80"/>
    <w:rsid w:val="6ED345BA"/>
    <w:rsid w:val="6EDE5E69"/>
    <w:rsid w:val="6EDEEF9B"/>
    <w:rsid w:val="6EE20CB8"/>
    <w:rsid w:val="6EE4E183"/>
    <w:rsid w:val="6EEF850F"/>
    <w:rsid w:val="6F10122F"/>
    <w:rsid w:val="6F1564F2"/>
    <w:rsid w:val="6F15B5A7"/>
    <w:rsid w:val="6F30D0E2"/>
    <w:rsid w:val="6F3A8220"/>
    <w:rsid w:val="6F41DBF2"/>
    <w:rsid w:val="6F54478A"/>
    <w:rsid w:val="6F5583E3"/>
    <w:rsid w:val="6F5FB8B6"/>
    <w:rsid w:val="6F61BC01"/>
    <w:rsid w:val="6F6290B3"/>
    <w:rsid w:val="6F92FD94"/>
    <w:rsid w:val="6F974DA9"/>
    <w:rsid w:val="6F9A7509"/>
    <w:rsid w:val="6FA6AA06"/>
    <w:rsid w:val="6FABC956"/>
    <w:rsid w:val="6FE1CC71"/>
    <w:rsid w:val="6FE720F0"/>
    <w:rsid w:val="6FF5E7EB"/>
    <w:rsid w:val="7007B9F7"/>
    <w:rsid w:val="700908DE"/>
    <w:rsid w:val="701870E0"/>
    <w:rsid w:val="701A62BC"/>
    <w:rsid w:val="7025DEEE"/>
    <w:rsid w:val="702B331B"/>
    <w:rsid w:val="702F6DAF"/>
    <w:rsid w:val="7064A98C"/>
    <w:rsid w:val="70694103"/>
    <w:rsid w:val="706E4B7B"/>
    <w:rsid w:val="70903E8D"/>
    <w:rsid w:val="70A420FB"/>
    <w:rsid w:val="70C2E0D4"/>
    <w:rsid w:val="70C70C5E"/>
    <w:rsid w:val="70D06DA5"/>
    <w:rsid w:val="70D601EB"/>
    <w:rsid w:val="70F193BD"/>
    <w:rsid w:val="710B16F4"/>
    <w:rsid w:val="710D75E4"/>
    <w:rsid w:val="711CDB68"/>
    <w:rsid w:val="711D35DD"/>
    <w:rsid w:val="711E75F0"/>
    <w:rsid w:val="71326CA0"/>
    <w:rsid w:val="7138786C"/>
    <w:rsid w:val="713D30E5"/>
    <w:rsid w:val="7151707B"/>
    <w:rsid w:val="71583C0A"/>
    <w:rsid w:val="7188D0AB"/>
    <w:rsid w:val="71949406"/>
    <w:rsid w:val="7197C2C4"/>
    <w:rsid w:val="719DF9E6"/>
    <w:rsid w:val="71C3A7FE"/>
    <w:rsid w:val="71C78D65"/>
    <w:rsid w:val="71EEA8A8"/>
    <w:rsid w:val="71F75E3E"/>
    <w:rsid w:val="71FF2C24"/>
    <w:rsid w:val="720C5FE5"/>
    <w:rsid w:val="7212C86F"/>
    <w:rsid w:val="7233E801"/>
    <w:rsid w:val="72367BC1"/>
    <w:rsid w:val="7236C600"/>
    <w:rsid w:val="72389FBF"/>
    <w:rsid w:val="723AC21C"/>
    <w:rsid w:val="72436DD2"/>
    <w:rsid w:val="7260F391"/>
    <w:rsid w:val="72727421"/>
    <w:rsid w:val="72758449"/>
    <w:rsid w:val="7287A6A5"/>
    <w:rsid w:val="728A7502"/>
    <w:rsid w:val="72930486"/>
    <w:rsid w:val="72930D6D"/>
    <w:rsid w:val="729E58CB"/>
    <w:rsid w:val="72A723D9"/>
    <w:rsid w:val="72C0818F"/>
    <w:rsid w:val="72FC4E21"/>
    <w:rsid w:val="730E41FA"/>
    <w:rsid w:val="7326E07B"/>
    <w:rsid w:val="734B9D68"/>
    <w:rsid w:val="73650947"/>
    <w:rsid w:val="7394802D"/>
    <w:rsid w:val="73A50E16"/>
    <w:rsid w:val="73C0565C"/>
    <w:rsid w:val="73C360BA"/>
    <w:rsid w:val="73CFADB8"/>
    <w:rsid w:val="73D1F90A"/>
    <w:rsid w:val="73D2006D"/>
    <w:rsid w:val="74331F41"/>
    <w:rsid w:val="74374599"/>
    <w:rsid w:val="745C6171"/>
    <w:rsid w:val="747709DB"/>
    <w:rsid w:val="749A47BB"/>
    <w:rsid w:val="749FCC53"/>
    <w:rsid w:val="74AC9627"/>
    <w:rsid w:val="74B06385"/>
    <w:rsid w:val="74B7D7FB"/>
    <w:rsid w:val="74BDABA0"/>
    <w:rsid w:val="74C7E322"/>
    <w:rsid w:val="74D653C5"/>
    <w:rsid w:val="74DB60F9"/>
    <w:rsid w:val="74F326F1"/>
    <w:rsid w:val="7502E2CF"/>
    <w:rsid w:val="7505CC51"/>
    <w:rsid w:val="75061F39"/>
    <w:rsid w:val="75111A5A"/>
    <w:rsid w:val="75230487"/>
    <w:rsid w:val="7530F50A"/>
    <w:rsid w:val="75335FC5"/>
    <w:rsid w:val="75356FAD"/>
    <w:rsid w:val="753642EC"/>
    <w:rsid w:val="7547FBF0"/>
    <w:rsid w:val="75500263"/>
    <w:rsid w:val="75568336"/>
    <w:rsid w:val="7561206D"/>
    <w:rsid w:val="75632FC0"/>
    <w:rsid w:val="7566A531"/>
    <w:rsid w:val="75893DD5"/>
    <w:rsid w:val="759D5E99"/>
    <w:rsid w:val="75A04091"/>
    <w:rsid w:val="75B20E33"/>
    <w:rsid w:val="75BF86A5"/>
    <w:rsid w:val="75D0197A"/>
    <w:rsid w:val="75D65A5A"/>
    <w:rsid w:val="75E03184"/>
    <w:rsid w:val="75F4B96E"/>
    <w:rsid w:val="76031CC9"/>
    <w:rsid w:val="760BB941"/>
    <w:rsid w:val="7623628A"/>
    <w:rsid w:val="76253CD2"/>
    <w:rsid w:val="76492F54"/>
    <w:rsid w:val="764B3D5B"/>
    <w:rsid w:val="765DF5BC"/>
    <w:rsid w:val="76648B48"/>
    <w:rsid w:val="767BE721"/>
    <w:rsid w:val="767F89EF"/>
    <w:rsid w:val="7681B6BA"/>
    <w:rsid w:val="768E0295"/>
    <w:rsid w:val="76A3E9CA"/>
    <w:rsid w:val="76BBB435"/>
    <w:rsid w:val="76CB41CF"/>
    <w:rsid w:val="76CC30C9"/>
    <w:rsid w:val="76DC3C70"/>
    <w:rsid w:val="76ED5AB2"/>
    <w:rsid w:val="76FA162D"/>
    <w:rsid w:val="77104F19"/>
    <w:rsid w:val="771416BF"/>
    <w:rsid w:val="77193D69"/>
    <w:rsid w:val="771A10EE"/>
    <w:rsid w:val="772C32EA"/>
    <w:rsid w:val="7734236C"/>
    <w:rsid w:val="77393E90"/>
    <w:rsid w:val="7749F517"/>
    <w:rsid w:val="775EF6DA"/>
    <w:rsid w:val="7761713E"/>
    <w:rsid w:val="776405D6"/>
    <w:rsid w:val="776AA0FC"/>
    <w:rsid w:val="777449F6"/>
    <w:rsid w:val="77B06E78"/>
    <w:rsid w:val="77BDE851"/>
    <w:rsid w:val="77D76D15"/>
    <w:rsid w:val="77EE2F32"/>
    <w:rsid w:val="780659A2"/>
    <w:rsid w:val="780897DF"/>
    <w:rsid w:val="781B835F"/>
    <w:rsid w:val="78227DE3"/>
    <w:rsid w:val="7825E54B"/>
    <w:rsid w:val="7848A029"/>
    <w:rsid w:val="784B9650"/>
    <w:rsid w:val="7860A011"/>
    <w:rsid w:val="7889AED7"/>
    <w:rsid w:val="788BC826"/>
    <w:rsid w:val="789D5C64"/>
    <w:rsid w:val="78A9E809"/>
    <w:rsid w:val="78D0BFAE"/>
    <w:rsid w:val="78E86C43"/>
    <w:rsid w:val="78EA0E30"/>
    <w:rsid w:val="78ED6807"/>
    <w:rsid w:val="79114D62"/>
    <w:rsid w:val="7917D09A"/>
    <w:rsid w:val="79182815"/>
    <w:rsid w:val="792251A9"/>
    <w:rsid w:val="7922FBBE"/>
    <w:rsid w:val="793112DA"/>
    <w:rsid w:val="793764E7"/>
    <w:rsid w:val="79435A03"/>
    <w:rsid w:val="79563CE0"/>
    <w:rsid w:val="795A0A35"/>
    <w:rsid w:val="7984DAFA"/>
    <w:rsid w:val="7986D5D5"/>
    <w:rsid w:val="79877A3D"/>
    <w:rsid w:val="7998295C"/>
    <w:rsid w:val="799953E1"/>
    <w:rsid w:val="79C3B6C0"/>
    <w:rsid w:val="79D3C2A7"/>
    <w:rsid w:val="79E10DCE"/>
    <w:rsid w:val="79FD741B"/>
    <w:rsid w:val="7A193E24"/>
    <w:rsid w:val="7A21706A"/>
    <w:rsid w:val="7A32A8C1"/>
    <w:rsid w:val="7A4D3FBF"/>
    <w:rsid w:val="7A504553"/>
    <w:rsid w:val="7A61BF2B"/>
    <w:rsid w:val="7A61CE97"/>
    <w:rsid w:val="7A735E04"/>
    <w:rsid w:val="7A8B64F0"/>
    <w:rsid w:val="7A9AC59F"/>
    <w:rsid w:val="7AA241BE"/>
    <w:rsid w:val="7AD171E1"/>
    <w:rsid w:val="7ADBD2C6"/>
    <w:rsid w:val="7AE88B2E"/>
    <w:rsid w:val="7AF6F17D"/>
    <w:rsid w:val="7B20E555"/>
    <w:rsid w:val="7B2444DE"/>
    <w:rsid w:val="7B445C14"/>
    <w:rsid w:val="7B4E2146"/>
    <w:rsid w:val="7B520F96"/>
    <w:rsid w:val="7B580D2F"/>
    <w:rsid w:val="7B5A1EA5"/>
    <w:rsid w:val="7B5BA4F7"/>
    <w:rsid w:val="7B7DD03C"/>
    <w:rsid w:val="7B85EFDB"/>
    <w:rsid w:val="7B8C7A18"/>
    <w:rsid w:val="7B9FD44A"/>
    <w:rsid w:val="7BA0B624"/>
    <w:rsid w:val="7BA919A7"/>
    <w:rsid w:val="7BAFD278"/>
    <w:rsid w:val="7BBE5D40"/>
    <w:rsid w:val="7BC98C3B"/>
    <w:rsid w:val="7BD6AE09"/>
    <w:rsid w:val="7BE58279"/>
    <w:rsid w:val="7BEB1512"/>
    <w:rsid w:val="7BF2D1CF"/>
    <w:rsid w:val="7BFB77FB"/>
    <w:rsid w:val="7C18289A"/>
    <w:rsid w:val="7C2F3970"/>
    <w:rsid w:val="7C3E2F91"/>
    <w:rsid w:val="7C45BD97"/>
    <w:rsid w:val="7C47B148"/>
    <w:rsid w:val="7C4FB706"/>
    <w:rsid w:val="7C7ADBDD"/>
    <w:rsid w:val="7C7E82C6"/>
    <w:rsid w:val="7C7F0977"/>
    <w:rsid w:val="7C960062"/>
    <w:rsid w:val="7CB64613"/>
    <w:rsid w:val="7CBFE0A1"/>
    <w:rsid w:val="7CC33C5E"/>
    <w:rsid w:val="7CD0101C"/>
    <w:rsid w:val="7CE5DACA"/>
    <w:rsid w:val="7CFDA67E"/>
    <w:rsid w:val="7D02D59A"/>
    <w:rsid w:val="7D0F02E1"/>
    <w:rsid w:val="7D14EAFB"/>
    <w:rsid w:val="7D44EA08"/>
    <w:rsid w:val="7D4DFBA0"/>
    <w:rsid w:val="7D4FAD6D"/>
    <w:rsid w:val="7D546A61"/>
    <w:rsid w:val="7D5EEF3A"/>
    <w:rsid w:val="7D6246C0"/>
    <w:rsid w:val="7D84627E"/>
    <w:rsid w:val="7D8ED7DC"/>
    <w:rsid w:val="7DAB5276"/>
    <w:rsid w:val="7DCB173D"/>
    <w:rsid w:val="7DDDB49A"/>
    <w:rsid w:val="7DE3AF62"/>
    <w:rsid w:val="7DFB4AA2"/>
    <w:rsid w:val="7E25699A"/>
    <w:rsid w:val="7E32FB54"/>
    <w:rsid w:val="7E39BD51"/>
    <w:rsid w:val="7E479FAC"/>
    <w:rsid w:val="7E486E52"/>
    <w:rsid w:val="7E51F4DD"/>
    <w:rsid w:val="7E52471F"/>
    <w:rsid w:val="7E5D1D6F"/>
    <w:rsid w:val="7E8979AD"/>
    <w:rsid w:val="7EA3B9C0"/>
    <w:rsid w:val="7EDE677C"/>
    <w:rsid w:val="7EEE1351"/>
    <w:rsid w:val="7EF4BEBA"/>
    <w:rsid w:val="7F1EC60D"/>
    <w:rsid w:val="7F21C788"/>
    <w:rsid w:val="7F333E59"/>
    <w:rsid w:val="7F4027EE"/>
    <w:rsid w:val="7F809637"/>
    <w:rsid w:val="7F88225D"/>
    <w:rsid w:val="7FA3AE75"/>
    <w:rsid w:val="7FA461F5"/>
    <w:rsid w:val="7FB02F3B"/>
    <w:rsid w:val="7FB4DA38"/>
    <w:rsid w:val="7FB7C8E7"/>
    <w:rsid w:val="7FC5C2CB"/>
    <w:rsid w:val="7FCF3A21"/>
    <w:rsid w:val="7FD69D3D"/>
    <w:rsid w:val="7FDAE423"/>
    <w:rsid w:val="7FF4F981"/>
    <w:rsid w:val="7FF7309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99C89"/>
  <w15:docId w15:val="{01C0E321-6203-4E08-B205-AEBCC630C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4564A"/>
    <w:pPr>
      <w:spacing w:after="120" w:line="260" w:lineRule="exact"/>
      <w:jc w:val="both"/>
    </w:pPr>
  </w:style>
  <w:style w:type="paragraph" w:styleId="Nadpis1">
    <w:name w:val="heading 1"/>
    <w:basedOn w:val="Normlny"/>
    <w:next w:val="Normlny"/>
    <w:link w:val="Nadpis1Char"/>
    <w:uiPriority w:val="9"/>
    <w:qFormat/>
    <w:rsid w:val="00194198"/>
    <w:pPr>
      <w:keepNext/>
      <w:keepLines/>
      <w:pageBreakBefore/>
      <w:numPr>
        <w:numId w:val="10"/>
      </w:numPr>
      <w:spacing w:after="360" w:line="360" w:lineRule="exact"/>
      <w:outlineLvl w:val="0"/>
    </w:pPr>
    <w:rPr>
      <w:rFonts w:eastAsia="Times New Roman" w:cs="Times New Roman"/>
      <w:sz w:val="32"/>
      <w:szCs w:val="32"/>
    </w:rPr>
  </w:style>
  <w:style w:type="paragraph" w:styleId="Nadpis2">
    <w:name w:val="heading 2"/>
    <w:basedOn w:val="Normlny"/>
    <w:next w:val="Normlny"/>
    <w:link w:val="Nadpis2Char"/>
    <w:uiPriority w:val="9"/>
    <w:qFormat/>
    <w:rsid w:val="002B60D7"/>
    <w:pPr>
      <w:keepNext/>
      <w:keepLines/>
      <w:numPr>
        <w:ilvl w:val="1"/>
        <w:numId w:val="10"/>
      </w:numPr>
      <w:ind w:left="851"/>
      <w:outlineLvl w:val="1"/>
    </w:pPr>
    <w:rPr>
      <w:rFonts w:eastAsiaTheme="majorEastAsia" w:cs="Times New Roman"/>
      <w:sz w:val="28"/>
      <w:szCs w:val="26"/>
    </w:rPr>
  </w:style>
  <w:style w:type="paragraph" w:styleId="Nadpis3">
    <w:name w:val="heading 3"/>
    <w:basedOn w:val="Normlny"/>
    <w:next w:val="Normlny"/>
    <w:link w:val="Nadpis3Char"/>
    <w:uiPriority w:val="9"/>
    <w:qFormat/>
    <w:rsid w:val="00E362F7"/>
    <w:pPr>
      <w:keepNext/>
      <w:keepLines/>
      <w:numPr>
        <w:ilvl w:val="2"/>
        <w:numId w:val="10"/>
      </w:numPr>
      <w:spacing w:before="240" w:after="80"/>
      <w:ind w:left="1276" w:hanging="708"/>
      <w:outlineLvl w:val="2"/>
    </w:pPr>
    <w:rPr>
      <w:rFonts w:eastAsiaTheme="majorEastAsia" w:cs="Times New Roman"/>
      <w:b/>
      <w:sz w:val="24"/>
      <w:szCs w:val="24"/>
    </w:rPr>
  </w:style>
  <w:style w:type="paragraph" w:styleId="Nadpis4">
    <w:name w:val="heading 4"/>
    <w:basedOn w:val="Normlny"/>
    <w:next w:val="Normlny"/>
    <w:link w:val="Nadpis4Char"/>
    <w:uiPriority w:val="9"/>
    <w:qFormat/>
    <w:rsid w:val="006924EA"/>
    <w:pPr>
      <w:keepNext/>
      <w:keepLines/>
      <w:numPr>
        <w:ilvl w:val="3"/>
        <w:numId w:val="10"/>
      </w:numPr>
      <w:spacing w:before="160" w:after="80"/>
      <w:ind w:left="1701"/>
      <w:outlineLvl w:val="3"/>
    </w:pPr>
    <w:rPr>
      <w:rFonts w:eastAsia="Times New Roman" w:cs="Times New Roman"/>
      <w:i/>
      <w:iCs/>
      <w:sz w:val="24"/>
      <w:szCs w:val="24"/>
      <w:lang w:eastAsia="cs-CZ"/>
    </w:rPr>
  </w:style>
  <w:style w:type="paragraph" w:styleId="Nadpis5">
    <w:name w:val="heading 5"/>
    <w:basedOn w:val="Normlny"/>
    <w:next w:val="Normlny"/>
    <w:link w:val="Nadpis5Char"/>
    <w:uiPriority w:val="9"/>
    <w:rsid w:val="00C47004"/>
    <w:pPr>
      <w:keepNext/>
      <w:keepLines/>
      <w:numPr>
        <w:ilvl w:val="4"/>
        <w:numId w:val="10"/>
      </w:numPr>
      <w:spacing w:before="40" w:after="0"/>
      <w:outlineLvl w:val="4"/>
    </w:pPr>
    <w:rPr>
      <w:rFonts w:eastAsia="Times New Roman" w:cs="Times New Roman"/>
      <w:i/>
      <w:szCs w:val="36"/>
    </w:rPr>
  </w:style>
  <w:style w:type="paragraph" w:styleId="Nadpis6">
    <w:name w:val="heading 6"/>
    <w:basedOn w:val="Normlny"/>
    <w:next w:val="Normlny"/>
    <w:link w:val="Nadpis6Char"/>
    <w:uiPriority w:val="9"/>
    <w:rsid w:val="00AF1DE4"/>
    <w:pPr>
      <w:keepNext/>
      <w:keepLines/>
      <w:numPr>
        <w:ilvl w:val="5"/>
        <w:numId w:val="10"/>
      </w:numPr>
      <w:spacing w:before="40" w:after="0"/>
      <w:outlineLvl w:val="5"/>
    </w:pPr>
    <w:rPr>
      <w:rFonts w:ascii="Cambria" w:eastAsia="Times New Roman" w:hAnsi="Cambria" w:cs="Times New Roman"/>
      <w:color w:val="243F60"/>
      <w:szCs w:val="36"/>
    </w:rPr>
  </w:style>
  <w:style w:type="paragraph" w:styleId="Nadpis7">
    <w:name w:val="heading 7"/>
    <w:basedOn w:val="Normlny"/>
    <w:next w:val="Normlny"/>
    <w:link w:val="Nadpis7Char"/>
    <w:uiPriority w:val="9"/>
    <w:rsid w:val="00AF1DE4"/>
    <w:pPr>
      <w:keepNext/>
      <w:keepLines/>
      <w:numPr>
        <w:ilvl w:val="6"/>
        <w:numId w:val="10"/>
      </w:numPr>
      <w:spacing w:before="40" w:after="0"/>
      <w:outlineLvl w:val="6"/>
    </w:pPr>
    <w:rPr>
      <w:rFonts w:ascii="Cambria" w:eastAsia="Times New Roman" w:hAnsi="Cambria" w:cs="Times New Roman"/>
      <w:i/>
      <w:iCs/>
      <w:color w:val="243F60"/>
      <w:szCs w:val="36"/>
    </w:rPr>
  </w:style>
  <w:style w:type="paragraph" w:styleId="Nadpis8">
    <w:name w:val="heading 8"/>
    <w:basedOn w:val="Normlny"/>
    <w:next w:val="Normlny"/>
    <w:link w:val="Nadpis8Char"/>
    <w:uiPriority w:val="9"/>
    <w:rsid w:val="00AF1DE4"/>
    <w:pPr>
      <w:keepNext/>
      <w:keepLines/>
      <w:numPr>
        <w:ilvl w:val="7"/>
        <w:numId w:val="10"/>
      </w:numPr>
      <w:spacing w:before="40" w:after="0"/>
      <w:outlineLvl w:val="7"/>
    </w:pPr>
    <w:rPr>
      <w:rFonts w:ascii="Cambria" w:eastAsia="Times New Roman" w:hAnsi="Cambria" w:cs="Times New Roman"/>
      <w:color w:val="272727"/>
      <w:sz w:val="21"/>
      <w:szCs w:val="21"/>
    </w:rPr>
  </w:style>
  <w:style w:type="paragraph" w:styleId="Nadpis9">
    <w:name w:val="heading 9"/>
    <w:basedOn w:val="Normlny"/>
    <w:next w:val="Normlny"/>
    <w:link w:val="Nadpis9Char"/>
    <w:uiPriority w:val="9"/>
    <w:rsid w:val="00AF1DE4"/>
    <w:pPr>
      <w:keepNext/>
      <w:keepLines/>
      <w:numPr>
        <w:ilvl w:val="8"/>
        <w:numId w:val="10"/>
      </w:numPr>
      <w:spacing w:before="40" w:after="0"/>
      <w:outlineLvl w:val="8"/>
    </w:pPr>
    <w:rPr>
      <w:rFonts w:ascii="Cambria" w:eastAsia="Times New Roman" w:hAnsi="Cambria" w:cs="Times New Roman"/>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94198"/>
    <w:rPr>
      <w:rFonts w:eastAsia="Times New Roman" w:cs="Times New Roman"/>
      <w:sz w:val="32"/>
      <w:szCs w:val="32"/>
    </w:rPr>
  </w:style>
  <w:style w:type="character" w:customStyle="1" w:styleId="Nadpis2Char">
    <w:name w:val="Nadpis 2 Char"/>
    <w:basedOn w:val="Predvolenpsmoodseku"/>
    <w:link w:val="Nadpis2"/>
    <w:uiPriority w:val="9"/>
    <w:rsid w:val="002B60D7"/>
    <w:rPr>
      <w:rFonts w:eastAsiaTheme="majorEastAsia" w:cs="Times New Roman"/>
      <w:sz w:val="28"/>
      <w:szCs w:val="26"/>
    </w:rPr>
  </w:style>
  <w:style w:type="character" w:customStyle="1" w:styleId="Nadpis3Char">
    <w:name w:val="Nadpis 3 Char"/>
    <w:basedOn w:val="Predvolenpsmoodseku"/>
    <w:link w:val="Nadpis3"/>
    <w:uiPriority w:val="9"/>
    <w:rsid w:val="00E362F7"/>
    <w:rPr>
      <w:rFonts w:eastAsiaTheme="majorEastAsia" w:cs="Times New Roman"/>
      <w:b/>
      <w:sz w:val="24"/>
      <w:szCs w:val="24"/>
    </w:rPr>
  </w:style>
  <w:style w:type="character" w:customStyle="1" w:styleId="Nadpis4Char">
    <w:name w:val="Nadpis 4 Char"/>
    <w:basedOn w:val="Predvolenpsmoodseku"/>
    <w:link w:val="Nadpis4"/>
    <w:uiPriority w:val="9"/>
    <w:rsid w:val="006924EA"/>
    <w:rPr>
      <w:rFonts w:eastAsia="Times New Roman" w:cs="Times New Roman"/>
      <w:i/>
      <w:iCs/>
      <w:sz w:val="24"/>
      <w:szCs w:val="24"/>
      <w:lang w:eastAsia="cs-CZ"/>
    </w:rPr>
  </w:style>
  <w:style w:type="character" w:customStyle="1" w:styleId="Nadpis5Char">
    <w:name w:val="Nadpis 5 Char"/>
    <w:basedOn w:val="Predvolenpsmoodseku"/>
    <w:link w:val="Nadpis5"/>
    <w:uiPriority w:val="9"/>
    <w:rsid w:val="00C47004"/>
    <w:rPr>
      <w:rFonts w:eastAsia="Times New Roman" w:cs="Times New Roman"/>
      <w:i/>
      <w:szCs w:val="36"/>
    </w:rPr>
  </w:style>
  <w:style w:type="character" w:customStyle="1" w:styleId="Nadpis6Char">
    <w:name w:val="Nadpis 6 Char"/>
    <w:basedOn w:val="Predvolenpsmoodseku"/>
    <w:link w:val="Nadpis6"/>
    <w:uiPriority w:val="9"/>
    <w:rsid w:val="00AF1DE4"/>
    <w:rPr>
      <w:rFonts w:ascii="Cambria" w:eastAsia="Times New Roman" w:hAnsi="Cambria" w:cs="Times New Roman"/>
      <w:color w:val="243F60"/>
      <w:szCs w:val="36"/>
    </w:rPr>
  </w:style>
  <w:style w:type="character" w:customStyle="1" w:styleId="Nadpis7Char">
    <w:name w:val="Nadpis 7 Char"/>
    <w:basedOn w:val="Predvolenpsmoodseku"/>
    <w:link w:val="Nadpis7"/>
    <w:uiPriority w:val="9"/>
    <w:rsid w:val="00AF1DE4"/>
    <w:rPr>
      <w:rFonts w:ascii="Cambria" w:eastAsia="Times New Roman" w:hAnsi="Cambria" w:cs="Times New Roman"/>
      <w:i/>
      <w:iCs/>
      <w:color w:val="243F60"/>
      <w:szCs w:val="36"/>
    </w:rPr>
  </w:style>
  <w:style w:type="character" w:customStyle="1" w:styleId="Nadpis8Char">
    <w:name w:val="Nadpis 8 Char"/>
    <w:basedOn w:val="Predvolenpsmoodseku"/>
    <w:link w:val="Nadpis8"/>
    <w:uiPriority w:val="9"/>
    <w:rsid w:val="00AF1DE4"/>
    <w:rPr>
      <w:rFonts w:ascii="Cambria" w:eastAsia="Times New Roman" w:hAnsi="Cambria" w:cs="Times New Roman"/>
      <w:color w:val="272727"/>
      <w:sz w:val="21"/>
      <w:szCs w:val="21"/>
    </w:rPr>
  </w:style>
  <w:style w:type="character" w:customStyle="1" w:styleId="Nadpis9Char">
    <w:name w:val="Nadpis 9 Char"/>
    <w:basedOn w:val="Predvolenpsmoodseku"/>
    <w:link w:val="Nadpis9"/>
    <w:uiPriority w:val="9"/>
    <w:rsid w:val="00AF1DE4"/>
    <w:rPr>
      <w:rFonts w:ascii="Cambria" w:eastAsia="Times New Roman" w:hAnsi="Cambria" w:cs="Times New Roman"/>
      <w:i/>
      <w:iCs/>
      <w:color w:val="272727"/>
      <w:sz w:val="21"/>
      <w:szCs w:val="21"/>
    </w:rPr>
  </w:style>
  <w:style w:type="paragraph" w:styleId="Hlavikaobsahu">
    <w:name w:val="TOC Heading"/>
    <w:basedOn w:val="Nadpis1"/>
    <w:next w:val="Normlny"/>
    <w:uiPriority w:val="39"/>
    <w:qFormat/>
    <w:rsid w:val="00AF1DE4"/>
    <w:pPr>
      <w:numPr>
        <w:numId w:val="0"/>
      </w:numPr>
      <w:spacing w:line="259" w:lineRule="auto"/>
      <w:outlineLvl w:val="9"/>
    </w:pPr>
    <w:rPr>
      <w:lang w:val="en-US"/>
    </w:rPr>
  </w:style>
  <w:style w:type="paragraph" w:styleId="Odsekzoznamu">
    <w:name w:val="List Paragraph"/>
    <w:aliases w:val="necislovany zoznam,body,Odsek zoznamu2,Bullet Number,List Paragraph1,lp1,lp11,List Paragraph11,Bullet 1,Use Case List Paragraph,Heading Bullet,Bullet List,FooterText,numbered,Paragraphe de liste1,Bulletr List Paragraph,列出段落,列出段落1,Odsek,2"/>
    <w:basedOn w:val="Normlny"/>
    <w:link w:val="OdsekzoznamuChar"/>
    <w:uiPriority w:val="34"/>
    <w:qFormat/>
    <w:rsid w:val="00AF1DE4"/>
    <w:pPr>
      <w:numPr>
        <w:numId w:val="15"/>
      </w:numPr>
      <w:contextualSpacing/>
    </w:pPr>
    <w:rPr>
      <w:rFonts w:eastAsia="Times New Roman" w:cs="Times New Roman"/>
      <w:szCs w:val="36"/>
    </w:rPr>
  </w:style>
  <w:style w:type="paragraph" w:styleId="Textpoznmkypodiarou">
    <w:name w:val="footnote text"/>
    <w:basedOn w:val="Normlny"/>
    <w:link w:val="TextpoznmkypodiarouChar"/>
    <w:uiPriority w:val="99"/>
    <w:rsid w:val="00AF1DE4"/>
    <w:pPr>
      <w:spacing w:before="120" w:after="60" w:line="240" w:lineRule="auto"/>
    </w:pPr>
    <w:rPr>
      <w:rFonts w:ascii="Times New Roman" w:eastAsia="Times New Roman" w:hAnsi="Times New Roman" w:cs="Times New Roman"/>
      <w:sz w:val="20"/>
      <w:szCs w:val="20"/>
      <w:lang w:val="en-GB"/>
    </w:rPr>
  </w:style>
  <w:style w:type="character" w:customStyle="1" w:styleId="TextpoznmkypodiarouChar">
    <w:name w:val="Text poznámky pod čiarou Char"/>
    <w:basedOn w:val="Predvolenpsmoodseku"/>
    <w:link w:val="Textpoznmkypodiarou"/>
    <w:uiPriority w:val="99"/>
    <w:rsid w:val="00AF1DE4"/>
    <w:rPr>
      <w:rFonts w:ascii="Times New Roman" w:eastAsia="Times New Roman" w:hAnsi="Times New Roman" w:cs="Times New Roman"/>
      <w:sz w:val="20"/>
      <w:szCs w:val="20"/>
      <w:lang w:val="en-GB"/>
    </w:rPr>
  </w:style>
  <w:style w:type="paragraph" w:styleId="Hlavika">
    <w:name w:val="header"/>
    <w:basedOn w:val="Normlny"/>
    <w:link w:val="Hlavik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HlavikaChar">
    <w:name w:val="Hlavička Char"/>
    <w:basedOn w:val="Predvolenpsmoodseku"/>
    <w:link w:val="Hlavika"/>
    <w:uiPriority w:val="99"/>
    <w:rsid w:val="00AF1DE4"/>
    <w:rPr>
      <w:rFonts w:asciiTheme="majorHAnsi" w:eastAsia="Times New Roman" w:hAnsiTheme="majorHAnsi" w:cs="Times New Roman"/>
      <w:szCs w:val="36"/>
    </w:rPr>
  </w:style>
  <w:style w:type="paragraph" w:styleId="Textbubliny">
    <w:name w:val="Balloon Text"/>
    <w:basedOn w:val="Normlny"/>
    <w:link w:val="TextbublinyChar"/>
    <w:uiPriority w:val="99"/>
    <w:semiHidden/>
    <w:rsid w:val="00AF1DE4"/>
    <w:pPr>
      <w:spacing w:after="0" w:line="240" w:lineRule="auto"/>
    </w:pPr>
    <w:rPr>
      <w:rFonts w:ascii="Tahoma" w:eastAsia="Times New Roman" w:hAnsi="Tahoma" w:cs="Tahoma"/>
      <w:sz w:val="16"/>
      <w:szCs w:val="16"/>
    </w:rPr>
  </w:style>
  <w:style w:type="character" w:customStyle="1" w:styleId="TextbublinyChar">
    <w:name w:val="Text bubliny Char"/>
    <w:basedOn w:val="Predvolenpsmoodseku"/>
    <w:link w:val="Textbubliny"/>
    <w:uiPriority w:val="99"/>
    <w:semiHidden/>
    <w:rsid w:val="00AF1DE4"/>
    <w:rPr>
      <w:rFonts w:ascii="Tahoma" w:eastAsia="Times New Roman" w:hAnsi="Tahoma" w:cs="Tahoma"/>
      <w:sz w:val="16"/>
      <w:szCs w:val="16"/>
    </w:rPr>
  </w:style>
  <w:style w:type="paragraph" w:styleId="Pta">
    <w:name w:val="footer"/>
    <w:aliases w:val="Pozn. pod čiarou"/>
    <w:basedOn w:val="Normlny"/>
    <w:link w:val="Pt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PtaChar">
    <w:name w:val="Päta Char"/>
    <w:aliases w:val="Pozn. pod čiarou Char"/>
    <w:basedOn w:val="Predvolenpsmoodseku"/>
    <w:link w:val="Pta"/>
    <w:uiPriority w:val="99"/>
    <w:rsid w:val="00AF1DE4"/>
    <w:rPr>
      <w:rFonts w:asciiTheme="majorHAnsi" w:eastAsia="Times New Roman" w:hAnsiTheme="majorHAnsi" w:cs="Times New Roman"/>
      <w:szCs w:val="36"/>
    </w:rPr>
  </w:style>
  <w:style w:type="character" w:styleId="Hypertextovprepojenie">
    <w:name w:val="Hyperlink"/>
    <w:basedOn w:val="Predvolenpsmoodseku"/>
    <w:uiPriority w:val="99"/>
    <w:rsid w:val="00AF1DE4"/>
    <w:rPr>
      <w:rFonts w:cs="Times New Roman"/>
      <w:color w:val="0000FF"/>
      <w:u w:val="single"/>
    </w:rPr>
  </w:style>
  <w:style w:type="paragraph" w:styleId="Nzov">
    <w:name w:val="Title"/>
    <w:basedOn w:val="Normlny"/>
    <w:next w:val="Normlny"/>
    <w:link w:val="NzovChar"/>
    <w:uiPriority w:val="10"/>
    <w:qFormat/>
    <w:rsid w:val="00AF1DE4"/>
    <w:pPr>
      <w:spacing w:after="0" w:line="240" w:lineRule="auto"/>
      <w:contextualSpacing/>
      <w:jc w:val="center"/>
    </w:pPr>
    <w:rPr>
      <w:rFonts w:eastAsia="Times New Roman" w:cs="Times New Roman"/>
      <w:color w:val="1F497D" w:themeColor="text2"/>
      <w:spacing w:val="-10"/>
      <w:kern w:val="28"/>
      <w:sz w:val="56"/>
      <w:szCs w:val="56"/>
    </w:rPr>
  </w:style>
  <w:style w:type="character" w:customStyle="1" w:styleId="NzovChar">
    <w:name w:val="Názov Char"/>
    <w:basedOn w:val="Predvolenpsmoodseku"/>
    <w:link w:val="Nzov"/>
    <w:uiPriority w:val="10"/>
    <w:rsid w:val="00AF1DE4"/>
    <w:rPr>
      <w:rFonts w:eastAsia="Times New Roman" w:cs="Times New Roman"/>
      <w:color w:val="1F497D" w:themeColor="text2"/>
      <w:spacing w:val="-10"/>
      <w:kern w:val="28"/>
      <w:sz w:val="56"/>
      <w:szCs w:val="56"/>
    </w:rPr>
  </w:style>
  <w:style w:type="paragraph" w:customStyle="1" w:styleId="zreportaddinfo">
    <w:name w:val="zreport addinfo"/>
    <w:basedOn w:val="Normlny"/>
    <w:semiHidden/>
    <w:rsid w:val="00AF1DE4"/>
    <w:pPr>
      <w:framePr w:wrap="around" w:hAnchor="margin" w:xAlign="center" w:yAlign="bottom"/>
      <w:spacing w:after="0" w:line="240" w:lineRule="exact"/>
      <w:jc w:val="center"/>
    </w:pPr>
    <w:rPr>
      <w:rFonts w:ascii="Times New Roman" w:eastAsia="Times New Roman" w:hAnsi="Times New Roman" w:cs="Times New Roman"/>
      <w:noProof/>
      <w:sz w:val="20"/>
      <w:szCs w:val="20"/>
    </w:rPr>
  </w:style>
  <w:style w:type="paragraph" w:styleId="Podtitul">
    <w:name w:val="Subtitle"/>
    <w:basedOn w:val="Normlny"/>
    <w:next w:val="Normlny"/>
    <w:link w:val="PodtitulChar"/>
    <w:uiPriority w:val="11"/>
    <w:rsid w:val="00AF1DE4"/>
    <w:pPr>
      <w:numPr>
        <w:ilvl w:val="1"/>
      </w:numPr>
      <w:spacing w:after="160"/>
      <w:jc w:val="center"/>
    </w:pPr>
    <w:rPr>
      <w:rFonts w:asciiTheme="majorHAnsi" w:eastAsia="Times New Roman" w:hAnsiTheme="majorHAnsi" w:cs="Times New Roman"/>
      <w:b/>
      <w:color w:val="5A5A5A"/>
      <w:spacing w:val="15"/>
      <w:sz w:val="36"/>
    </w:rPr>
  </w:style>
  <w:style w:type="character" w:customStyle="1" w:styleId="PodtitulChar">
    <w:name w:val="Podtitul Char"/>
    <w:basedOn w:val="Predvolenpsmoodseku"/>
    <w:link w:val="Podtitul"/>
    <w:uiPriority w:val="11"/>
    <w:rsid w:val="00AF1DE4"/>
    <w:rPr>
      <w:rFonts w:asciiTheme="majorHAnsi" w:eastAsia="Times New Roman" w:hAnsiTheme="majorHAnsi" w:cs="Times New Roman"/>
      <w:b/>
      <w:color w:val="5A5A5A"/>
      <w:spacing w:val="15"/>
      <w:sz w:val="36"/>
    </w:rPr>
  </w:style>
  <w:style w:type="paragraph" w:customStyle="1" w:styleId="TableText">
    <w:name w:val="Table Text"/>
    <w:rsid w:val="00AF1DE4"/>
    <w:pPr>
      <w:tabs>
        <w:tab w:val="right" w:pos="9720"/>
      </w:tabs>
      <w:spacing w:before="40" w:after="40" w:line="240" w:lineRule="auto"/>
    </w:pPr>
    <w:rPr>
      <w:rFonts w:ascii="Times New Roman" w:eastAsia="Times New Roman" w:hAnsi="Times New Roman" w:cs="Times New Roman"/>
      <w:bCs/>
      <w:sz w:val="20"/>
      <w:szCs w:val="24"/>
      <w:lang w:val="en-GB"/>
    </w:rPr>
  </w:style>
  <w:style w:type="paragraph" w:customStyle="1" w:styleId="UnnumberedHeading">
    <w:name w:val="Unnumbered Heading"/>
    <w:basedOn w:val="Normlny"/>
    <w:rsid w:val="00AF1DE4"/>
    <w:pPr>
      <w:spacing w:before="240" w:after="60" w:line="240" w:lineRule="auto"/>
    </w:pPr>
    <w:rPr>
      <w:rFonts w:ascii="Arial" w:eastAsia="Times New Roman" w:hAnsi="Arial" w:cs="Times New Roman"/>
      <w:b/>
      <w:szCs w:val="24"/>
      <w:lang w:val="en-GB"/>
    </w:rPr>
  </w:style>
  <w:style w:type="character" w:styleId="Zstupntext">
    <w:name w:val="Placeholder Text"/>
    <w:basedOn w:val="Predvolenpsmoodseku"/>
    <w:uiPriority w:val="99"/>
    <w:semiHidden/>
    <w:rsid w:val="00AF1DE4"/>
    <w:rPr>
      <w:rFonts w:cs="Times New Roman"/>
      <w:color w:val="808080"/>
    </w:rPr>
  </w:style>
  <w:style w:type="paragraph" w:styleId="Obsah3">
    <w:name w:val="toc 3"/>
    <w:basedOn w:val="Obsah2"/>
    <w:uiPriority w:val="39"/>
    <w:qFormat/>
    <w:rsid w:val="00AF1DE4"/>
    <w:pPr>
      <w:tabs>
        <w:tab w:val="left" w:pos="1418"/>
      </w:tabs>
      <w:ind w:left="1418" w:hanging="1418"/>
    </w:pPr>
  </w:style>
  <w:style w:type="paragraph" w:styleId="Obsah2">
    <w:name w:val="toc 2"/>
    <w:basedOn w:val="Obsah1"/>
    <w:uiPriority w:val="39"/>
    <w:qFormat/>
    <w:rsid w:val="00AF1DE4"/>
    <w:pPr>
      <w:spacing w:before="0"/>
    </w:pPr>
    <w:rPr>
      <w:sz w:val="24"/>
    </w:rPr>
  </w:style>
  <w:style w:type="paragraph" w:styleId="Obsah1">
    <w:name w:val="toc 1"/>
    <w:basedOn w:val="Normlny"/>
    <w:uiPriority w:val="39"/>
    <w:qFormat/>
    <w:rsid w:val="00AF1DE4"/>
    <w:pPr>
      <w:tabs>
        <w:tab w:val="right" w:pos="8505"/>
      </w:tabs>
      <w:spacing w:before="260" w:after="0" w:line="240" w:lineRule="auto"/>
      <w:ind w:left="850" w:right="567" w:hanging="850"/>
    </w:pPr>
    <w:rPr>
      <w:rFonts w:asciiTheme="majorHAnsi" w:eastAsia="Times New Roman" w:hAnsiTheme="majorHAnsi" w:cs="Times New Roman"/>
      <w:sz w:val="28"/>
      <w:szCs w:val="20"/>
    </w:rPr>
  </w:style>
  <w:style w:type="paragraph" w:styleId="Obsah4">
    <w:name w:val="toc 4"/>
    <w:basedOn w:val="Normlny"/>
    <w:next w:val="Normlny"/>
    <w:autoRedefine/>
    <w:uiPriority w:val="39"/>
    <w:rsid w:val="00AF1DE4"/>
    <w:pPr>
      <w:tabs>
        <w:tab w:val="left" w:pos="1540"/>
        <w:tab w:val="right" w:pos="8505"/>
      </w:tabs>
      <w:spacing w:after="100"/>
      <w:ind w:left="660"/>
    </w:pPr>
    <w:rPr>
      <w:rFonts w:asciiTheme="majorHAnsi" w:eastAsia="Times New Roman" w:hAnsiTheme="majorHAnsi" w:cs="Times New Roman"/>
      <w:szCs w:val="36"/>
    </w:rPr>
  </w:style>
  <w:style w:type="paragraph" w:styleId="Popis">
    <w:name w:val="caption"/>
    <w:basedOn w:val="Normlny"/>
    <w:next w:val="Normlny"/>
    <w:uiPriority w:val="35"/>
    <w:qFormat/>
    <w:rsid w:val="00194198"/>
    <w:pPr>
      <w:spacing w:line="240" w:lineRule="auto"/>
      <w:jc w:val="center"/>
    </w:pPr>
    <w:rPr>
      <w:rFonts w:eastAsia="Times New Roman" w:cs="Times New Roman"/>
      <w:iCs/>
      <w:sz w:val="18"/>
      <w:szCs w:val="18"/>
    </w:rPr>
  </w:style>
  <w:style w:type="paragraph" w:styleId="Zoznamobrzkov">
    <w:name w:val="table of figures"/>
    <w:basedOn w:val="Normlny"/>
    <w:next w:val="Normlny"/>
    <w:uiPriority w:val="99"/>
    <w:rsid w:val="00AF1DE4"/>
    <w:pPr>
      <w:spacing w:after="0"/>
    </w:pPr>
    <w:rPr>
      <w:rFonts w:asciiTheme="majorHAnsi" w:eastAsia="Times New Roman" w:hAnsiTheme="majorHAnsi" w:cs="Times New Roman"/>
      <w:szCs w:val="36"/>
    </w:r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AF1DE4"/>
    <w:rPr>
      <w:rFonts w:cs="Times New Roman"/>
      <w:vertAlign w:val="superscript"/>
    </w:rPr>
  </w:style>
  <w:style w:type="table" w:customStyle="1" w:styleId="GridTable5Dark-Accent51">
    <w:name w:val="Grid Table 5 Dark - Accent 51"/>
    <w:rsid w:val="00AF1DE4"/>
    <w:pPr>
      <w:spacing w:after="0" w:line="240" w:lineRule="auto"/>
    </w:pPr>
    <w:rPr>
      <w:rFonts w:ascii="Times New Roman" w:eastAsia="Times New Roman" w:hAnsi="Times New Roman" w:cs="Times New Roman"/>
      <w:sz w:val="20"/>
      <w:szCs w:val="20"/>
      <w:lang w:val="en-US" w:eastAsia="sk-SK"/>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Mriekatabuky">
    <w:name w:val="Table Grid"/>
    <w:basedOn w:val="Normlnatabuka"/>
    <w:uiPriority w:val="59"/>
    <w:rsid w:val="00AF1DE4"/>
    <w:pPr>
      <w:spacing w:after="0" w:line="240" w:lineRule="auto"/>
    </w:pPr>
    <w:rPr>
      <w:rFonts w:ascii="Arial Narrow" w:eastAsia="Times New Roman" w:hAnsi="Arial Narrow" w:cs="Arial Narrow"/>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rsid w:val="00AF1DE4"/>
    <w:rPr>
      <w:rFonts w:cs="Times New Roman"/>
      <w:color w:val="800080"/>
      <w:u w:val="single"/>
    </w:rPr>
  </w:style>
  <w:style w:type="paragraph" w:styleId="Textkomentra">
    <w:name w:val="annotation text"/>
    <w:basedOn w:val="Normlny"/>
    <w:link w:val="TextkomentraChar"/>
    <w:uiPriority w:val="99"/>
    <w:qFormat/>
    <w:rsid w:val="00AF1DE4"/>
    <w:pPr>
      <w:spacing w:line="240" w:lineRule="auto"/>
    </w:pPr>
    <w:rPr>
      <w:rFonts w:asciiTheme="majorHAnsi" w:eastAsia="Times New Roman" w:hAnsiTheme="majorHAnsi" w:cs="Times New Roman"/>
      <w:sz w:val="20"/>
      <w:szCs w:val="20"/>
    </w:rPr>
  </w:style>
  <w:style w:type="character" w:customStyle="1" w:styleId="TextkomentraChar">
    <w:name w:val="Text komentára Char"/>
    <w:basedOn w:val="Predvolenpsmoodseku"/>
    <w:link w:val="Textkomentra"/>
    <w:uiPriority w:val="99"/>
    <w:qFormat/>
    <w:rsid w:val="00AF1DE4"/>
    <w:rPr>
      <w:rFonts w:asciiTheme="majorHAnsi" w:eastAsia="Times New Roman" w:hAnsiTheme="majorHAnsi" w:cs="Times New Roman"/>
      <w:sz w:val="20"/>
      <w:szCs w:val="20"/>
    </w:rPr>
  </w:style>
  <w:style w:type="paragraph" w:styleId="Predmetkomentra">
    <w:name w:val="annotation subject"/>
    <w:basedOn w:val="Textkomentra"/>
    <w:next w:val="Textkomentra"/>
    <w:link w:val="PredmetkomentraChar"/>
    <w:uiPriority w:val="99"/>
    <w:rsid w:val="00AF1DE4"/>
    <w:pPr>
      <w:spacing w:before="120" w:after="60"/>
    </w:pPr>
    <w:rPr>
      <w:rFonts w:ascii="Times New Roman" w:hAnsi="Times New Roman"/>
      <w:b/>
      <w:bCs/>
      <w:lang w:val="en-GB"/>
    </w:rPr>
  </w:style>
  <w:style w:type="character" w:customStyle="1" w:styleId="PredmetkomentraChar">
    <w:name w:val="Predmet komentára Char"/>
    <w:basedOn w:val="TextkomentraChar"/>
    <w:link w:val="Predmetkomentra"/>
    <w:uiPriority w:val="99"/>
    <w:rsid w:val="00AF1DE4"/>
    <w:rPr>
      <w:rFonts w:ascii="Times New Roman" w:eastAsia="Times New Roman" w:hAnsi="Times New Roman" w:cs="Times New Roman"/>
      <w:b/>
      <w:bCs/>
      <w:sz w:val="20"/>
      <w:szCs w:val="20"/>
      <w:lang w:val="en-GB"/>
    </w:rPr>
  </w:style>
  <w:style w:type="table" w:customStyle="1" w:styleId="ListTable4-Accent11">
    <w:name w:val="List Table 4 - Accent 11"/>
    <w:rsid w:val="00AF1DE4"/>
    <w:pPr>
      <w:spacing w:after="0" w:line="240" w:lineRule="auto"/>
    </w:pPr>
    <w:rPr>
      <w:rFonts w:ascii="Arial Narrow" w:eastAsia="Times New Roman" w:hAnsi="Arial Narrow" w:cs="Arial Narrow"/>
      <w:sz w:val="20"/>
      <w:szCs w:val="20"/>
      <w:lang w:val="en-US"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GridTable4-Accent11">
    <w:name w:val="Grid Table 4 - Accent 11"/>
    <w:uiPriority w:val="49"/>
    <w:rsid w:val="00AF1DE4"/>
    <w:pPr>
      <w:spacing w:after="0" w:line="240" w:lineRule="auto"/>
    </w:pPr>
    <w:rPr>
      <w:rFonts w:ascii="Arial Narrow" w:eastAsia="Times New Roman" w:hAnsi="Arial Narrow" w:cs="Arial Narrow"/>
      <w:sz w:val="20"/>
      <w:szCs w:val="20"/>
      <w:lang w:val="en-US"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Narrow"/>
        <w:b/>
        <w:bCs/>
      </w:rPr>
      <w:tblPr/>
      <w:tcPr>
        <w:tcBorders>
          <w:top w:val="double" w:sz="4" w:space="0" w:color="4F81BD"/>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ListTable4-Accent111">
    <w:name w:val="List Table 4 - Accent 111"/>
    <w:rsid w:val="00AF1DE4"/>
    <w:pPr>
      <w:spacing w:after="0" w:line="240" w:lineRule="auto"/>
    </w:pPr>
    <w:rPr>
      <w:rFonts w:ascii="Arial Narrow" w:eastAsia="Times New Roman" w:hAnsi="Arial Narrow" w:cs="Arial Narrow"/>
      <w:sz w:val="20"/>
      <w:szCs w:val="20"/>
      <w:lang w:val="en-US"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Tabukasozoznamom4zvraznenie11">
    <w:name w:val="Tabuľka so zoznamom 4 – zvýraznenie 11"/>
    <w:rsid w:val="00AF1DE4"/>
    <w:pPr>
      <w:spacing w:after="0" w:line="240" w:lineRule="auto"/>
    </w:pPr>
    <w:rPr>
      <w:rFonts w:ascii="Arial Narrow" w:eastAsia="Times New Roman" w:hAnsi="Arial Narrow" w:cs="Arial Narrow"/>
      <w:sz w:val="20"/>
      <w:szCs w:val="20"/>
      <w:lang w:val="en-US"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paragraph" w:customStyle="1" w:styleId="Bullet">
    <w:name w:val="Bullet"/>
    <w:basedOn w:val="Odsekzoznamu"/>
    <w:link w:val="BulletChar"/>
    <w:rsid w:val="00AF1DE4"/>
    <w:pPr>
      <w:spacing w:before="60" w:after="60"/>
      <w:ind w:left="0"/>
      <w:contextualSpacing w:val="0"/>
    </w:pPr>
  </w:style>
  <w:style w:type="character" w:customStyle="1" w:styleId="BulletChar">
    <w:name w:val="Bullet Char"/>
    <w:basedOn w:val="Predvolenpsmoodseku"/>
    <w:link w:val="Bullet"/>
    <w:locked/>
    <w:rsid w:val="00AF1DE4"/>
    <w:rPr>
      <w:rFonts w:eastAsia="Times New Roman" w:cs="Times New Roman"/>
      <w:szCs w:val="36"/>
    </w:rPr>
  </w:style>
  <w:style w:type="character" w:styleId="Odkaznakomentr">
    <w:name w:val="annotation reference"/>
    <w:basedOn w:val="Predvolenpsmoodseku"/>
    <w:uiPriority w:val="99"/>
    <w:semiHidden/>
    <w:qFormat/>
    <w:rsid w:val="00AF1DE4"/>
    <w:rPr>
      <w:rFonts w:cs="Times New Roman"/>
      <w:sz w:val="16"/>
      <w:szCs w:val="16"/>
    </w:rPr>
  </w:style>
  <w:style w:type="paragraph" w:styleId="Revzia">
    <w:name w:val="Revision"/>
    <w:hidden/>
    <w:uiPriority w:val="99"/>
    <w:semiHidden/>
    <w:rsid w:val="00AF1DE4"/>
    <w:pPr>
      <w:spacing w:after="0" w:line="240" w:lineRule="auto"/>
    </w:pPr>
    <w:rPr>
      <w:rFonts w:ascii="Arial Narrow" w:eastAsia="Times New Roman" w:hAnsi="Arial Narrow" w:cs="Times New Roman"/>
      <w:szCs w:val="36"/>
    </w:rPr>
  </w:style>
  <w:style w:type="character" w:styleId="Intenzvnezvraznenie">
    <w:name w:val="Intense Emphasis"/>
    <w:basedOn w:val="Predvolenpsmoodseku"/>
    <w:uiPriority w:val="21"/>
    <w:rsid w:val="00AF1DE4"/>
    <w:rPr>
      <w:rFonts w:cs="Times New Roman"/>
      <w:b/>
      <w:bCs/>
      <w:iCs/>
      <w:color w:val="4F81BD"/>
    </w:rPr>
  </w:style>
  <w:style w:type="paragraph" w:styleId="Zoznamsodrkami">
    <w:name w:val="List Bullet"/>
    <w:basedOn w:val="Normlny"/>
    <w:uiPriority w:val="99"/>
    <w:rsid w:val="00AF1DE4"/>
    <w:pPr>
      <w:numPr>
        <w:numId w:val="8"/>
      </w:numPr>
      <w:contextualSpacing/>
    </w:pPr>
    <w:rPr>
      <w:rFonts w:asciiTheme="majorHAnsi" w:eastAsia="Times New Roman" w:hAnsiTheme="majorHAnsi" w:cs="Times New Roman"/>
      <w:szCs w:val="36"/>
    </w:rPr>
  </w:style>
  <w:style w:type="paragraph" w:styleId="Zoznamsodrkami2">
    <w:name w:val="List Bullet 2"/>
    <w:basedOn w:val="Normlny"/>
    <w:uiPriority w:val="99"/>
    <w:qFormat/>
    <w:rsid w:val="00AF1DE4"/>
    <w:pPr>
      <w:numPr>
        <w:numId w:val="9"/>
      </w:numPr>
      <w:contextualSpacing/>
    </w:pPr>
    <w:rPr>
      <w:rFonts w:asciiTheme="majorHAnsi" w:eastAsia="Times New Roman" w:hAnsiTheme="majorHAnsi" w:cs="Times New Roman"/>
      <w:szCs w:val="36"/>
    </w:rPr>
  </w:style>
  <w:style w:type="character" w:customStyle="1" w:styleId="ppp-text-small">
    <w:name w:val="ppp-text-small"/>
    <w:basedOn w:val="Predvolenpsmoodseku"/>
    <w:rsid w:val="00AF1DE4"/>
    <w:rPr>
      <w:rFonts w:cs="Times New Roman"/>
    </w:rPr>
  </w:style>
  <w:style w:type="paragraph" w:styleId="Zkladntext">
    <w:name w:val="Body Text"/>
    <w:basedOn w:val="Normlny"/>
    <w:link w:val="ZkladntextChar"/>
    <w:uiPriority w:val="99"/>
    <w:rsid w:val="00AF1DE4"/>
    <w:pPr>
      <w:spacing w:before="130" w:after="130" w:line="240" w:lineRule="auto"/>
    </w:pPr>
    <w:rPr>
      <w:rFonts w:ascii="Times New Roman" w:eastAsia="Times New Roman" w:hAnsi="Times New Roman" w:cs="Times New Roman"/>
      <w:szCs w:val="20"/>
      <w:lang w:val="en-US"/>
    </w:rPr>
  </w:style>
  <w:style w:type="character" w:customStyle="1" w:styleId="ZkladntextChar">
    <w:name w:val="Základný text Char"/>
    <w:basedOn w:val="Predvolenpsmoodseku"/>
    <w:link w:val="Zkladntext"/>
    <w:uiPriority w:val="99"/>
    <w:rsid w:val="00AF1DE4"/>
    <w:rPr>
      <w:rFonts w:ascii="Times New Roman" w:eastAsia="Times New Roman" w:hAnsi="Times New Roman" w:cs="Times New Roman"/>
      <w:szCs w:val="20"/>
      <w:lang w:val="en-US"/>
    </w:rPr>
  </w:style>
  <w:style w:type="character" w:customStyle="1" w:styleId="OdsekzoznamuChar">
    <w:name w:val="Odsek zoznamu Char"/>
    <w:aliases w:val="necislovany zoznam Char,body Char,Odsek zoznamu2 Char,Bullet Number Char,List Paragraph1 Char,lp1 Char,lp11 Char,List Paragraph11 Char,Bullet 1 Char,Use Case List Paragraph Char,Heading Bullet Char,Bullet List Char,FooterText Char"/>
    <w:basedOn w:val="Predvolenpsmoodseku"/>
    <w:link w:val="Odsekzoznamu"/>
    <w:uiPriority w:val="34"/>
    <w:qFormat/>
    <w:locked/>
    <w:rsid w:val="00AF1DE4"/>
    <w:rPr>
      <w:rFonts w:eastAsia="Times New Roman" w:cs="Times New Roman"/>
      <w:szCs w:val="36"/>
    </w:rPr>
  </w:style>
  <w:style w:type="paragraph" w:customStyle="1" w:styleId="Bullet2">
    <w:name w:val="Bullet_2"/>
    <w:basedOn w:val="Bullet"/>
    <w:link w:val="Bullet2Char"/>
    <w:rsid w:val="00AF1DE4"/>
    <w:pPr>
      <w:numPr>
        <w:numId w:val="12"/>
      </w:numPr>
      <w:ind w:left="1080"/>
    </w:pPr>
  </w:style>
  <w:style w:type="paragraph" w:styleId="Obsah5">
    <w:name w:val="toc 5"/>
    <w:basedOn w:val="Normlny"/>
    <w:next w:val="Normlny"/>
    <w:autoRedefine/>
    <w:uiPriority w:val="39"/>
    <w:rsid w:val="00AF1DE4"/>
    <w:pPr>
      <w:spacing w:after="100"/>
      <w:ind w:left="880"/>
    </w:pPr>
    <w:rPr>
      <w:rFonts w:ascii="Calibri" w:eastAsia="Times New Roman" w:hAnsi="Calibri" w:cs="Times New Roman"/>
      <w:lang w:val="en-US"/>
    </w:rPr>
  </w:style>
  <w:style w:type="character" w:customStyle="1" w:styleId="Bullet2Char">
    <w:name w:val="Bullet_2 Char"/>
    <w:basedOn w:val="BulletChar"/>
    <w:link w:val="Bullet2"/>
    <w:locked/>
    <w:rsid w:val="00AF1DE4"/>
    <w:rPr>
      <w:rFonts w:eastAsia="Times New Roman" w:cs="Times New Roman"/>
      <w:szCs w:val="36"/>
    </w:rPr>
  </w:style>
  <w:style w:type="paragraph" w:styleId="Obsah6">
    <w:name w:val="toc 6"/>
    <w:basedOn w:val="Normlny"/>
    <w:next w:val="Normlny"/>
    <w:autoRedefine/>
    <w:uiPriority w:val="39"/>
    <w:rsid w:val="00AF1DE4"/>
    <w:pPr>
      <w:spacing w:after="100"/>
      <w:ind w:left="1100"/>
    </w:pPr>
    <w:rPr>
      <w:rFonts w:ascii="Calibri" w:eastAsia="Times New Roman" w:hAnsi="Calibri" w:cs="Times New Roman"/>
      <w:lang w:val="en-US"/>
    </w:rPr>
  </w:style>
  <w:style w:type="paragraph" w:styleId="Obsah7">
    <w:name w:val="toc 7"/>
    <w:basedOn w:val="Normlny"/>
    <w:next w:val="Normlny"/>
    <w:autoRedefine/>
    <w:uiPriority w:val="39"/>
    <w:rsid w:val="00AF1DE4"/>
    <w:pPr>
      <w:spacing w:after="100"/>
      <w:ind w:left="1320"/>
    </w:pPr>
    <w:rPr>
      <w:rFonts w:ascii="Calibri" w:eastAsia="Times New Roman" w:hAnsi="Calibri" w:cs="Times New Roman"/>
      <w:lang w:val="en-US"/>
    </w:rPr>
  </w:style>
  <w:style w:type="paragraph" w:styleId="Obsah8">
    <w:name w:val="toc 8"/>
    <w:basedOn w:val="Normlny"/>
    <w:next w:val="Normlny"/>
    <w:autoRedefine/>
    <w:uiPriority w:val="39"/>
    <w:rsid w:val="00AF1DE4"/>
    <w:pPr>
      <w:spacing w:after="100"/>
      <w:ind w:left="1540"/>
    </w:pPr>
    <w:rPr>
      <w:rFonts w:ascii="Calibri" w:eastAsia="Times New Roman" w:hAnsi="Calibri" w:cs="Times New Roman"/>
      <w:lang w:val="en-US"/>
    </w:rPr>
  </w:style>
  <w:style w:type="paragraph" w:styleId="Obsah9">
    <w:name w:val="toc 9"/>
    <w:basedOn w:val="Normlny"/>
    <w:next w:val="Normlny"/>
    <w:autoRedefine/>
    <w:uiPriority w:val="39"/>
    <w:rsid w:val="00AF1DE4"/>
    <w:pPr>
      <w:spacing w:after="100"/>
      <w:ind w:left="1760"/>
    </w:pPr>
    <w:rPr>
      <w:rFonts w:ascii="Calibri" w:eastAsia="Times New Roman" w:hAnsi="Calibri" w:cs="Times New Roman"/>
      <w:lang w:val="en-US"/>
    </w:rPr>
  </w:style>
  <w:style w:type="paragraph" w:customStyle="1" w:styleId="Bullet20">
    <w:name w:val="Bullet 2"/>
    <w:basedOn w:val="Bullet"/>
    <w:link w:val="Bullet2Char0"/>
    <w:rsid w:val="00AF1DE4"/>
    <w:pPr>
      <w:numPr>
        <w:numId w:val="11"/>
      </w:numPr>
      <w:spacing w:before="40" w:after="80" w:line="240" w:lineRule="auto"/>
      <w:ind w:left="728" w:hanging="336"/>
    </w:pPr>
    <w:rPr>
      <w:rFonts w:eastAsia="MS Mincho"/>
    </w:rPr>
  </w:style>
  <w:style w:type="character" w:customStyle="1" w:styleId="Bullet2Char0">
    <w:name w:val="Bullet 2 Char"/>
    <w:basedOn w:val="BulletChar"/>
    <w:link w:val="Bullet20"/>
    <w:locked/>
    <w:rsid w:val="00AF1DE4"/>
    <w:rPr>
      <w:rFonts w:eastAsia="MS Mincho" w:cs="Times New Roman"/>
      <w:szCs w:val="36"/>
    </w:rPr>
  </w:style>
  <w:style w:type="paragraph" w:customStyle="1" w:styleId="Smallheading">
    <w:name w:val="Small heading"/>
    <w:basedOn w:val="Bullet"/>
    <w:link w:val="SmallheadingChar"/>
    <w:rsid w:val="00AF1DE4"/>
    <w:pPr>
      <w:spacing w:before="120" w:after="40" w:line="240" w:lineRule="auto"/>
    </w:pPr>
    <w:rPr>
      <w:rFonts w:eastAsia="MS Mincho"/>
      <w:i/>
      <w:color w:val="1F497D"/>
    </w:rPr>
  </w:style>
  <w:style w:type="character" w:customStyle="1" w:styleId="SmallheadingChar">
    <w:name w:val="Small heading Char"/>
    <w:basedOn w:val="BulletChar"/>
    <w:link w:val="Smallheading"/>
    <w:locked/>
    <w:rsid w:val="00AF1DE4"/>
    <w:rPr>
      <w:rFonts w:eastAsia="MS Mincho" w:cs="Times New Roman"/>
      <w:i/>
      <w:color w:val="1F497D"/>
      <w:szCs w:val="36"/>
    </w:rPr>
  </w:style>
  <w:style w:type="paragraph" w:customStyle="1" w:styleId="Tableheader">
    <w:name w:val="Table header"/>
    <w:basedOn w:val="Normlny"/>
    <w:link w:val="TableheaderChar"/>
    <w:qFormat/>
    <w:rsid w:val="00AF1DE4"/>
    <w:pPr>
      <w:keepNext/>
      <w:spacing w:before="120" w:line="240" w:lineRule="auto"/>
      <w:outlineLvl w:val="6"/>
    </w:pPr>
    <w:rPr>
      <w:rFonts w:asciiTheme="majorHAnsi" w:eastAsia="MS Mincho" w:hAnsiTheme="majorHAnsi" w:cs="Times New Roman"/>
      <w:b/>
      <w:color w:val="0F243E"/>
    </w:rPr>
  </w:style>
  <w:style w:type="character" w:customStyle="1" w:styleId="TableheaderChar">
    <w:name w:val="Table header Char"/>
    <w:basedOn w:val="Predvolenpsmoodseku"/>
    <w:link w:val="Tableheader"/>
    <w:locked/>
    <w:rsid w:val="00AF1DE4"/>
    <w:rPr>
      <w:rFonts w:asciiTheme="majorHAnsi" w:eastAsia="MS Mincho" w:hAnsiTheme="majorHAnsi" w:cs="Times New Roman"/>
      <w:b/>
      <w:color w:val="0F243E"/>
    </w:rPr>
  </w:style>
  <w:style w:type="paragraph" w:styleId="Normlnywebov">
    <w:name w:val="Normal (Web)"/>
    <w:basedOn w:val="Normlny"/>
    <w:uiPriority w:val="99"/>
    <w:rsid w:val="00AF1DE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Bulletprincip">
    <w:name w:val="Bullet_princip"/>
    <w:basedOn w:val="Bullet"/>
    <w:link w:val="BulletprincipChar"/>
    <w:rsid w:val="00AF1DE4"/>
    <w:pPr>
      <w:numPr>
        <w:numId w:val="13"/>
      </w:numPr>
      <w:spacing w:before="0"/>
    </w:pPr>
  </w:style>
  <w:style w:type="character" w:customStyle="1" w:styleId="BulletprincipChar">
    <w:name w:val="Bullet_princip Char"/>
    <w:basedOn w:val="BulletChar"/>
    <w:link w:val="Bulletprincip"/>
    <w:qFormat/>
    <w:locked/>
    <w:rsid w:val="00AF1DE4"/>
    <w:rPr>
      <w:rFonts w:eastAsia="Times New Roman" w:cs="Times New Roman"/>
      <w:szCs w:val="36"/>
    </w:rPr>
  </w:style>
  <w:style w:type="character" w:customStyle="1" w:styleId="hps">
    <w:name w:val="hps"/>
    <w:basedOn w:val="Predvolenpsmoodseku"/>
    <w:rsid w:val="00AF1DE4"/>
    <w:rPr>
      <w:rFonts w:cs="Times New Roman"/>
    </w:rPr>
  </w:style>
  <w:style w:type="paragraph" w:styleId="Bezriadkovania">
    <w:name w:val="No Spacing"/>
    <w:link w:val="BezriadkovaniaChar"/>
    <w:uiPriority w:val="1"/>
    <w:qFormat/>
    <w:rsid w:val="00AF1DE4"/>
    <w:pPr>
      <w:spacing w:after="0" w:line="240" w:lineRule="auto"/>
    </w:pPr>
    <w:rPr>
      <w:rFonts w:ascii="Calibri" w:eastAsia="Times New Roman" w:hAnsi="Calibri" w:cs="Times New Roman"/>
      <w:lang w:eastAsia="sk-SK"/>
    </w:rPr>
  </w:style>
  <w:style w:type="character" w:customStyle="1" w:styleId="BezriadkovaniaChar">
    <w:name w:val="Bez riadkovania Char"/>
    <w:basedOn w:val="Predvolenpsmoodseku"/>
    <w:link w:val="Bezriadkovania"/>
    <w:uiPriority w:val="1"/>
    <w:locked/>
    <w:rsid w:val="00AF1DE4"/>
    <w:rPr>
      <w:rFonts w:ascii="Calibri" w:eastAsia="Times New Roman" w:hAnsi="Calibri" w:cs="Times New Roman"/>
      <w:lang w:eastAsia="sk-SK"/>
    </w:rPr>
  </w:style>
  <w:style w:type="character" w:customStyle="1" w:styleId="spanr">
    <w:name w:val="span_r"/>
    <w:basedOn w:val="Predvolenpsmoodseku"/>
    <w:rsid w:val="00AF1DE4"/>
    <w:rPr>
      <w:rFonts w:cs="Times New Roman"/>
    </w:rPr>
  </w:style>
  <w:style w:type="paragraph" w:customStyle="1" w:styleId="Numbered1">
    <w:name w:val="Numbered_1"/>
    <w:basedOn w:val="Odsekzoznamu"/>
    <w:link w:val="Numbered1Char"/>
    <w:rsid w:val="00AF1DE4"/>
    <w:pPr>
      <w:tabs>
        <w:tab w:val="num" w:pos="623"/>
      </w:tabs>
      <w:ind w:left="623"/>
      <w:contextualSpacing w:val="0"/>
    </w:pPr>
    <w:rPr>
      <w:szCs w:val="20"/>
    </w:rPr>
  </w:style>
  <w:style w:type="character" w:customStyle="1" w:styleId="Numbered1Char">
    <w:name w:val="Numbered_1 Char"/>
    <w:basedOn w:val="OdsekzoznamuChar"/>
    <w:link w:val="Numbered1"/>
    <w:qFormat/>
    <w:locked/>
    <w:rsid w:val="00AF1DE4"/>
    <w:rPr>
      <w:rFonts w:eastAsia="Times New Roman" w:cs="Times New Roman"/>
      <w:szCs w:val="20"/>
    </w:rPr>
  </w:style>
  <w:style w:type="character" w:customStyle="1" w:styleId="shorttext">
    <w:name w:val="short_text"/>
    <w:basedOn w:val="Predvolenpsmoodseku"/>
    <w:rsid w:val="00AF1DE4"/>
    <w:rPr>
      <w:rFonts w:cs="Times New Roman"/>
    </w:rPr>
  </w:style>
  <w:style w:type="character" w:styleId="Vrazn">
    <w:name w:val="Strong"/>
    <w:basedOn w:val="Predvolenpsmoodseku"/>
    <w:uiPriority w:val="22"/>
    <w:rsid w:val="00AF1DE4"/>
    <w:rPr>
      <w:rFonts w:cs="Times New Roman"/>
      <w:b/>
      <w:bCs/>
    </w:rPr>
  </w:style>
  <w:style w:type="character" w:customStyle="1" w:styleId="apple-converted-space">
    <w:name w:val="apple-converted-space"/>
    <w:basedOn w:val="Predvolenpsmoodseku"/>
    <w:rsid w:val="00AF1DE4"/>
    <w:rPr>
      <w:rFonts w:cs="Times New Roman"/>
    </w:rPr>
  </w:style>
  <w:style w:type="table" w:customStyle="1" w:styleId="Tabukasmriekou1svetlzvraznenie11">
    <w:name w:val="Tabuľka s mriežkou 1 – svetlá – zvýraznenie 11"/>
    <w:basedOn w:val="Normlnatabuka"/>
    <w:uiPriority w:val="46"/>
    <w:rsid w:val="00AF1DE4"/>
    <w:pPr>
      <w:spacing w:after="0" w:line="240" w:lineRule="auto"/>
    </w:pPr>
    <w:rPr>
      <w:rFonts w:ascii="Arial Narrow" w:eastAsia="Times New Roman" w:hAnsi="Arial Narrow" w:cs="Arial Narrow"/>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Arial Narrow"/>
        <w:b/>
        <w:bCs/>
      </w:rPr>
      <w:tblPr/>
      <w:tcPr>
        <w:tcBorders>
          <w:bottom w:val="single" w:sz="12" w:space="0" w:color="95B3D7" w:themeColor="accent1" w:themeTint="99"/>
        </w:tcBorders>
      </w:tcPr>
    </w:tblStylePr>
    <w:tblStylePr w:type="lastRow">
      <w:rPr>
        <w:rFonts w:cs="Arial Narrow"/>
        <w:b/>
        <w:bCs/>
      </w:rPr>
      <w:tblPr/>
      <w:tcPr>
        <w:tcBorders>
          <w:top w:val="double" w:sz="2" w:space="0" w:color="95B3D7" w:themeColor="accent1" w:themeTint="99"/>
        </w:tcBorders>
      </w:tcPr>
    </w:tblStylePr>
    <w:tblStylePr w:type="firstCol">
      <w:rPr>
        <w:rFonts w:cs="Arial Narrow"/>
        <w:b/>
        <w:bCs/>
      </w:rPr>
    </w:tblStylePr>
    <w:tblStylePr w:type="lastCol">
      <w:rPr>
        <w:rFonts w:cs="Arial Narrow"/>
        <w:b/>
        <w:bCs/>
      </w:rPr>
    </w:tblStylePr>
  </w:style>
  <w:style w:type="paragraph" w:customStyle="1" w:styleId="Poznamka">
    <w:name w:val="Poznamka"/>
    <w:basedOn w:val="Textpoznmkypodiarou"/>
    <w:link w:val="PoznamkaChar"/>
    <w:rsid w:val="00AF1DE4"/>
    <w:pPr>
      <w:spacing w:before="60" w:after="0"/>
    </w:pPr>
    <w:rPr>
      <w:rFonts w:asciiTheme="majorHAnsi" w:hAnsiTheme="majorHAnsi" w:cs="Arial Narrow"/>
      <w:sz w:val="16"/>
      <w:szCs w:val="18"/>
    </w:rPr>
  </w:style>
  <w:style w:type="character" w:customStyle="1" w:styleId="PoznamkaChar">
    <w:name w:val="Poznamka Char"/>
    <w:basedOn w:val="TextpoznmkypodiarouChar"/>
    <w:link w:val="Poznamka"/>
    <w:locked/>
    <w:rsid w:val="00AF1DE4"/>
    <w:rPr>
      <w:rFonts w:asciiTheme="majorHAnsi" w:eastAsia="Times New Roman" w:hAnsiTheme="majorHAnsi" w:cs="Arial Narrow"/>
      <w:sz w:val="16"/>
      <w:szCs w:val="18"/>
      <w:lang w:val="en-GB"/>
    </w:rPr>
  </w:style>
  <w:style w:type="paragraph" w:customStyle="1" w:styleId="Poznamkapodciarov">
    <w:name w:val="Poznamka_pod_ciarov"/>
    <w:basedOn w:val="Textpoznmkypodiarou"/>
    <w:link w:val="PoznamkapodciarovChar"/>
    <w:qFormat/>
    <w:rsid w:val="00613393"/>
    <w:pPr>
      <w:ind w:left="227" w:hanging="227"/>
    </w:pPr>
    <w:rPr>
      <w:rFonts w:asciiTheme="minorHAnsi" w:hAnsiTheme="minorHAnsi"/>
      <w:sz w:val="16"/>
      <w:szCs w:val="18"/>
    </w:rPr>
  </w:style>
  <w:style w:type="character" w:customStyle="1" w:styleId="PoznamkapodciarovChar">
    <w:name w:val="Poznamka_pod_ciarov Char"/>
    <w:basedOn w:val="TextpoznmkypodiarouChar"/>
    <w:link w:val="Poznamkapodciarov"/>
    <w:locked/>
    <w:rsid w:val="00613393"/>
    <w:rPr>
      <w:rFonts w:ascii="Times New Roman" w:eastAsia="Times New Roman" w:hAnsi="Times New Roman" w:cs="Times New Roman"/>
      <w:sz w:val="16"/>
      <w:szCs w:val="18"/>
      <w:lang w:val="en-GB"/>
    </w:rPr>
  </w:style>
  <w:style w:type="character" w:styleId="Zvraznenie">
    <w:name w:val="Emphasis"/>
    <w:basedOn w:val="Predvolenpsmoodseku"/>
    <w:uiPriority w:val="20"/>
    <w:rsid w:val="00AF1DE4"/>
    <w:rPr>
      <w:rFonts w:cs="Times New Roman"/>
      <w:b/>
      <w:iCs/>
    </w:rPr>
  </w:style>
  <w:style w:type="character" w:styleId="Jemnzvraznenie">
    <w:name w:val="Subtle Emphasis"/>
    <w:basedOn w:val="Predvolenpsmoodseku"/>
    <w:uiPriority w:val="19"/>
    <w:rsid w:val="00AF1DE4"/>
    <w:rPr>
      <w:rFonts w:cs="Times New Roman"/>
      <w:iCs/>
      <w:color w:val="404040" w:themeColor="text1" w:themeTint="BF"/>
    </w:rPr>
  </w:style>
  <w:style w:type="paragraph" w:styleId="Zvraznencitcia">
    <w:name w:val="Intense Quote"/>
    <w:basedOn w:val="Normlny"/>
    <w:next w:val="Normlny"/>
    <w:link w:val="ZvraznencitciaChar"/>
    <w:uiPriority w:val="30"/>
    <w:qFormat/>
    <w:rsid w:val="002E472F"/>
    <w:pPr>
      <w:pBdr>
        <w:top w:val="single" w:sz="4" w:space="10" w:color="auto"/>
        <w:bottom w:val="single" w:sz="4" w:space="10" w:color="auto"/>
      </w:pBdr>
      <w:spacing w:before="360" w:after="360"/>
      <w:ind w:left="864" w:right="864"/>
      <w:jc w:val="center"/>
    </w:pPr>
    <w:rPr>
      <w:rFonts w:eastAsia="Times New Roman" w:cs="Times New Roman"/>
      <w:i/>
      <w:iCs/>
      <w:szCs w:val="36"/>
    </w:rPr>
  </w:style>
  <w:style w:type="character" w:customStyle="1" w:styleId="ZvraznencitciaChar">
    <w:name w:val="Zvýraznená citácia Char"/>
    <w:basedOn w:val="Predvolenpsmoodseku"/>
    <w:link w:val="Zvraznencitcia"/>
    <w:uiPriority w:val="30"/>
    <w:rsid w:val="002E472F"/>
    <w:rPr>
      <w:rFonts w:eastAsia="Times New Roman" w:cs="Times New Roman"/>
      <w:i/>
      <w:iCs/>
      <w:szCs w:val="36"/>
    </w:rPr>
  </w:style>
  <w:style w:type="paragraph" w:customStyle="1" w:styleId="Podnapis">
    <w:name w:val="Podnapis"/>
    <w:basedOn w:val="Smallheading"/>
    <w:link w:val="PodnapisChar"/>
    <w:rsid w:val="00AF1DE4"/>
    <w:rPr>
      <w:i w:val="0"/>
    </w:rPr>
  </w:style>
  <w:style w:type="character" w:customStyle="1" w:styleId="PodnapisChar">
    <w:name w:val="Podnapis Char"/>
    <w:basedOn w:val="SmallheadingChar"/>
    <w:link w:val="Podnapis"/>
    <w:locked/>
    <w:rsid w:val="00AF1DE4"/>
    <w:rPr>
      <w:rFonts w:eastAsia="MS Mincho" w:cs="Times New Roman"/>
      <w:i w:val="0"/>
      <w:color w:val="1F497D"/>
      <w:szCs w:val="36"/>
    </w:rPr>
  </w:style>
  <w:style w:type="character" w:customStyle="1" w:styleId="fontstyle01">
    <w:name w:val="fontstyle01"/>
    <w:basedOn w:val="Predvolenpsmoodseku"/>
    <w:rsid w:val="00AF1DE4"/>
    <w:rPr>
      <w:rFonts w:ascii="Times New Roman" w:hAnsi="Times New Roman" w:cs="Times New Roman" w:hint="default"/>
      <w:b w:val="0"/>
      <w:bCs w:val="0"/>
      <w:i w:val="0"/>
      <w:iCs w:val="0"/>
      <w:color w:val="000000"/>
      <w:sz w:val="22"/>
      <w:szCs w:val="22"/>
    </w:rPr>
  </w:style>
  <w:style w:type="character" w:styleId="Nzovknihy">
    <w:name w:val="Book Title"/>
    <w:basedOn w:val="Predvolenpsmoodseku"/>
    <w:uiPriority w:val="33"/>
    <w:rsid w:val="00AF1DE4"/>
    <w:rPr>
      <w:b/>
      <w:bCs/>
      <w:i/>
      <w:iCs/>
      <w:spacing w:val="5"/>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AF1DE4"/>
    <w:pPr>
      <w:spacing w:after="160" w:line="240" w:lineRule="exact"/>
    </w:pPr>
    <w:rPr>
      <w:rFonts w:cs="Times New Roman"/>
      <w:vertAlign w:val="superscript"/>
    </w:rPr>
  </w:style>
  <w:style w:type="paragraph" w:styleId="Obyajntext">
    <w:name w:val="Plain Text"/>
    <w:basedOn w:val="Normlny"/>
    <w:link w:val="ObyajntextChar"/>
    <w:uiPriority w:val="99"/>
    <w:semiHidden/>
    <w:unhideWhenUsed/>
    <w:rsid w:val="00C261D8"/>
    <w:pPr>
      <w:spacing w:after="0" w:line="240" w:lineRule="auto"/>
      <w:jc w:val="left"/>
    </w:pPr>
    <w:rPr>
      <w:rFonts w:ascii="Calibri" w:eastAsia="Times New Roman" w:hAnsi="Calibri" w:cs="Times New Roman"/>
      <w:szCs w:val="21"/>
      <w:lang w:eastAsia="sk-SK"/>
    </w:rPr>
  </w:style>
  <w:style w:type="character" w:customStyle="1" w:styleId="ObyajntextChar">
    <w:name w:val="Obyčajný text Char"/>
    <w:basedOn w:val="Predvolenpsmoodseku"/>
    <w:link w:val="Obyajntext"/>
    <w:uiPriority w:val="99"/>
    <w:semiHidden/>
    <w:rsid w:val="00C261D8"/>
    <w:rPr>
      <w:rFonts w:ascii="Calibri" w:eastAsia="Times New Roman" w:hAnsi="Calibri" w:cs="Times New Roman"/>
      <w:szCs w:val="21"/>
      <w:lang w:eastAsia="sk-SK"/>
    </w:rPr>
  </w:style>
  <w:style w:type="character" w:customStyle="1" w:styleId="normaltextrun">
    <w:name w:val="normaltextrun"/>
    <w:basedOn w:val="Predvolenpsmoodseku"/>
    <w:rsid w:val="00957B7C"/>
  </w:style>
  <w:style w:type="character" w:customStyle="1" w:styleId="eop">
    <w:name w:val="eop"/>
    <w:basedOn w:val="Predvolenpsmoodseku"/>
    <w:rsid w:val="00AD21E6"/>
  </w:style>
  <w:style w:type="paragraph" w:customStyle="1" w:styleId="paragraph">
    <w:name w:val="paragraph"/>
    <w:basedOn w:val="Normlny"/>
    <w:rsid w:val="007A7BC7"/>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character" w:customStyle="1" w:styleId="spellingerror">
    <w:name w:val="spellingerror"/>
    <w:basedOn w:val="Predvolenpsmoodseku"/>
    <w:rsid w:val="007A7BC7"/>
  </w:style>
  <w:style w:type="character" w:customStyle="1" w:styleId="superscript">
    <w:name w:val="superscript"/>
    <w:basedOn w:val="Predvolenpsmoodseku"/>
    <w:rsid w:val="007A7BC7"/>
  </w:style>
  <w:style w:type="table" w:customStyle="1" w:styleId="Tabukasmriekou5tmavzvraznenie11">
    <w:name w:val="Tabuľka s mriežkou 5 – tmavá – zvýraznenie 11"/>
    <w:basedOn w:val="Normlnatabuka"/>
    <w:uiPriority w:val="50"/>
    <w:rsid w:val="007C58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1">
    <w:name w:val="Mention1"/>
    <w:basedOn w:val="Predvolenpsmoodseku"/>
    <w:uiPriority w:val="99"/>
    <w:unhideWhenUsed/>
    <w:rPr>
      <w:color w:val="2B579A"/>
      <w:shd w:val="clear" w:color="auto" w:fill="E6E6E6"/>
    </w:rPr>
  </w:style>
  <w:style w:type="character" w:customStyle="1" w:styleId="TextvysvetlivkyChar">
    <w:name w:val="Text vysvetlivky Char"/>
    <w:basedOn w:val="Predvolenpsmoodseku"/>
    <w:link w:val="Textvysvetlivky"/>
    <w:uiPriority w:val="99"/>
    <w:rPr>
      <w:sz w:val="20"/>
      <w:szCs w:val="20"/>
    </w:rPr>
  </w:style>
  <w:style w:type="paragraph" w:styleId="Textvysvetlivky">
    <w:name w:val="endnote text"/>
    <w:basedOn w:val="Normlny"/>
    <w:link w:val="TextvysvetlivkyChar"/>
    <w:uiPriority w:val="99"/>
    <w:unhideWhenUsed/>
    <w:pPr>
      <w:spacing w:after="0" w:line="240" w:lineRule="auto"/>
    </w:pPr>
    <w:rPr>
      <w:sz w:val="20"/>
      <w:szCs w:val="20"/>
    </w:rPr>
  </w:style>
  <w:style w:type="character" w:styleId="Odkaznavysvetlivku">
    <w:name w:val="endnote reference"/>
    <w:basedOn w:val="Predvolenpsmoodseku"/>
    <w:uiPriority w:val="99"/>
    <w:semiHidden/>
    <w:unhideWhenUsed/>
    <w:rsid w:val="0094429B"/>
    <w:rPr>
      <w:vertAlign w:val="superscript"/>
    </w:rPr>
  </w:style>
  <w:style w:type="character" w:customStyle="1" w:styleId="normaltextrun1">
    <w:name w:val="normaltextrun1"/>
    <w:basedOn w:val="Predvolenpsmoodseku"/>
    <w:rsid w:val="00434672"/>
  </w:style>
  <w:style w:type="character" w:customStyle="1" w:styleId="Nevyrieenzmienka1">
    <w:name w:val="Nevyriešená zmienka1"/>
    <w:basedOn w:val="Predvolenpsmoodseku"/>
    <w:uiPriority w:val="99"/>
    <w:semiHidden/>
    <w:unhideWhenUsed/>
    <w:rsid w:val="004F044F"/>
    <w:rPr>
      <w:color w:val="605E5C"/>
      <w:shd w:val="clear" w:color="auto" w:fill="E1DFDD"/>
    </w:rPr>
  </w:style>
  <w:style w:type="character" w:customStyle="1" w:styleId="Nevyrieenzmienka10">
    <w:name w:val="Nevyriešená zmienka10"/>
    <w:basedOn w:val="Predvolenpsmoodseku"/>
    <w:uiPriority w:val="99"/>
    <w:semiHidden/>
    <w:unhideWhenUsed/>
    <w:rsid w:val="00D42A10"/>
    <w:rPr>
      <w:color w:val="605E5C"/>
      <w:shd w:val="clear" w:color="auto" w:fill="E1DFDD"/>
    </w:rPr>
  </w:style>
  <w:style w:type="character" w:customStyle="1" w:styleId="Zmienka1">
    <w:name w:val="Zmienka1"/>
    <w:basedOn w:val="Predvolenpsmoodseku"/>
    <w:uiPriority w:val="99"/>
    <w:unhideWhenUsed/>
    <w:rPr>
      <w:color w:val="2B579A"/>
      <w:shd w:val="clear" w:color="auto" w:fill="E6E6E6"/>
    </w:rPr>
  </w:style>
  <w:style w:type="character" w:customStyle="1" w:styleId="Nevyrieenzmienka2">
    <w:name w:val="Nevyriešená zmienka2"/>
    <w:basedOn w:val="Predvolenpsmoodseku"/>
    <w:uiPriority w:val="99"/>
    <w:semiHidden/>
    <w:unhideWhenUsed/>
    <w:rsid w:val="00855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2449">
      <w:bodyDiv w:val="1"/>
      <w:marLeft w:val="0"/>
      <w:marRight w:val="0"/>
      <w:marTop w:val="0"/>
      <w:marBottom w:val="0"/>
      <w:divBdr>
        <w:top w:val="none" w:sz="0" w:space="0" w:color="auto"/>
        <w:left w:val="none" w:sz="0" w:space="0" w:color="auto"/>
        <w:bottom w:val="none" w:sz="0" w:space="0" w:color="auto"/>
        <w:right w:val="none" w:sz="0" w:space="0" w:color="auto"/>
      </w:divBdr>
      <w:divsChild>
        <w:div w:id="582223438">
          <w:marLeft w:val="0"/>
          <w:marRight w:val="0"/>
          <w:marTop w:val="0"/>
          <w:marBottom w:val="0"/>
          <w:divBdr>
            <w:top w:val="none" w:sz="0" w:space="0" w:color="auto"/>
            <w:left w:val="none" w:sz="0" w:space="0" w:color="auto"/>
            <w:bottom w:val="none" w:sz="0" w:space="0" w:color="auto"/>
            <w:right w:val="none" w:sz="0" w:space="0" w:color="auto"/>
          </w:divBdr>
        </w:div>
        <w:div w:id="1486622671">
          <w:marLeft w:val="0"/>
          <w:marRight w:val="0"/>
          <w:marTop w:val="0"/>
          <w:marBottom w:val="0"/>
          <w:divBdr>
            <w:top w:val="none" w:sz="0" w:space="0" w:color="auto"/>
            <w:left w:val="none" w:sz="0" w:space="0" w:color="auto"/>
            <w:bottom w:val="none" w:sz="0" w:space="0" w:color="auto"/>
            <w:right w:val="none" w:sz="0" w:space="0" w:color="auto"/>
          </w:divBdr>
        </w:div>
      </w:divsChild>
    </w:div>
    <w:div w:id="99029553">
      <w:bodyDiv w:val="1"/>
      <w:marLeft w:val="0"/>
      <w:marRight w:val="0"/>
      <w:marTop w:val="0"/>
      <w:marBottom w:val="0"/>
      <w:divBdr>
        <w:top w:val="none" w:sz="0" w:space="0" w:color="auto"/>
        <w:left w:val="none" w:sz="0" w:space="0" w:color="auto"/>
        <w:bottom w:val="none" w:sz="0" w:space="0" w:color="auto"/>
        <w:right w:val="none" w:sz="0" w:space="0" w:color="auto"/>
      </w:divBdr>
      <w:divsChild>
        <w:div w:id="1425417859">
          <w:marLeft w:val="0"/>
          <w:marRight w:val="0"/>
          <w:marTop w:val="0"/>
          <w:marBottom w:val="0"/>
          <w:divBdr>
            <w:top w:val="none" w:sz="0" w:space="0" w:color="auto"/>
            <w:left w:val="none" w:sz="0" w:space="0" w:color="auto"/>
            <w:bottom w:val="none" w:sz="0" w:space="0" w:color="auto"/>
            <w:right w:val="none" w:sz="0" w:space="0" w:color="auto"/>
          </w:divBdr>
        </w:div>
        <w:div w:id="2111267344">
          <w:marLeft w:val="0"/>
          <w:marRight w:val="0"/>
          <w:marTop w:val="0"/>
          <w:marBottom w:val="0"/>
          <w:divBdr>
            <w:top w:val="none" w:sz="0" w:space="0" w:color="auto"/>
            <w:left w:val="none" w:sz="0" w:space="0" w:color="auto"/>
            <w:bottom w:val="none" w:sz="0" w:space="0" w:color="auto"/>
            <w:right w:val="none" w:sz="0" w:space="0" w:color="auto"/>
          </w:divBdr>
        </w:div>
        <w:div w:id="607740014">
          <w:marLeft w:val="0"/>
          <w:marRight w:val="0"/>
          <w:marTop w:val="0"/>
          <w:marBottom w:val="0"/>
          <w:divBdr>
            <w:top w:val="none" w:sz="0" w:space="0" w:color="auto"/>
            <w:left w:val="none" w:sz="0" w:space="0" w:color="auto"/>
            <w:bottom w:val="none" w:sz="0" w:space="0" w:color="auto"/>
            <w:right w:val="none" w:sz="0" w:space="0" w:color="auto"/>
          </w:divBdr>
        </w:div>
      </w:divsChild>
    </w:div>
    <w:div w:id="161313671">
      <w:bodyDiv w:val="1"/>
      <w:marLeft w:val="0"/>
      <w:marRight w:val="0"/>
      <w:marTop w:val="0"/>
      <w:marBottom w:val="0"/>
      <w:divBdr>
        <w:top w:val="none" w:sz="0" w:space="0" w:color="auto"/>
        <w:left w:val="none" w:sz="0" w:space="0" w:color="auto"/>
        <w:bottom w:val="none" w:sz="0" w:space="0" w:color="auto"/>
        <w:right w:val="none" w:sz="0" w:space="0" w:color="auto"/>
      </w:divBdr>
      <w:divsChild>
        <w:div w:id="143589511">
          <w:marLeft w:val="0"/>
          <w:marRight w:val="0"/>
          <w:marTop w:val="0"/>
          <w:marBottom w:val="0"/>
          <w:divBdr>
            <w:top w:val="none" w:sz="0" w:space="0" w:color="auto"/>
            <w:left w:val="none" w:sz="0" w:space="0" w:color="auto"/>
            <w:bottom w:val="none" w:sz="0" w:space="0" w:color="auto"/>
            <w:right w:val="none" w:sz="0" w:space="0" w:color="auto"/>
          </w:divBdr>
        </w:div>
        <w:div w:id="962154396">
          <w:marLeft w:val="0"/>
          <w:marRight w:val="0"/>
          <w:marTop w:val="0"/>
          <w:marBottom w:val="0"/>
          <w:divBdr>
            <w:top w:val="none" w:sz="0" w:space="0" w:color="auto"/>
            <w:left w:val="none" w:sz="0" w:space="0" w:color="auto"/>
            <w:bottom w:val="none" w:sz="0" w:space="0" w:color="auto"/>
            <w:right w:val="none" w:sz="0" w:space="0" w:color="auto"/>
          </w:divBdr>
        </w:div>
        <w:div w:id="772633855">
          <w:marLeft w:val="0"/>
          <w:marRight w:val="0"/>
          <w:marTop w:val="0"/>
          <w:marBottom w:val="0"/>
          <w:divBdr>
            <w:top w:val="none" w:sz="0" w:space="0" w:color="auto"/>
            <w:left w:val="none" w:sz="0" w:space="0" w:color="auto"/>
            <w:bottom w:val="none" w:sz="0" w:space="0" w:color="auto"/>
            <w:right w:val="none" w:sz="0" w:space="0" w:color="auto"/>
          </w:divBdr>
        </w:div>
      </w:divsChild>
    </w:div>
    <w:div w:id="226309799">
      <w:bodyDiv w:val="1"/>
      <w:marLeft w:val="0"/>
      <w:marRight w:val="0"/>
      <w:marTop w:val="0"/>
      <w:marBottom w:val="0"/>
      <w:divBdr>
        <w:top w:val="none" w:sz="0" w:space="0" w:color="auto"/>
        <w:left w:val="none" w:sz="0" w:space="0" w:color="auto"/>
        <w:bottom w:val="none" w:sz="0" w:space="0" w:color="auto"/>
        <w:right w:val="none" w:sz="0" w:space="0" w:color="auto"/>
      </w:divBdr>
      <w:divsChild>
        <w:div w:id="753403334">
          <w:marLeft w:val="0"/>
          <w:marRight w:val="0"/>
          <w:marTop w:val="0"/>
          <w:marBottom w:val="0"/>
          <w:divBdr>
            <w:top w:val="none" w:sz="0" w:space="0" w:color="auto"/>
            <w:left w:val="none" w:sz="0" w:space="0" w:color="auto"/>
            <w:bottom w:val="none" w:sz="0" w:space="0" w:color="auto"/>
            <w:right w:val="none" w:sz="0" w:space="0" w:color="auto"/>
          </w:divBdr>
          <w:divsChild>
            <w:div w:id="1198817025">
              <w:marLeft w:val="0"/>
              <w:marRight w:val="0"/>
              <w:marTop w:val="0"/>
              <w:marBottom w:val="0"/>
              <w:divBdr>
                <w:top w:val="none" w:sz="0" w:space="0" w:color="auto"/>
                <w:left w:val="none" w:sz="0" w:space="0" w:color="auto"/>
                <w:bottom w:val="none" w:sz="0" w:space="0" w:color="auto"/>
                <w:right w:val="none" w:sz="0" w:space="0" w:color="auto"/>
              </w:divBdr>
            </w:div>
            <w:div w:id="1917006791">
              <w:marLeft w:val="0"/>
              <w:marRight w:val="0"/>
              <w:marTop w:val="0"/>
              <w:marBottom w:val="0"/>
              <w:divBdr>
                <w:top w:val="none" w:sz="0" w:space="0" w:color="auto"/>
                <w:left w:val="none" w:sz="0" w:space="0" w:color="auto"/>
                <w:bottom w:val="none" w:sz="0" w:space="0" w:color="auto"/>
                <w:right w:val="none" w:sz="0" w:space="0" w:color="auto"/>
              </w:divBdr>
            </w:div>
            <w:div w:id="728916820">
              <w:marLeft w:val="0"/>
              <w:marRight w:val="0"/>
              <w:marTop w:val="0"/>
              <w:marBottom w:val="0"/>
              <w:divBdr>
                <w:top w:val="none" w:sz="0" w:space="0" w:color="auto"/>
                <w:left w:val="none" w:sz="0" w:space="0" w:color="auto"/>
                <w:bottom w:val="none" w:sz="0" w:space="0" w:color="auto"/>
                <w:right w:val="none" w:sz="0" w:space="0" w:color="auto"/>
              </w:divBdr>
            </w:div>
          </w:divsChild>
        </w:div>
        <w:div w:id="51119473">
          <w:marLeft w:val="0"/>
          <w:marRight w:val="0"/>
          <w:marTop w:val="0"/>
          <w:marBottom w:val="0"/>
          <w:divBdr>
            <w:top w:val="none" w:sz="0" w:space="0" w:color="auto"/>
            <w:left w:val="none" w:sz="0" w:space="0" w:color="auto"/>
            <w:bottom w:val="none" w:sz="0" w:space="0" w:color="auto"/>
            <w:right w:val="none" w:sz="0" w:space="0" w:color="auto"/>
          </w:divBdr>
          <w:divsChild>
            <w:div w:id="992025228">
              <w:marLeft w:val="0"/>
              <w:marRight w:val="0"/>
              <w:marTop w:val="0"/>
              <w:marBottom w:val="0"/>
              <w:divBdr>
                <w:top w:val="none" w:sz="0" w:space="0" w:color="auto"/>
                <w:left w:val="none" w:sz="0" w:space="0" w:color="auto"/>
                <w:bottom w:val="none" w:sz="0" w:space="0" w:color="auto"/>
                <w:right w:val="none" w:sz="0" w:space="0" w:color="auto"/>
              </w:divBdr>
            </w:div>
          </w:divsChild>
        </w:div>
        <w:div w:id="1318001016">
          <w:marLeft w:val="0"/>
          <w:marRight w:val="0"/>
          <w:marTop w:val="0"/>
          <w:marBottom w:val="0"/>
          <w:divBdr>
            <w:top w:val="none" w:sz="0" w:space="0" w:color="auto"/>
            <w:left w:val="none" w:sz="0" w:space="0" w:color="auto"/>
            <w:bottom w:val="none" w:sz="0" w:space="0" w:color="auto"/>
            <w:right w:val="none" w:sz="0" w:space="0" w:color="auto"/>
          </w:divBdr>
          <w:divsChild>
            <w:div w:id="1750348305">
              <w:marLeft w:val="0"/>
              <w:marRight w:val="0"/>
              <w:marTop w:val="0"/>
              <w:marBottom w:val="0"/>
              <w:divBdr>
                <w:top w:val="none" w:sz="0" w:space="0" w:color="auto"/>
                <w:left w:val="none" w:sz="0" w:space="0" w:color="auto"/>
                <w:bottom w:val="none" w:sz="0" w:space="0" w:color="auto"/>
                <w:right w:val="none" w:sz="0" w:space="0" w:color="auto"/>
              </w:divBdr>
            </w:div>
            <w:div w:id="1312060329">
              <w:marLeft w:val="0"/>
              <w:marRight w:val="0"/>
              <w:marTop w:val="0"/>
              <w:marBottom w:val="0"/>
              <w:divBdr>
                <w:top w:val="none" w:sz="0" w:space="0" w:color="auto"/>
                <w:left w:val="none" w:sz="0" w:space="0" w:color="auto"/>
                <w:bottom w:val="none" w:sz="0" w:space="0" w:color="auto"/>
                <w:right w:val="none" w:sz="0" w:space="0" w:color="auto"/>
              </w:divBdr>
            </w:div>
            <w:div w:id="9940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8873">
      <w:bodyDiv w:val="1"/>
      <w:marLeft w:val="0"/>
      <w:marRight w:val="0"/>
      <w:marTop w:val="0"/>
      <w:marBottom w:val="0"/>
      <w:divBdr>
        <w:top w:val="none" w:sz="0" w:space="0" w:color="auto"/>
        <w:left w:val="none" w:sz="0" w:space="0" w:color="auto"/>
        <w:bottom w:val="none" w:sz="0" w:space="0" w:color="auto"/>
        <w:right w:val="none" w:sz="0" w:space="0" w:color="auto"/>
      </w:divBdr>
      <w:divsChild>
        <w:div w:id="1021201901">
          <w:marLeft w:val="0"/>
          <w:marRight w:val="0"/>
          <w:marTop w:val="0"/>
          <w:marBottom w:val="0"/>
          <w:divBdr>
            <w:top w:val="none" w:sz="0" w:space="0" w:color="auto"/>
            <w:left w:val="none" w:sz="0" w:space="0" w:color="auto"/>
            <w:bottom w:val="none" w:sz="0" w:space="0" w:color="auto"/>
            <w:right w:val="none" w:sz="0" w:space="0" w:color="auto"/>
          </w:divBdr>
        </w:div>
        <w:div w:id="402022374">
          <w:marLeft w:val="0"/>
          <w:marRight w:val="0"/>
          <w:marTop w:val="0"/>
          <w:marBottom w:val="0"/>
          <w:divBdr>
            <w:top w:val="none" w:sz="0" w:space="0" w:color="auto"/>
            <w:left w:val="none" w:sz="0" w:space="0" w:color="auto"/>
            <w:bottom w:val="none" w:sz="0" w:space="0" w:color="auto"/>
            <w:right w:val="none" w:sz="0" w:space="0" w:color="auto"/>
          </w:divBdr>
        </w:div>
      </w:divsChild>
    </w:div>
    <w:div w:id="299774340">
      <w:bodyDiv w:val="1"/>
      <w:marLeft w:val="0"/>
      <w:marRight w:val="0"/>
      <w:marTop w:val="0"/>
      <w:marBottom w:val="0"/>
      <w:divBdr>
        <w:top w:val="none" w:sz="0" w:space="0" w:color="auto"/>
        <w:left w:val="none" w:sz="0" w:space="0" w:color="auto"/>
        <w:bottom w:val="none" w:sz="0" w:space="0" w:color="auto"/>
        <w:right w:val="none" w:sz="0" w:space="0" w:color="auto"/>
      </w:divBdr>
      <w:divsChild>
        <w:div w:id="612326523">
          <w:marLeft w:val="0"/>
          <w:marRight w:val="0"/>
          <w:marTop w:val="0"/>
          <w:marBottom w:val="0"/>
          <w:divBdr>
            <w:top w:val="none" w:sz="0" w:space="0" w:color="auto"/>
            <w:left w:val="none" w:sz="0" w:space="0" w:color="auto"/>
            <w:bottom w:val="none" w:sz="0" w:space="0" w:color="auto"/>
            <w:right w:val="none" w:sz="0" w:space="0" w:color="auto"/>
          </w:divBdr>
        </w:div>
        <w:div w:id="2145852748">
          <w:marLeft w:val="0"/>
          <w:marRight w:val="0"/>
          <w:marTop w:val="0"/>
          <w:marBottom w:val="0"/>
          <w:divBdr>
            <w:top w:val="none" w:sz="0" w:space="0" w:color="auto"/>
            <w:left w:val="none" w:sz="0" w:space="0" w:color="auto"/>
            <w:bottom w:val="none" w:sz="0" w:space="0" w:color="auto"/>
            <w:right w:val="none" w:sz="0" w:space="0" w:color="auto"/>
          </w:divBdr>
        </w:div>
        <w:div w:id="2055806063">
          <w:marLeft w:val="0"/>
          <w:marRight w:val="0"/>
          <w:marTop w:val="0"/>
          <w:marBottom w:val="0"/>
          <w:divBdr>
            <w:top w:val="none" w:sz="0" w:space="0" w:color="auto"/>
            <w:left w:val="none" w:sz="0" w:space="0" w:color="auto"/>
            <w:bottom w:val="none" w:sz="0" w:space="0" w:color="auto"/>
            <w:right w:val="none" w:sz="0" w:space="0" w:color="auto"/>
          </w:divBdr>
        </w:div>
        <w:div w:id="1558661786">
          <w:marLeft w:val="0"/>
          <w:marRight w:val="0"/>
          <w:marTop w:val="0"/>
          <w:marBottom w:val="0"/>
          <w:divBdr>
            <w:top w:val="none" w:sz="0" w:space="0" w:color="auto"/>
            <w:left w:val="none" w:sz="0" w:space="0" w:color="auto"/>
            <w:bottom w:val="none" w:sz="0" w:space="0" w:color="auto"/>
            <w:right w:val="none" w:sz="0" w:space="0" w:color="auto"/>
          </w:divBdr>
        </w:div>
      </w:divsChild>
    </w:div>
    <w:div w:id="413015723">
      <w:bodyDiv w:val="1"/>
      <w:marLeft w:val="0"/>
      <w:marRight w:val="0"/>
      <w:marTop w:val="0"/>
      <w:marBottom w:val="0"/>
      <w:divBdr>
        <w:top w:val="none" w:sz="0" w:space="0" w:color="auto"/>
        <w:left w:val="none" w:sz="0" w:space="0" w:color="auto"/>
        <w:bottom w:val="none" w:sz="0" w:space="0" w:color="auto"/>
        <w:right w:val="none" w:sz="0" w:space="0" w:color="auto"/>
      </w:divBdr>
    </w:div>
    <w:div w:id="474034558">
      <w:bodyDiv w:val="1"/>
      <w:marLeft w:val="0"/>
      <w:marRight w:val="0"/>
      <w:marTop w:val="0"/>
      <w:marBottom w:val="0"/>
      <w:divBdr>
        <w:top w:val="none" w:sz="0" w:space="0" w:color="auto"/>
        <w:left w:val="none" w:sz="0" w:space="0" w:color="auto"/>
        <w:bottom w:val="none" w:sz="0" w:space="0" w:color="auto"/>
        <w:right w:val="none" w:sz="0" w:space="0" w:color="auto"/>
      </w:divBdr>
      <w:divsChild>
        <w:div w:id="513305611">
          <w:marLeft w:val="0"/>
          <w:marRight w:val="0"/>
          <w:marTop w:val="0"/>
          <w:marBottom w:val="0"/>
          <w:divBdr>
            <w:top w:val="none" w:sz="0" w:space="0" w:color="auto"/>
            <w:left w:val="none" w:sz="0" w:space="0" w:color="auto"/>
            <w:bottom w:val="none" w:sz="0" w:space="0" w:color="auto"/>
            <w:right w:val="none" w:sz="0" w:space="0" w:color="auto"/>
          </w:divBdr>
        </w:div>
      </w:divsChild>
    </w:div>
    <w:div w:id="630600444">
      <w:bodyDiv w:val="1"/>
      <w:marLeft w:val="0"/>
      <w:marRight w:val="0"/>
      <w:marTop w:val="0"/>
      <w:marBottom w:val="0"/>
      <w:divBdr>
        <w:top w:val="none" w:sz="0" w:space="0" w:color="auto"/>
        <w:left w:val="none" w:sz="0" w:space="0" w:color="auto"/>
        <w:bottom w:val="none" w:sz="0" w:space="0" w:color="auto"/>
        <w:right w:val="none" w:sz="0" w:space="0" w:color="auto"/>
      </w:divBdr>
    </w:div>
    <w:div w:id="697318034">
      <w:bodyDiv w:val="1"/>
      <w:marLeft w:val="0"/>
      <w:marRight w:val="0"/>
      <w:marTop w:val="0"/>
      <w:marBottom w:val="0"/>
      <w:divBdr>
        <w:top w:val="none" w:sz="0" w:space="0" w:color="auto"/>
        <w:left w:val="none" w:sz="0" w:space="0" w:color="auto"/>
        <w:bottom w:val="none" w:sz="0" w:space="0" w:color="auto"/>
        <w:right w:val="none" w:sz="0" w:space="0" w:color="auto"/>
      </w:divBdr>
    </w:div>
    <w:div w:id="744960964">
      <w:bodyDiv w:val="1"/>
      <w:marLeft w:val="0"/>
      <w:marRight w:val="0"/>
      <w:marTop w:val="0"/>
      <w:marBottom w:val="0"/>
      <w:divBdr>
        <w:top w:val="none" w:sz="0" w:space="0" w:color="auto"/>
        <w:left w:val="none" w:sz="0" w:space="0" w:color="auto"/>
        <w:bottom w:val="none" w:sz="0" w:space="0" w:color="auto"/>
        <w:right w:val="none" w:sz="0" w:space="0" w:color="auto"/>
      </w:divBdr>
      <w:divsChild>
        <w:div w:id="1750805731">
          <w:marLeft w:val="0"/>
          <w:marRight w:val="0"/>
          <w:marTop w:val="0"/>
          <w:marBottom w:val="0"/>
          <w:divBdr>
            <w:top w:val="none" w:sz="0" w:space="0" w:color="auto"/>
            <w:left w:val="none" w:sz="0" w:space="0" w:color="auto"/>
            <w:bottom w:val="none" w:sz="0" w:space="0" w:color="auto"/>
            <w:right w:val="none" w:sz="0" w:space="0" w:color="auto"/>
          </w:divBdr>
        </w:div>
        <w:div w:id="272128651">
          <w:marLeft w:val="0"/>
          <w:marRight w:val="0"/>
          <w:marTop w:val="0"/>
          <w:marBottom w:val="0"/>
          <w:divBdr>
            <w:top w:val="none" w:sz="0" w:space="0" w:color="auto"/>
            <w:left w:val="none" w:sz="0" w:space="0" w:color="auto"/>
            <w:bottom w:val="none" w:sz="0" w:space="0" w:color="auto"/>
            <w:right w:val="none" w:sz="0" w:space="0" w:color="auto"/>
          </w:divBdr>
        </w:div>
        <w:div w:id="524055273">
          <w:marLeft w:val="0"/>
          <w:marRight w:val="0"/>
          <w:marTop w:val="0"/>
          <w:marBottom w:val="0"/>
          <w:divBdr>
            <w:top w:val="none" w:sz="0" w:space="0" w:color="auto"/>
            <w:left w:val="none" w:sz="0" w:space="0" w:color="auto"/>
            <w:bottom w:val="none" w:sz="0" w:space="0" w:color="auto"/>
            <w:right w:val="none" w:sz="0" w:space="0" w:color="auto"/>
          </w:divBdr>
        </w:div>
        <w:div w:id="2108456359">
          <w:marLeft w:val="0"/>
          <w:marRight w:val="0"/>
          <w:marTop w:val="0"/>
          <w:marBottom w:val="0"/>
          <w:divBdr>
            <w:top w:val="none" w:sz="0" w:space="0" w:color="auto"/>
            <w:left w:val="none" w:sz="0" w:space="0" w:color="auto"/>
            <w:bottom w:val="none" w:sz="0" w:space="0" w:color="auto"/>
            <w:right w:val="none" w:sz="0" w:space="0" w:color="auto"/>
          </w:divBdr>
        </w:div>
        <w:div w:id="470753708">
          <w:marLeft w:val="0"/>
          <w:marRight w:val="0"/>
          <w:marTop w:val="0"/>
          <w:marBottom w:val="0"/>
          <w:divBdr>
            <w:top w:val="none" w:sz="0" w:space="0" w:color="auto"/>
            <w:left w:val="none" w:sz="0" w:space="0" w:color="auto"/>
            <w:bottom w:val="none" w:sz="0" w:space="0" w:color="auto"/>
            <w:right w:val="none" w:sz="0" w:space="0" w:color="auto"/>
          </w:divBdr>
        </w:div>
        <w:div w:id="1230456851">
          <w:marLeft w:val="0"/>
          <w:marRight w:val="0"/>
          <w:marTop w:val="0"/>
          <w:marBottom w:val="0"/>
          <w:divBdr>
            <w:top w:val="none" w:sz="0" w:space="0" w:color="auto"/>
            <w:left w:val="none" w:sz="0" w:space="0" w:color="auto"/>
            <w:bottom w:val="none" w:sz="0" w:space="0" w:color="auto"/>
            <w:right w:val="none" w:sz="0" w:space="0" w:color="auto"/>
          </w:divBdr>
        </w:div>
        <w:div w:id="707025670">
          <w:marLeft w:val="0"/>
          <w:marRight w:val="0"/>
          <w:marTop w:val="0"/>
          <w:marBottom w:val="0"/>
          <w:divBdr>
            <w:top w:val="none" w:sz="0" w:space="0" w:color="auto"/>
            <w:left w:val="none" w:sz="0" w:space="0" w:color="auto"/>
            <w:bottom w:val="none" w:sz="0" w:space="0" w:color="auto"/>
            <w:right w:val="none" w:sz="0" w:space="0" w:color="auto"/>
          </w:divBdr>
        </w:div>
        <w:div w:id="467169701">
          <w:marLeft w:val="0"/>
          <w:marRight w:val="0"/>
          <w:marTop w:val="0"/>
          <w:marBottom w:val="0"/>
          <w:divBdr>
            <w:top w:val="none" w:sz="0" w:space="0" w:color="auto"/>
            <w:left w:val="none" w:sz="0" w:space="0" w:color="auto"/>
            <w:bottom w:val="none" w:sz="0" w:space="0" w:color="auto"/>
            <w:right w:val="none" w:sz="0" w:space="0" w:color="auto"/>
          </w:divBdr>
        </w:div>
        <w:div w:id="2128889528">
          <w:marLeft w:val="0"/>
          <w:marRight w:val="0"/>
          <w:marTop w:val="0"/>
          <w:marBottom w:val="0"/>
          <w:divBdr>
            <w:top w:val="none" w:sz="0" w:space="0" w:color="auto"/>
            <w:left w:val="none" w:sz="0" w:space="0" w:color="auto"/>
            <w:bottom w:val="none" w:sz="0" w:space="0" w:color="auto"/>
            <w:right w:val="none" w:sz="0" w:space="0" w:color="auto"/>
          </w:divBdr>
        </w:div>
        <w:div w:id="582449673">
          <w:marLeft w:val="0"/>
          <w:marRight w:val="0"/>
          <w:marTop w:val="0"/>
          <w:marBottom w:val="0"/>
          <w:divBdr>
            <w:top w:val="none" w:sz="0" w:space="0" w:color="auto"/>
            <w:left w:val="none" w:sz="0" w:space="0" w:color="auto"/>
            <w:bottom w:val="none" w:sz="0" w:space="0" w:color="auto"/>
            <w:right w:val="none" w:sz="0" w:space="0" w:color="auto"/>
          </w:divBdr>
        </w:div>
        <w:div w:id="1451701329">
          <w:marLeft w:val="0"/>
          <w:marRight w:val="0"/>
          <w:marTop w:val="0"/>
          <w:marBottom w:val="0"/>
          <w:divBdr>
            <w:top w:val="none" w:sz="0" w:space="0" w:color="auto"/>
            <w:left w:val="none" w:sz="0" w:space="0" w:color="auto"/>
            <w:bottom w:val="none" w:sz="0" w:space="0" w:color="auto"/>
            <w:right w:val="none" w:sz="0" w:space="0" w:color="auto"/>
          </w:divBdr>
        </w:div>
      </w:divsChild>
    </w:div>
    <w:div w:id="769280533">
      <w:bodyDiv w:val="1"/>
      <w:marLeft w:val="0"/>
      <w:marRight w:val="0"/>
      <w:marTop w:val="0"/>
      <w:marBottom w:val="0"/>
      <w:divBdr>
        <w:top w:val="none" w:sz="0" w:space="0" w:color="auto"/>
        <w:left w:val="none" w:sz="0" w:space="0" w:color="auto"/>
        <w:bottom w:val="none" w:sz="0" w:space="0" w:color="auto"/>
        <w:right w:val="none" w:sz="0" w:space="0" w:color="auto"/>
      </w:divBdr>
    </w:div>
    <w:div w:id="784082099">
      <w:bodyDiv w:val="1"/>
      <w:marLeft w:val="0"/>
      <w:marRight w:val="0"/>
      <w:marTop w:val="0"/>
      <w:marBottom w:val="0"/>
      <w:divBdr>
        <w:top w:val="none" w:sz="0" w:space="0" w:color="auto"/>
        <w:left w:val="none" w:sz="0" w:space="0" w:color="auto"/>
        <w:bottom w:val="none" w:sz="0" w:space="0" w:color="auto"/>
        <w:right w:val="none" w:sz="0" w:space="0" w:color="auto"/>
      </w:divBdr>
      <w:divsChild>
        <w:div w:id="1455439426">
          <w:marLeft w:val="0"/>
          <w:marRight w:val="0"/>
          <w:marTop w:val="0"/>
          <w:marBottom w:val="0"/>
          <w:divBdr>
            <w:top w:val="none" w:sz="0" w:space="0" w:color="auto"/>
            <w:left w:val="none" w:sz="0" w:space="0" w:color="auto"/>
            <w:bottom w:val="none" w:sz="0" w:space="0" w:color="auto"/>
            <w:right w:val="none" w:sz="0" w:space="0" w:color="auto"/>
          </w:divBdr>
        </w:div>
        <w:div w:id="321348923">
          <w:marLeft w:val="0"/>
          <w:marRight w:val="0"/>
          <w:marTop w:val="0"/>
          <w:marBottom w:val="0"/>
          <w:divBdr>
            <w:top w:val="none" w:sz="0" w:space="0" w:color="auto"/>
            <w:left w:val="none" w:sz="0" w:space="0" w:color="auto"/>
            <w:bottom w:val="none" w:sz="0" w:space="0" w:color="auto"/>
            <w:right w:val="none" w:sz="0" w:space="0" w:color="auto"/>
          </w:divBdr>
        </w:div>
      </w:divsChild>
    </w:div>
    <w:div w:id="82555943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40">
          <w:marLeft w:val="0"/>
          <w:marRight w:val="0"/>
          <w:marTop w:val="0"/>
          <w:marBottom w:val="0"/>
          <w:divBdr>
            <w:top w:val="none" w:sz="0" w:space="0" w:color="auto"/>
            <w:left w:val="none" w:sz="0" w:space="0" w:color="auto"/>
            <w:bottom w:val="none" w:sz="0" w:space="0" w:color="auto"/>
            <w:right w:val="none" w:sz="0" w:space="0" w:color="auto"/>
          </w:divBdr>
        </w:div>
        <w:div w:id="937715251">
          <w:marLeft w:val="0"/>
          <w:marRight w:val="0"/>
          <w:marTop w:val="0"/>
          <w:marBottom w:val="0"/>
          <w:divBdr>
            <w:top w:val="none" w:sz="0" w:space="0" w:color="auto"/>
            <w:left w:val="none" w:sz="0" w:space="0" w:color="auto"/>
            <w:bottom w:val="none" w:sz="0" w:space="0" w:color="auto"/>
            <w:right w:val="none" w:sz="0" w:space="0" w:color="auto"/>
          </w:divBdr>
        </w:div>
        <w:div w:id="986712152">
          <w:marLeft w:val="0"/>
          <w:marRight w:val="0"/>
          <w:marTop w:val="0"/>
          <w:marBottom w:val="0"/>
          <w:divBdr>
            <w:top w:val="none" w:sz="0" w:space="0" w:color="auto"/>
            <w:left w:val="none" w:sz="0" w:space="0" w:color="auto"/>
            <w:bottom w:val="none" w:sz="0" w:space="0" w:color="auto"/>
            <w:right w:val="none" w:sz="0" w:space="0" w:color="auto"/>
          </w:divBdr>
        </w:div>
      </w:divsChild>
    </w:div>
    <w:div w:id="894436151">
      <w:bodyDiv w:val="1"/>
      <w:marLeft w:val="0"/>
      <w:marRight w:val="0"/>
      <w:marTop w:val="0"/>
      <w:marBottom w:val="0"/>
      <w:divBdr>
        <w:top w:val="none" w:sz="0" w:space="0" w:color="auto"/>
        <w:left w:val="none" w:sz="0" w:space="0" w:color="auto"/>
        <w:bottom w:val="none" w:sz="0" w:space="0" w:color="auto"/>
        <w:right w:val="none" w:sz="0" w:space="0" w:color="auto"/>
      </w:divBdr>
    </w:div>
    <w:div w:id="921454421">
      <w:bodyDiv w:val="1"/>
      <w:marLeft w:val="0"/>
      <w:marRight w:val="0"/>
      <w:marTop w:val="0"/>
      <w:marBottom w:val="0"/>
      <w:divBdr>
        <w:top w:val="none" w:sz="0" w:space="0" w:color="auto"/>
        <w:left w:val="none" w:sz="0" w:space="0" w:color="auto"/>
        <w:bottom w:val="none" w:sz="0" w:space="0" w:color="auto"/>
        <w:right w:val="none" w:sz="0" w:space="0" w:color="auto"/>
      </w:divBdr>
    </w:div>
    <w:div w:id="935406982">
      <w:bodyDiv w:val="1"/>
      <w:marLeft w:val="0"/>
      <w:marRight w:val="0"/>
      <w:marTop w:val="0"/>
      <w:marBottom w:val="0"/>
      <w:divBdr>
        <w:top w:val="none" w:sz="0" w:space="0" w:color="auto"/>
        <w:left w:val="none" w:sz="0" w:space="0" w:color="auto"/>
        <w:bottom w:val="none" w:sz="0" w:space="0" w:color="auto"/>
        <w:right w:val="none" w:sz="0" w:space="0" w:color="auto"/>
      </w:divBdr>
      <w:divsChild>
        <w:div w:id="1921673591">
          <w:marLeft w:val="0"/>
          <w:marRight w:val="0"/>
          <w:marTop w:val="0"/>
          <w:marBottom w:val="0"/>
          <w:divBdr>
            <w:top w:val="none" w:sz="0" w:space="0" w:color="auto"/>
            <w:left w:val="none" w:sz="0" w:space="0" w:color="auto"/>
            <w:bottom w:val="none" w:sz="0" w:space="0" w:color="auto"/>
            <w:right w:val="none" w:sz="0" w:space="0" w:color="auto"/>
          </w:divBdr>
        </w:div>
        <w:div w:id="1203247138">
          <w:marLeft w:val="0"/>
          <w:marRight w:val="0"/>
          <w:marTop w:val="0"/>
          <w:marBottom w:val="0"/>
          <w:divBdr>
            <w:top w:val="none" w:sz="0" w:space="0" w:color="auto"/>
            <w:left w:val="none" w:sz="0" w:space="0" w:color="auto"/>
            <w:bottom w:val="none" w:sz="0" w:space="0" w:color="auto"/>
            <w:right w:val="none" w:sz="0" w:space="0" w:color="auto"/>
          </w:divBdr>
          <w:divsChild>
            <w:div w:id="468015199">
              <w:marLeft w:val="0"/>
              <w:marRight w:val="0"/>
              <w:marTop w:val="0"/>
              <w:marBottom w:val="0"/>
              <w:divBdr>
                <w:top w:val="none" w:sz="0" w:space="0" w:color="auto"/>
                <w:left w:val="none" w:sz="0" w:space="0" w:color="auto"/>
                <w:bottom w:val="none" w:sz="0" w:space="0" w:color="auto"/>
                <w:right w:val="none" w:sz="0" w:space="0" w:color="auto"/>
              </w:divBdr>
            </w:div>
            <w:div w:id="1458525782">
              <w:marLeft w:val="0"/>
              <w:marRight w:val="0"/>
              <w:marTop w:val="0"/>
              <w:marBottom w:val="0"/>
              <w:divBdr>
                <w:top w:val="none" w:sz="0" w:space="0" w:color="auto"/>
                <w:left w:val="none" w:sz="0" w:space="0" w:color="auto"/>
                <w:bottom w:val="none" w:sz="0" w:space="0" w:color="auto"/>
                <w:right w:val="none" w:sz="0" w:space="0" w:color="auto"/>
              </w:divBdr>
            </w:div>
            <w:div w:id="1274941643">
              <w:marLeft w:val="0"/>
              <w:marRight w:val="0"/>
              <w:marTop w:val="0"/>
              <w:marBottom w:val="0"/>
              <w:divBdr>
                <w:top w:val="none" w:sz="0" w:space="0" w:color="auto"/>
                <w:left w:val="none" w:sz="0" w:space="0" w:color="auto"/>
                <w:bottom w:val="none" w:sz="0" w:space="0" w:color="auto"/>
                <w:right w:val="none" w:sz="0" w:space="0" w:color="auto"/>
              </w:divBdr>
            </w:div>
          </w:divsChild>
        </w:div>
        <w:div w:id="1672754101">
          <w:marLeft w:val="0"/>
          <w:marRight w:val="0"/>
          <w:marTop w:val="0"/>
          <w:marBottom w:val="0"/>
          <w:divBdr>
            <w:top w:val="none" w:sz="0" w:space="0" w:color="auto"/>
            <w:left w:val="none" w:sz="0" w:space="0" w:color="auto"/>
            <w:bottom w:val="none" w:sz="0" w:space="0" w:color="auto"/>
            <w:right w:val="none" w:sz="0" w:space="0" w:color="auto"/>
          </w:divBdr>
        </w:div>
      </w:divsChild>
    </w:div>
    <w:div w:id="1075201227">
      <w:bodyDiv w:val="1"/>
      <w:marLeft w:val="0"/>
      <w:marRight w:val="0"/>
      <w:marTop w:val="0"/>
      <w:marBottom w:val="0"/>
      <w:divBdr>
        <w:top w:val="none" w:sz="0" w:space="0" w:color="auto"/>
        <w:left w:val="none" w:sz="0" w:space="0" w:color="auto"/>
        <w:bottom w:val="none" w:sz="0" w:space="0" w:color="auto"/>
        <w:right w:val="none" w:sz="0" w:space="0" w:color="auto"/>
      </w:divBdr>
    </w:div>
    <w:div w:id="1111437336">
      <w:bodyDiv w:val="1"/>
      <w:marLeft w:val="0"/>
      <w:marRight w:val="0"/>
      <w:marTop w:val="0"/>
      <w:marBottom w:val="0"/>
      <w:divBdr>
        <w:top w:val="none" w:sz="0" w:space="0" w:color="auto"/>
        <w:left w:val="none" w:sz="0" w:space="0" w:color="auto"/>
        <w:bottom w:val="none" w:sz="0" w:space="0" w:color="auto"/>
        <w:right w:val="none" w:sz="0" w:space="0" w:color="auto"/>
      </w:divBdr>
    </w:div>
    <w:div w:id="1138839276">
      <w:bodyDiv w:val="1"/>
      <w:marLeft w:val="0"/>
      <w:marRight w:val="0"/>
      <w:marTop w:val="0"/>
      <w:marBottom w:val="0"/>
      <w:divBdr>
        <w:top w:val="none" w:sz="0" w:space="0" w:color="auto"/>
        <w:left w:val="none" w:sz="0" w:space="0" w:color="auto"/>
        <w:bottom w:val="none" w:sz="0" w:space="0" w:color="auto"/>
        <w:right w:val="none" w:sz="0" w:space="0" w:color="auto"/>
      </w:divBdr>
    </w:div>
    <w:div w:id="1197231570">
      <w:bodyDiv w:val="1"/>
      <w:marLeft w:val="0"/>
      <w:marRight w:val="0"/>
      <w:marTop w:val="0"/>
      <w:marBottom w:val="0"/>
      <w:divBdr>
        <w:top w:val="none" w:sz="0" w:space="0" w:color="auto"/>
        <w:left w:val="none" w:sz="0" w:space="0" w:color="auto"/>
        <w:bottom w:val="none" w:sz="0" w:space="0" w:color="auto"/>
        <w:right w:val="none" w:sz="0" w:space="0" w:color="auto"/>
      </w:divBdr>
      <w:divsChild>
        <w:div w:id="617224669">
          <w:marLeft w:val="0"/>
          <w:marRight w:val="0"/>
          <w:marTop w:val="0"/>
          <w:marBottom w:val="0"/>
          <w:divBdr>
            <w:top w:val="none" w:sz="0" w:space="0" w:color="auto"/>
            <w:left w:val="none" w:sz="0" w:space="0" w:color="auto"/>
            <w:bottom w:val="none" w:sz="0" w:space="0" w:color="auto"/>
            <w:right w:val="none" w:sz="0" w:space="0" w:color="auto"/>
          </w:divBdr>
        </w:div>
        <w:div w:id="1322730773">
          <w:marLeft w:val="0"/>
          <w:marRight w:val="0"/>
          <w:marTop w:val="0"/>
          <w:marBottom w:val="0"/>
          <w:divBdr>
            <w:top w:val="none" w:sz="0" w:space="0" w:color="auto"/>
            <w:left w:val="none" w:sz="0" w:space="0" w:color="auto"/>
            <w:bottom w:val="none" w:sz="0" w:space="0" w:color="auto"/>
            <w:right w:val="none" w:sz="0" w:space="0" w:color="auto"/>
          </w:divBdr>
        </w:div>
        <w:div w:id="1661883395">
          <w:marLeft w:val="0"/>
          <w:marRight w:val="0"/>
          <w:marTop w:val="0"/>
          <w:marBottom w:val="0"/>
          <w:divBdr>
            <w:top w:val="none" w:sz="0" w:space="0" w:color="auto"/>
            <w:left w:val="none" w:sz="0" w:space="0" w:color="auto"/>
            <w:bottom w:val="none" w:sz="0" w:space="0" w:color="auto"/>
            <w:right w:val="none" w:sz="0" w:space="0" w:color="auto"/>
          </w:divBdr>
        </w:div>
        <w:div w:id="334384339">
          <w:marLeft w:val="0"/>
          <w:marRight w:val="0"/>
          <w:marTop w:val="0"/>
          <w:marBottom w:val="0"/>
          <w:divBdr>
            <w:top w:val="none" w:sz="0" w:space="0" w:color="auto"/>
            <w:left w:val="none" w:sz="0" w:space="0" w:color="auto"/>
            <w:bottom w:val="none" w:sz="0" w:space="0" w:color="auto"/>
            <w:right w:val="none" w:sz="0" w:space="0" w:color="auto"/>
          </w:divBdr>
        </w:div>
        <w:div w:id="1375543507">
          <w:marLeft w:val="0"/>
          <w:marRight w:val="0"/>
          <w:marTop w:val="0"/>
          <w:marBottom w:val="0"/>
          <w:divBdr>
            <w:top w:val="none" w:sz="0" w:space="0" w:color="auto"/>
            <w:left w:val="none" w:sz="0" w:space="0" w:color="auto"/>
            <w:bottom w:val="none" w:sz="0" w:space="0" w:color="auto"/>
            <w:right w:val="none" w:sz="0" w:space="0" w:color="auto"/>
          </w:divBdr>
        </w:div>
        <w:div w:id="1457262169">
          <w:marLeft w:val="0"/>
          <w:marRight w:val="0"/>
          <w:marTop w:val="0"/>
          <w:marBottom w:val="0"/>
          <w:divBdr>
            <w:top w:val="none" w:sz="0" w:space="0" w:color="auto"/>
            <w:left w:val="none" w:sz="0" w:space="0" w:color="auto"/>
            <w:bottom w:val="none" w:sz="0" w:space="0" w:color="auto"/>
            <w:right w:val="none" w:sz="0" w:space="0" w:color="auto"/>
          </w:divBdr>
        </w:div>
        <w:div w:id="1708917647">
          <w:marLeft w:val="0"/>
          <w:marRight w:val="0"/>
          <w:marTop w:val="0"/>
          <w:marBottom w:val="0"/>
          <w:divBdr>
            <w:top w:val="none" w:sz="0" w:space="0" w:color="auto"/>
            <w:left w:val="none" w:sz="0" w:space="0" w:color="auto"/>
            <w:bottom w:val="none" w:sz="0" w:space="0" w:color="auto"/>
            <w:right w:val="none" w:sz="0" w:space="0" w:color="auto"/>
          </w:divBdr>
        </w:div>
        <w:div w:id="372074450">
          <w:marLeft w:val="0"/>
          <w:marRight w:val="0"/>
          <w:marTop w:val="0"/>
          <w:marBottom w:val="0"/>
          <w:divBdr>
            <w:top w:val="none" w:sz="0" w:space="0" w:color="auto"/>
            <w:left w:val="none" w:sz="0" w:space="0" w:color="auto"/>
            <w:bottom w:val="none" w:sz="0" w:space="0" w:color="auto"/>
            <w:right w:val="none" w:sz="0" w:space="0" w:color="auto"/>
          </w:divBdr>
        </w:div>
        <w:div w:id="2121025019">
          <w:marLeft w:val="0"/>
          <w:marRight w:val="0"/>
          <w:marTop w:val="0"/>
          <w:marBottom w:val="0"/>
          <w:divBdr>
            <w:top w:val="none" w:sz="0" w:space="0" w:color="auto"/>
            <w:left w:val="none" w:sz="0" w:space="0" w:color="auto"/>
            <w:bottom w:val="none" w:sz="0" w:space="0" w:color="auto"/>
            <w:right w:val="none" w:sz="0" w:space="0" w:color="auto"/>
          </w:divBdr>
        </w:div>
      </w:divsChild>
    </w:div>
    <w:div w:id="1203252400">
      <w:bodyDiv w:val="1"/>
      <w:marLeft w:val="0"/>
      <w:marRight w:val="0"/>
      <w:marTop w:val="0"/>
      <w:marBottom w:val="0"/>
      <w:divBdr>
        <w:top w:val="none" w:sz="0" w:space="0" w:color="auto"/>
        <w:left w:val="none" w:sz="0" w:space="0" w:color="auto"/>
        <w:bottom w:val="none" w:sz="0" w:space="0" w:color="auto"/>
        <w:right w:val="none" w:sz="0" w:space="0" w:color="auto"/>
      </w:divBdr>
    </w:div>
    <w:div w:id="1305043311">
      <w:bodyDiv w:val="1"/>
      <w:marLeft w:val="0"/>
      <w:marRight w:val="0"/>
      <w:marTop w:val="0"/>
      <w:marBottom w:val="0"/>
      <w:divBdr>
        <w:top w:val="none" w:sz="0" w:space="0" w:color="auto"/>
        <w:left w:val="none" w:sz="0" w:space="0" w:color="auto"/>
        <w:bottom w:val="none" w:sz="0" w:space="0" w:color="auto"/>
        <w:right w:val="none" w:sz="0" w:space="0" w:color="auto"/>
      </w:divBdr>
    </w:div>
    <w:div w:id="1321009176">
      <w:bodyDiv w:val="1"/>
      <w:marLeft w:val="0"/>
      <w:marRight w:val="0"/>
      <w:marTop w:val="0"/>
      <w:marBottom w:val="0"/>
      <w:divBdr>
        <w:top w:val="none" w:sz="0" w:space="0" w:color="auto"/>
        <w:left w:val="none" w:sz="0" w:space="0" w:color="auto"/>
        <w:bottom w:val="none" w:sz="0" w:space="0" w:color="auto"/>
        <w:right w:val="none" w:sz="0" w:space="0" w:color="auto"/>
      </w:divBdr>
      <w:divsChild>
        <w:div w:id="1954748794">
          <w:marLeft w:val="0"/>
          <w:marRight w:val="0"/>
          <w:marTop w:val="0"/>
          <w:marBottom w:val="0"/>
          <w:divBdr>
            <w:top w:val="none" w:sz="0" w:space="0" w:color="auto"/>
            <w:left w:val="none" w:sz="0" w:space="0" w:color="auto"/>
            <w:bottom w:val="none" w:sz="0" w:space="0" w:color="auto"/>
            <w:right w:val="none" w:sz="0" w:space="0" w:color="auto"/>
          </w:divBdr>
        </w:div>
        <w:div w:id="1807619967">
          <w:marLeft w:val="0"/>
          <w:marRight w:val="0"/>
          <w:marTop w:val="0"/>
          <w:marBottom w:val="0"/>
          <w:divBdr>
            <w:top w:val="none" w:sz="0" w:space="0" w:color="auto"/>
            <w:left w:val="none" w:sz="0" w:space="0" w:color="auto"/>
            <w:bottom w:val="none" w:sz="0" w:space="0" w:color="auto"/>
            <w:right w:val="none" w:sz="0" w:space="0" w:color="auto"/>
          </w:divBdr>
        </w:div>
        <w:div w:id="1870603507">
          <w:marLeft w:val="0"/>
          <w:marRight w:val="0"/>
          <w:marTop w:val="0"/>
          <w:marBottom w:val="0"/>
          <w:divBdr>
            <w:top w:val="none" w:sz="0" w:space="0" w:color="auto"/>
            <w:left w:val="none" w:sz="0" w:space="0" w:color="auto"/>
            <w:bottom w:val="none" w:sz="0" w:space="0" w:color="auto"/>
            <w:right w:val="none" w:sz="0" w:space="0" w:color="auto"/>
          </w:divBdr>
        </w:div>
        <w:div w:id="410390729">
          <w:marLeft w:val="0"/>
          <w:marRight w:val="0"/>
          <w:marTop w:val="0"/>
          <w:marBottom w:val="0"/>
          <w:divBdr>
            <w:top w:val="none" w:sz="0" w:space="0" w:color="auto"/>
            <w:left w:val="none" w:sz="0" w:space="0" w:color="auto"/>
            <w:bottom w:val="none" w:sz="0" w:space="0" w:color="auto"/>
            <w:right w:val="none" w:sz="0" w:space="0" w:color="auto"/>
          </w:divBdr>
        </w:div>
        <w:div w:id="2068602408">
          <w:marLeft w:val="0"/>
          <w:marRight w:val="0"/>
          <w:marTop w:val="0"/>
          <w:marBottom w:val="0"/>
          <w:divBdr>
            <w:top w:val="none" w:sz="0" w:space="0" w:color="auto"/>
            <w:left w:val="none" w:sz="0" w:space="0" w:color="auto"/>
            <w:bottom w:val="none" w:sz="0" w:space="0" w:color="auto"/>
            <w:right w:val="none" w:sz="0" w:space="0" w:color="auto"/>
          </w:divBdr>
        </w:div>
      </w:divsChild>
    </w:div>
    <w:div w:id="1377002840">
      <w:bodyDiv w:val="1"/>
      <w:marLeft w:val="0"/>
      <w:marRight w:val="0"/>
      <w:marTop w:val="0"/>
      <w:marBottom w:val="0"/>
      <w:divBdr>
        <w:top w:val="none" w:sz="0" w:space="0" w:color="auto"/>
        <w:left w:val="none" w:sz="0" w:space="0" w:color="auto"/>
        <w:bottom w:val="none" w:sz="0" w:space="0" w:color="auto"/>
        <w:right w:val="none" w:sz="0" w:space="0" w:color="auto"/>
      </w:divBdr>
      <w:divsChild>
        <w:div w:id="1343047461">
          <w:marLeft w:val="0"/>
          <w:marRight w:val="0"/>
          <w:marTop w:val="0"/>
          <w:marBottom w:val="0"/>
          <w:divBdr>
            <w:top w:val="none" w:sz="0" w:space="0" w:color="auto"/>
            <w:left w:val="none" w:sz="0" w:space="0" w:color="auto"/>
            <w:bottom w:val="none" w:sz="0" w:space="0" w:color="auto"/>
            <w:right w:val="none" w:sz="0" w:space="0" w:color="auto"/>
          </w:divBdr>
        </w:div>
        <w:div w:id="1740908976">
          <w:marLeft w:val="0"/>
          <w:marRight w:val="0"/>
          <w:marTop w:val="0"/>
          <w:marBottom w:val="0"/>
          <w:divBdr>
            <w:top w:val="none" w:sz="0" w:space="0" w:color="auto"/>
            <w:left w:val="none" w:sz="0" w:space="0" w:color="auto"/>
            <w:bottom w:val="none" w:sz="0" w:space="0" w:color="auto"/>
            <w:right w:val="none" w:sz="0" w:space="0" w:color="auto"/>
          </w:divBdr>
        </w:div>
      </w:divsChild>
    </w:div>
    <w:div w:id="1377395000">
      <w:bodyDiv w:val="1"/>
      <w:marLeft w:val="0"/>
      <w:marRight w:val="0"/>
      <w:marTop w:val="0"/>
      <w:marBottom w:val="0"/>
      <w:divBdr>
        <w:top w:val="none" w:sz="0" w:space="0" w:color="auto"/>
        <w:left w:val="none" w:sz="0" w:space="0" w:color="auto"/>
        <w:bottom w:val="none" w:sz="0" w:space="0" w:color="auto"/>
        <w:right w:val="none" w:sz="0" w:space="0" w:color="auto"/>
      </w:divBdr>
    </w:div>
    <w:div w:id="1461728771">
      <w:bodyDiv w:val="1"/>
      <w:marLeft w:val="0"/>
      <w:marRight w:val="0"/>
      <w:marTop w:val="0"/>
      <w:marBottom w:val="0"/>
      <w:divBdr>
        <w:top w:val="none" w:sz="0" w:space="0" w:color="auto"/>
        <w:left w:val="none" w:sz="0" w:space="0" w:color="auto"/>
        <w:bottom w:val="none" w:sz="0" w:space="0" w:color="auto"/>
        <w:right w:val="none" w:sz="0" w:space="0" w:color="auto"/>
      </w:divBdr>
      <w:divsChild>
        <w:div w:id="1719083593">
          <w:marLeft w:val="0"/>
          <w:marRight w:val="0"/>
          <w:marTop w:val="0"/>
          <w:marBottom w:val="0"/>
          <w:divBdr>
            <w:top w:val="none" w:sz="0" w:space="0" w:color="auto"/>
            <w:left w:val="none" w:sz="0" w:space="0" w:color="auto"/>
            <w:bottom w:val="none" w:sz="0" w:space="0" w:color="auto"/>
            <w:right w:val="none" w:sz="0" w:space="0" w:color="auto"/>
          </w:divBdr>
        </w:div>
        <w:div w:id="1326516796">
          <w:marLeft w:val="0"/>
          <w:marRight w:val="0"/>
          <w:marTop w:val="0"/>
          <w:marBottom w:val="0"/>
          <w:divBdr>
            <w:top w:val="none" w:sz="0" w:space="0" w:color="auto"/>
            <w:left w:val="none" w:sz="0" w:space="0" w:color="auto"/>
            <w:bottom w:val="none" w:sz="0" w:space="0" w:color="auto"/>
            <w:right w:val="none" w:sz="0" w:space="0" w:color="auto"/>
          </w:divBdr>
        </w:div>
        <w:div w:id="448010180">
          <w:marLeft w:val="0"/>
          <w:marRight w:val="0"/>
          <w:marTop w:val="0"/>
          <w:marBottom w:val="0"/>
          <w:divBdr>
            <w:top w:val="none" w:sz="0" w:space="0" w:color="auto"/>
            <w:left w:val="none" w:sz="0" w:space="0" w:color="auto"/>
            <w:bottom w:val="none" w:sz="0" w:space="0" w:color="auto"/>
            <w:right w:val="none" w:sz="0" w:space="0" w:color="auto"/>
          </w:divBdr>
        </w:div>
      </w:divsChild>
    </w:div>
    <w:div w:id="1564172849">
      <w:bodyDiv w:val="1"/>
      <w:marLeft w:val="0"/>
      <w:marRight w:val="0"/>
      <w:marTop w:val="0"/>
      <w:marBottom w:val="0"/>
      <w:divBdr>
        <w:top w:val="none" w:sz="0" w:space="0" w:color="auto"/>
        <w:left w:val="none" w:sz="0" w:space="0" w:color="auto"/>
        <w:bottom w:val="none" w:sz="0" w:space="0" w:color="auto"/>
        <w:right w:val="none" w:sz="0" w:space="0" w:color="auto"/>
      </w:divBdr>
    </w:div>
    <w:div w:id="1781532743">
      <w:bodyDiv w:val="1"/>
      <w:marLeft w:val="0"/>
      <w:marRight w:val="0"/>
      <w:marTop w:val="0"/>
      <w:marBottom w:val="0"/>
      <w:divBdr>
        <w:top w:val="none" w:sz="0" w:space="0" w:color="auto"/>
        <w:left w:val="none" w:sz="0" w:space="0" w:color="auto"/>
        <w:bottom w:val="none" w:sz="0" w:space="0" w:color="auto"/>
        <w:right w:val="none" w:sz="0" w:space="0" w:color="auto"/>
      </w:divBdr>
      <w:divsChild>
        <w:div w:id="759526630">
          <w:marLeft w:val="0"/>
          <w:marRight w:val="0"/>
          <w:marTop w:val="0"/>
          <w:marBottom w:val="0"/>
          <w:divBdr>
            <w:top w:val="none" w:sz="0" w:space="0" w:color="auto"/>
            <w:left w:val="none" w:sz="0" w:space="0" w:color="auto"/>
            <w:bottom w:val="none" w:sz="0" w:space="0" w:color="auto"/>
            <w:right w:val="none" w:sz="0" w:space="0" w:color="auto"/>
          </w:divBdr>
        </w:div>
        <w:div w:id="930310153">
          <w:marLeft w:val="0"/>
          <w:marRight w:val="0"/>
          <w:marTop w:val="0"/>
          <w:marBottom w:val="0"/>
          <w:divBdr>
            <w:top w:val="none" w:sz="0" w:space="0" w:color="auto"/>
            <w:left w:val="none" w:sz="0" w:space="0" w:color="auto"/>
            <w:bottom w:val="none" w:sz="0" w:space="0" w:color="auto"/>
            <w:right w:val="none" w:sz="0" w:space="0" w:color="auto"/>
          </w:divBdr>
        </w:div>
        <w:div w:id="1445538485">
          <w:marLeft w:val="0"/>
          <w:marRight w:val="0"/>
          <w:marTop w:val="0"/>
          <w:marBottom w:val="0"/>
          <w:divBdr>
            <w:top w:val="none" w:sz="0" w:space="0" w:color="auto"/>
            <w:left w:val="none" w:sz="0" w:space="0" w:color="auto"/>
            <w:bottom w:val="none" w:sz="0" w:space="0" w:color="auto"/>
            <w:right w:val="none" w:sz="0" w:space="0" w:color="auto"/>
          </w:divBdr>
        </w:div>
        <w:div w:id="1942568447">
          <w:marLeft w:val="0"/>
          <w:marRight w:val="0"/>
          <w:marTop w:val="0"/>
          <w:marBottom w:val="0"/>
          <w:divBdr>
            <w:top w:val="none" w:sz="0" w:space="0" w:color="auto"/>
            <w:left w:val="none" w:sz="0" w:space="0" w:color="auto"/>
            <w:bottom w:val="none" w:sz="0" w:space="0" w:color="auto"/>
            <w:right w:val="none" w:sz="0" w:space="0" w:color="auto"/>
          </w:divBdr>
        </w:div>
      </w:divsChild>
    </w:div>
    <w:div w:id="1788499890">
      <w:bodyDiv w:val="1"/>
      <w:marLeft w:val="0"/>
      <w:marRight w:val="0"/>
      <w:marTop w:val="0"/>
      <w:marBottom w:val="0"/>
      <w:divBdr>
        <w:top w:val="none" w:sz="0" w:space="0" w:color="auto"/>
        <w:left w:val="none" w:sz="0" w:space="0" w:color="auto"/>
        <w:bottom w:val="none" w:sz="0" w:space="0" w:color="auto"/>
        <w:right w:val="none" w:sz="0" w:space="0" w:color="auto"/>
      </w:divBdr>
    </w:div>
    <w:div w:id="1900168341">
      <w:bodyDiv w:val="1"/>
      <w:marLeft w:val="0"/>
      <w:marRight w:val="0"/>
      <w:marTop w:val="0"/>
      <w:marBottom w:val="0"/>
      <w:divBdr>
        <w:top w:val="none" w:sz="0" w:space="0" w:color="auto"/>
        <w:left w:val="none" w:sz="0" w:space="0" w:color="auto"/>
        <w:bottom w:val="none" w:sz="0" w:space="0" w:color="auto"/>
        <w:right w:val="none" w:sz="0" w:space="0" w:color="auto"/>
      </w:divBdr>
    </w:div>
    <w:div w:id="1918054932">
      <w:bodyDiv w:val="1"/>
      <w:marLeft w:val="0"/>
      <w:marRight w:val="0"/>
      <w:marTop w:val="0"/>
      <w:marBottom w:val="0"/>
      <w:divBdr>
        <w:top w:val="none" w:sz="0" w:space="0" w:color="auto"/>
        <w:left w:val="none" w:sz="0" w:space="0" w:color="auto"/>
        <w:bottom w:val="none" w:sz="0" w:space="0" w:color="auto"/>
        <w:right w:val="none" w:sz="0" w:space="0" w:color="auto"/>
      </w:divBdr>
    </w:div>
    <w:div w:id="1993899371">
      <w:bodyDiv w:val="1"/>
      <w:marLeft w:val="0"/>
      <w:marRight w:val="0"/>
      <w:marTop w:val="0"/>
      <w:marBottom w:val="0"/>
      <w:divBdr>
        <w:top w:val="none" w:sz="0" w:space="0" w:color="auto"/>
        <w:left w:val="none" w:sz="0" w:space="0" w:color="auto"/>
        <w:bottom w:val="none" w:sz="0" w:space="0" w:color="auto"/>
        <w:right w:val="none" w:sz="0" w:space="0" w:color="auto"/>
      </w:divBdr>
      <w:divsChild>
        <w:div w:id="1961105472">
          <w:marLeft w:val="0"/>
          <w:marRight w:val="0"/>
          <w:marTop w:val="0"/>
          <w:marBottom w:val="0"/>
          <w:divBdr>
            <w:top w:val="none" w:sz="0" w:space="0" w:color="auto"/>
            <w:left w:val="none" w:sz="0" w:space="0" w:color="auto"/>
            <w:bottom w:val="none" w:sz="0" w:space="0" w:color="auto"/>
            <w:right w:val="none" w:sz="0" w:space="0" w:color="auto"/>
          </w:divBdr>
        </w:div>
        <w:div w:id="1782148547">
          <w:marLeft w:val="0"/>
          <w:marRight w:val="0"/>
          <w:marTop w:val="0"/>
          <w:marBottom w:val="0"/>
          <w:divBdr>
            <w:top w:val="none" w:sz="0" w:space="0" w:color="auto"/>
            <w:left w:val="none" w:sz="0" w:space="0" w:color="auto"/>
            <w:bottom w:val="none" w:sz="0" w:space="0" w:color="auto"/>
            <w:right w:val="none" w:sz="0" w:space="0" w:color="auto"/>
          </w:divBdr>
          <w:divsChild>
            <w:div w:id="1513956071">
              <w:marLeft w:val="0"/>
              <w:marRight w:val="0"/>
              <w:marTop w:val="0"/>
              <w:marBottom w:val="0"/>
              <w:divBdr>
                <w:top w:val="none" w:sz="0" w:space="0" w:color="auto"/>
                <w:left w:val="none" w:sz="0" w:space="0" w:color="auto"/>
                <w:bottom w:val="none" w:sz="0" w:space="0" w:color="auto"/>
                <w:right w:val="none" w:sz="0" w:space="0" w:color="auto"/>
              </w:divBdr>
            </w:div>
            <w:div w:id="2092388609">
              <w:marLeft w:val="0"/>
              <w:marRight w:val="0"/>
              <w:marTop w:val="0"/>
              <w:marBottom w:val="0"/>
              <w:divBdr>
                <w:top w:val="none" w:sz="0" w:space="0" w:color="auto"/>
                <w:left w:val="none" w:sz="0" w:space="0" w:color="auto"/>
                <w:bottom w:val="none" w:sz="0" w:space="0" w:color="auto"/>
                <w:right w:val="none" w:sz="0" w:space="0" w:color="auto"/>
              </w:divBdr>
            </w:div>
            <w:div w:id="999043425">
              <w:marLeft w:val="0"/>
              <w:marRight w:val="0"/>
              <w:marTop w:val="0"/>
              <w:marBottom w:val="0"/>
              <w:divBdr>
                <w:top w:val="none" w:sz="0" w:space="0" w:color="auto"/>
                <w:left w:val="none" w:sz="0" w:space="0" w:color="auto"/>
                <w:bottom w:val="none" w:sz="0" w:space="0" w:color="auto"/>
                <w:right w:val="none" w:sz="0" w:space="0" w:color="auto"/>
              </w:divBdr>
            </w:div>
          </w:divsChild>
        </w:div>
        <w:div w:id="26179846">
          <w:marLeft w:val="0"/>
          <w:marRight w:val="0"/>
          <w:marTop w:val="0"/>
          <w:marBottom w:val="0"/>
          <w:divBdr>
            <w:top w:val="none" w:sz="0" w:space="0" w:color="auto"/>
            <w:left w:val="none" w:sz="0" w:space="0" w:color="auto"/>
            <w:bottom w:val="none" w:sz="0" w:space="0" w:color="auto"/>
            <w:right w:val="none" w:sz="0" w:space="0" w:color="auto"/>
          </w:divBdr>
        </w:div>
      </w:divsChild>
    </w:div>
    <w:div w:id="1999339131">
      <w:bodyDiv w:val="1"/>
      <w:marLeft w:val="0"/>
      <w:marRight w:val="0"/>
      <w:marTop w:val="0"/>
      <w:marBottom w:val="0"/>
      <w:divBdr>
        <w:top w:val="none" w:sz="0" w:space="0" w:color="auto"/>
        <w:left w:val="none" w:sz="0" w:space="0" w:color="auto"/>
        <w:bottom w:val="none" w:sz="0" w:space="0" w:color="auto"/>
        <w:right w:val="none" w:sz="0" w:space="0" w:color="auto"/>
      </w:divBdr>
    </w:div>
    <w:div w:id="205765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oter" Target="footer4.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image" Target="media/image6.png"/><Relationship Id="rId42"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5.png"/><Relationship Id="rId38" Type="http://schemas.openxmlformats.org/officeDocument/2006/relationships/footer" Target="footer3.xml"/><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image" Target="media/image4.png"/><Relationship Id="rId37" Type="http://schemas.openxmlformats.org/officeDocument/2006/relationships/header" Target="header2.xm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7.png"/><Relationship Id="rId43"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innovation-procurement.html" TargetMode="External"/><Relationship Id="rId13" Type="http://schemas.openxmlformats.org/officeDocument/2006/relationships/hyperlink" Target="https://ec.europa.eu/info/strategy/priorities-2019-2024/europe-fit-digital-age/europes-digital-decade-digital-targets-2030_sk" TargetMode="External"/><Relationship Id="rId3" Type="http://schemas.openxmlformats.org/officeDocument/2006/relationships/hyperlink" Target="https://ec.europa.eu/newsroom/dae/document.cfm?doc_id=66957.html" TargetMode="External"/><Relationship Id="rId7" Type="http://schemas.openxmlformats.org/officeDocument/2006/relationships/hyperlink" Target="https://oecd-opsi.org" TargetMode="External"/><Relationship Id="rId12" Type="http://schemas.openxmlformats.org/officeDocument/2006/relationships/hyperlink" Target="http://ec.europa.eu/priorities/digital-single-market_en" TargetMode="External"/><Relationship Id="rId2" Type="http://schemas.openxmlformats.org/officeDocument/2006/relationships/hyperlink" Target="https://www.mirri.gov.sk/sekcie/analyza-diskusna-studia-2/" TargetMode="External"/><Relationship Id="rId1" Type="http://schemas.openxmlformats.org/officeDocument/2006/relationships/hyperlink" Target="https://rokovania.gov.sk/RVL/Material/25835/1" TargetMode="External"/><Relationship Id="rId6" Type="http://schemas.openxmlformats.org/officeDocument/2006/relationships/hyperlink" Target="https://www.slov-lex.sk/pravne-predpisy/SK/ZZ/1996/129/" TargetMode="External"/><Relationship Id="rId11" Type="http://schemas.openxmlformats.org/officeDocument/2006/relationships/hyperlink" Target="https://ec.europa.eu/cefdigital/wiki/display/CEFDIGITAL/EBSI" TargetMode="External"/><Relationship Id="rId5" Type="http://schemas.openxmlformats.org/officeDocument/2006/relationships/hyperlink" Target="https://www.digitalbuyingguide.org/en/" TargetMode="External"/><Relationship Id="rId10" Type="http://schemas.openxmlformats.org/officeDocument/2006/relationships/hyperlink" Target="https://ec.europa.eu/digital-single-market/en/news/nine-more-countries-join-initiative-explore-quantum-communication-europe" TargetMode="External"/><Relationship Id="rId4" Type="http://schemas.openxmlformats.org/officeDocument/2006/relationships/hyperlink" Target="https://eiz.cvtisr.sk/kontakty/slovnik-pojmov/" TargetMode="External"/><Relationship Id="rId9" Type="http://schemas.openxmlformats.org/officeDocument/2006/relationships/hyperlink" Target="https://ekonomika.sme.sk/c/22545953/na-slovensku-vzniklo-narodne-superpocitacove-centrum.html"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5FB30E-10E9-4243-B811-AA5BDBBF9A59}" type="doc">
      <dgm:prSet loTypeId="urn:microsoft.com/office/officeart/2008/layout/AlternatingHexagons" loCatId="list" qsTypeId="urn:microsoft.com/office/officeart/2005/8/quickstyle/simple1" qsCatId="simple" csTypeId="urn:microsoft.com/office/officeart/2005/8/colors/accent1_3" csCatId="accent1" phldr="1"/>
      <dgm:spPr/>
      <dgm:t>
        <a:bodyPr/>
        <a:lstStyle/>
        <a:p>
          <a:endParaRPr lang="sk-SK"/>
        </a:p>
      </dgm:t>
    </dgm:pt>
    <dgm:pt modelId="{17A8582D-93BB-45BC-A508-C4D9EC0B8F8C}">
      <dgm:prSet phldrT="[Text]" custT="1"/>
      <dgm:spPr/>
      <dgm:t>
        <a:bodyPr/>
        <a:lstStyle/>
        <a:p>
          <a:r>
            <a:rPr lang="en-US" sz="1100"/>
            <a:t>kvalitný </a:t>
          </a:r>
          <a:r>
            <a:rPr lang="en-US" sz="1200"/>
            <a:t>dizajn</a:t>
          </a:r>
          <a:endParaRPr lang="sk-SK" sz="1200"/>
        </a:p>
      </dgm:t>
    </dgm:pt>
    <dgm:pt modelId="{5789826E-BE6C-4F74-931C-68D6A3843D2B}" type="parTrans" cxnId="{9C6AAD87-2C9C-48B1-BA13-3EE078001E3C}">
      <dgm:prSet/>
      <dgm:spPr/>
      <dgm:t>
        <a:bodyPr/>
        <a:lstStyle/>
        <a:p>
          <a:endParaRPr lang="sk-SK"/>
        </a:p>
      </dgm:t>
    </dgm:pt>
    <dgm:pt modelId="{F75F491B-538F-4E02-A936-1C410C65357C}" type="sibTrans" cxnId="{9C6AAD87-2C9C-48B1-BA13-3EE078001E3C}">
      <dgm:prSet/>
      <dgm:spPr/>
      <dgm:t>
        <a:bodyPr/>
        <a:lstStyle/>
        <a:p>
          <a:r>
            <a:rPr lang="en-US"/>
            <a:t>minimálny počet úkonov</a:t>
          </a:r>
          <a:endParaRPr lang="sk-SK"/>
        </a:p>
      </dgm:t>
    </dgm:pt>
    <dgm:pt modelId="{93C03F0B-AD7D-4707-9A76-51F24CD632FD}">
      <dgm:prSet phldrT="[Text]" phldr="1"/>
      <dgm:spPr/>
      <dgm:t>
        <a:bodyPr/>
        <a:lstStyle/>
        <a:p>
          <a:endParaRPr lang="sk-SK"/>
        </a:p>
      </dgm:t>
    </dgm:pt>
    <dgm:pt modelId="{2D6725E2-43E4-4A71-8983-4F902FA5ABF6}" type="parTrans" cxnId="{DA9755D3-0A83-45A5-AE8F-528C6F9093A4}">
      <dgm:prSet/>
      <dgm:spPr/>
      <dgm:t>
        <a:bodyPr/>
        <a:lstStyle/>
        <a:p>
          <a:endParaRPr lang="sk-SK"/>
        </a:p>
      </dgm:t>
    </dgm:pt>
    <dgm:pt modelId="{0AFEDEEE-B4EF-4771-B5B5-C9563B3C7D87}" type="sibTrans" cxnId="{DA9755D3-0A83-45A5-AE8F-528C6F9093A4}">
      <dgm:prSet/>
      <dgm:spPr/>
      <dgm:t>
        <a:bodyPr/>
        <a:lstStyle/>
        <a:p>
          <a:endParaRPr lang="sk-SK"/>
        </a:p>
      </dgm:t>
    </dgm:pt>
    <dgm:pt modelId="{CBCD631F-95C2-4CCB-A7D1-0BA29DAEA43D}">
      <dgm:prSet phldrT="[Text]" custT="1"/>
      <dgm:spPr/>
      <dgm:t>
        <a:bodyPr/>
        <a:lstStyle/>
        <a:p>
          <a:r>
            <a:rPr lang="en-US" sz="800"/>
            <a:t>priebežné </a:t>
          </a:r>
          <a:r>
            <a:rPr lang="en-US" sz="1000"/>
            <a:t>info o stave</a:t>
          </a:r>
          <a:endParaRPr lang="sk-SK" sz="1000"/>
        </a:p>
      </dgm:t>
    </dgm:pt>
    <dgm:pt modelId="{41A05120-035D-4193-AB66-56B9C56E3A32}" type="parTrans" cxnId="{B93C04AB-7CD8-442C-A1E5-60382FF299CA}">
      <dgm:prSet/>
      <dgm:spPr/>
      <dgm:t>
        <a:bodyPr/>
        <a:lstStyle/>
        <a:p>
          <a:endParaRPr lang="sk-SK"/>
        </a:p>
      </dgm:t>
    </dgm:pt>
    <dgm:pt modelId="{D63219C3-3C5D-4313-A8DB-19CF2293038B}" type="sibTrans" cxnId="{B93C04AB-7CD8-442C-A1E5-60382FF299CA}">
      <dgm:prSet/>
      <dgm:spPr/>
      <dgm:t>
        <a:bodyPr/>
        <a:lstStyle/>
        <a:p>
          <a:r>
            <a:rPr lang="en-US"/>
            <a:t>dostupné</a:t>
          </a:r>
          <a:endParaRPr lang="sk-SK"/>
        </a:p>
      </dgm:t>
    </dgm:pt>
    <dgm:pt modelId="{287B4117-3B3A-48A6-BE24-A535111DA020}">
      <dgm:prSet phldrT="[Text]" phldr="1"/>
      <dgm:spPr/>
      <dgm:t>
        <a:bodyPr/>
        <a:lstStyle/>
        <a:p>
          <a:endParaRPr lang="sk-SK"/>
        </a:p>
      </dgm:t>
    </dgm:pt>
    <dgm:pt modelId="{A3AE6D6A-2769-454E-80EA-4EA1D6307CAE}" type="parTrans" cxnId="{F6C05163-2F9A-422B-BC81-1359DE8BC7B2}">
      <dgm:prSet/>
      <dgm:spPr/>
      <dgm:t>
        <a:bodyPr/>
        <a:lstStyle/>
        <a:p>
          <a:endParaRPr lang="sk-SK"/>
        </a:p>
      </dgm:t>
    </dgm:pt>
    <dgm:pt modelId="{E145F714-6F89-4DFD-919F-DA136E1976B7}" type="sibTrans" cxnId="{F6C05163-2F9A-422B-BC81-1359DE8BC7B2}">
      <dgm:prSet/>
      <dgm:spPr/>
      <dgm:t>
        <a:bodyPr/>
        <a:lstStyle/>
        <a:p>
          <a:endParaRPr lang="sk-SK"/>
        </a:p>
      </dgm:t>
    </dgm:pt>
    <dgm:pt modelId="{FD7FE4CA-9A24-4ED2-96D1-8103BB0245D2}">
      <dgm:prSet phldrT="[Text]" custT="1"/>
      <dgm:spPr/>
      <dgm:t>
        <a:bodyPr/>
        <a:lstStyle/>
        <a:p>
          <a:r>
            <a:rPr lang="en-US" sz="700"/>
            <a:t>zrozumiteĺná </a:t>
          </a:r>
          <a:r>
            <a:rPr lang="en-US" sz="1000"/>
            <a:t>navigácia</a:t>
          </a:r>
          <a:endParaRPr lang="sk-SK" sz="1000"/>
        </a:p>
      </dgm:t>
    </dgm:pt>
    <dgm:pt modelId="{25A1AFAE-7FDF-4B92-B79A-0501FDAF5744}" type="parTrans" cxnId="{36C1A0B4-D90C-4505-A21F-9F73550CDDE4}">
      <dgm:prSet/>
      <dgm:spPr/>
      <dgm:t>
        <a:bodyPr/>
        <a:lstStyle/>
        <a:p>
          <a:endParaRPr lang="sk-SK"/>
        </a:p>
      </dgm:t>
    </dgm:pt>
    <dgm:pt modelId="{A27C412D-388D-48A5-9F3F-C8055B9D50B9}" type="sibTrans" cxnId="{36C1A0B4-D90C-4505-A21F-9F73550CDDE4}">
      <dgm:prSet custT="1"/>
      <dgm:spPr/>
      <dgm:t>
        <a:bodyPr/>
        <a:lstStyle/>
        <a:p>
          <a:r>
            <a:rPr lang="en-US" sz="1100"/>
            <a:t>online platba </a:t>
          </a:r>
          <a:r>
            <a:rPr lang="en-US" sz="900"/>
            <a:t>jednoducho</a:t>
          </a:r>
          <a:endParaRPr lang="sk-SK" sz="900"/>
        </a:p>
      </dgm:t>
    </dgm:pt>
    <dgm:pt modelId="{1AA151B3-0C79-4B49-BC84-F0F84440AB86}">
      <dgm:prSet phldrT="[Text]" custT="1"/>
      <dgm:spPr/>
      <dgm:t>
        <a:bodyPr/>
        <a:lstStyle/>
        <a:p>
          <a:r>
            <a:rPr lang="en-US" sz="900"/>
            <a:t>dostupné cez </a:t>
          </a:r>
          <a:r>
            <a:rPr lang="en-US" sz="1400"/>
            <a:t>mobil</a:t>
          </a:r>
          <a:endParaRPr lang="sk-SK" sz="1400"/>
        </a:p>
      </dgm:t>
    </dgm:pt>
    <dgm:pt modelId="{44D5BC3D-3CE0-443F-B0A8-A86095DE9AC3}" type="parTrans" cxnId="{E37E9B47-517D-4FDB-B8C2-33FDEF6F6E26}">
      <dgm:prSet/>
      <dgm:spPr/>
      <dgm:t>
        <a:bodyPr/>
        <a:lstStyle/>
        <a:p>
          <a:endParaRPr lang="sk-SK"/>
        </a:p>
      </dgm:t>
    </dgm:pt>
    <dgm:pt modelId="{C6005676-F6D0-44AB-B2AA-9D3016FCB625}" type="sibTrans" cxnId="{E37E9B47-517D-4FDB-B8C2-33FDEF6F6E26}">
      <dgm:prSet/>
      <dgm:spPr/>
      <dgm:t>
        <a:bodyPr/>
        <a:lstStyle/>
        <a:p>
          <a:r>
            <a:rPr lang="en-US"/>
            <a:t>spätná väzba</a:t>
          </a:r>
          <a:endParaRPr lang="sk-SK"/>
        </a:p>
      </dgm:t>
    </dgm:pt>
    <dgm:pt modelId="{20586361-5603-4C8C-BEB4-F4F558FD4555}" type="pres">
      <dgm:prSet presAssocID="{0C5FB30E-10E9-4243-B811-AA5BDBBF9A59}" presName="Name0" presStyleCnt="0">
        <dgm:presLayoutVars>
          <dgm:chMax/>
          <dgm:chPref/>
          <dgm:dir/>
          <dgm:animLvl val="lvl"/>
        </dgm:presLayoutVars>
      </dgm:prSet>
      <dgm:spPr/>
    </dgm:pt>
    <dgm:pt modelId="{AF607E73-9A2B-452F-913E-2A94877248C0}" type="pres">
      <dgm:prSet presAssocID="{17A8582D-93BB-45BC-A508-C4D9EC0B8F8C}" presName="composite" presStyleCnt="0"/>
      <dgm:spPr/>
    </dgm:pt>
    <dgm:pt modelId="{B58B9C2B-73B6-4228-BAFE-CAEF61558C79}" type="pres">
      <dgm:prSet presAssocID="{17A8582D-93BB-45BC-A508-C4D9EC0B8F8C}" presName="Parent1" presStyleLbl="node1" presStyleIdx="0" presStyleCnt="8">
        <dgm:presLayoutVars>
          <dgm:chMax val="1"/>
          <dgm:chPref val="1"/>
          <dgm:bulletEnabled val="1"/>
        </dgm:presLayoutVars>
      </dgm:prSet>
      <dgm:spPr/>
    </dgm:pt>
    <dgm:pt modelId="{E592FF53-3AED-4CE1-BD25-BA7AB2D5699A}" type="pres">
      <dgm:prSet presAssocID="{17A8582D-93BB-45BC-A508-C4D9EC0B8F8C}" presName="Childtext1" presStyleLbl="revTx" presStyleIdx="0" presStyleCnt="4">
        <dgm:presLayoutVars>
          <dgm:chMax val="0"/>
          <dgm:chPref val="0"/>
          <dgm:bulletEnabled val="1"/>
        </dgm:presLayoutVars>
      </dgm:prSet>
      <dgm:spPr/>
    </dgm:pt>
    <dgm:pt modelId="{BCC8330A-B971-4F56-A6B7-F1082B93604E}" type="pres">
      <dgm:prSet presAssocID="{17A8582D-93BB-45BC-A508-C4D9EC0B8F8C}" presName="BalanceSpacing" presStyleCnt="0"/>
      <dgm:spPr/>
    </dgm:pt>
    <dgm:pt modelId="{47F48959-61A7-4D0A-ABBA-4897961B9FC7}" type="pres">
      <dgm:prSet presAssocID="{17A8582D-93BB-45BC-A508-C4D9EC0B8F8C}" presName="BalanceSpacing1" presStyleCnt="0"/>
      <dgm:spPr/>
    </dgm:pt>
    <dgm:pt modelId="{190DEF06-ABC2-4F74-BD00-C3D52FE54719}" type="pres">
      <dgm:prSet presAssocID="{F75F491B-538F-4E02-A936-1C410C65357C}" presName="Accent1Text" presStyleLbl="node1" presStyleIdx="1" presStyleCnt="8"/>
      <dgm:spPr/>
    </dgm:pt>
    <dgm:pt modelId="{FD85B09A-F109-45D7-86EA-C9CC1F1816CC}" type="pres">
      <dgm:prSet presAssocID="{F75F491B-538F-4E02-A936-1C410C65357C}" presName="spaceBetweenRectangles" presStyleCnt="0"/>
      <dgm:spPr/>
    </dgm:pt>
    <dgm:pt modelId="{2D5C81B3-70E9-4667-AD72-C7048EC2E27E}" type="pres">
      <dgm:prSet presAssocID="{CBCD631F-95C2-4CCB-A7D1-0BA29DAEA43D}" presName="composite" presStyleCnt="0"/>
      <dgm:spPr/>
    </dgm:pt>
    <dgm:pt modelId="{F7695F88-5FE7-4204-ABD5-741117C7090F}" type="pres">
      <dgm:prSet presAssocID="{CBCD631F-95C2-4CCB-A7D1-0BA29DAEA43D}" presName="Parent1" presStyleLbl="node1" presStyleIdx="2" presStyleCnt="8">
        <dgm:presLayoutVars>
          <dgm:chMax val="1"/>
          <dgm:chPref val="1"/>
          <dgm:bulletEnabled val="1"/>
        </dgm:presLayoutVars>
      </dgm:prSet>
      <dgm:spPr/>
    </dgm:pt>
    <dgm:pt modelId="{3ED45347-796E-4DDE-8DCC-C2D4333D6777}" type="pres">
      <dgm:prSet presAssocID="{CBCD631F-95C2-4CCB-A7D1-0BA29DAEA43D}" presName="Childtext1" presStyleLbl="revTx" presStyleIdx="1" presStyleCnt="4">
        <dgm:presLayoutVars>
          <dgm:chMax val="0"/>
          <dgm:chPref val="0"/>
          <dgm:bulletEnabled val="1"/>
        </dgm:presLayoutVars>
      </dgm:prSet>
      <dgm:spPr/>
    </dgm:pt>
    <dgm:pt modelId="{FA119821-4725-4213-B4DF-7A18D2F3361F}" type="pres">
      <dgm:prSet presAssocID="{CBCD631F-95C2-4CCB-A7D1-0BA29DAEA43D}" presName="BalanceSpacing" presStyleCnt="0"/>
      <dgm:spPr/>
    </dgm:pt>
    <dgm:pt modelId="{92AF073E-D8AC-4CD4-82C9-1037F89E5439}" type="pres">
      <dgm:prSet presAssocID="{CBCD631F-95C2-4CCB-A7D1-0BA29DAEA43D}" presName="BalanceSpacing1" presStyleCnt="0"/>
      <dgm:spPr/>
    </dgm:pt>
    <dgm:pt modelId="{10703279-BA87-4A55-96BF-996CC06EE075}" type="pres">
      <dgm:prSet presAssocID="{D63219C3-3C5D-4313-A8DB-19CF2293038B}" presName="Accent1Text" presStyleLbl="node1" presStyleIdx="3" presStyleCnt="8"/>
      <dgm:spPr/>
    </dgm:pt>
    <dgm:pt modelId="{89408763-66E6-4220-9CD6-D8E531F772BA}" type="pres">
      <dgm:prSet presAssocID="{D63219C3-3C5D-4313-A8DB-19CF2293038B}" presName="spaceBetweenRectangles" presStyleCnt="0"/>
      <dgm:spPr/>
    </dgm:pt>
    <dgm:pt modelId="{9EFA30E8-9FED-404A-9215-1A31EFE1EED8}" type="pres">
      <dgm:prSet presAssocID="{FD7FE4CA-9A24-4ED2-96D1-8103BB0245D2}" presName="composite" presStyleCnt="0"/>
      <dgm:spPr/>
    </dgm:pt>
    <dgm:pt modelId="{48B86818-9CC6-482A-AD5A-9A35BA84D659}" type="pres">
      <dgm:prSet presAssocID="{FD7FE4CA-9A24-4ED2-96D1-8103BB0245D2}" presName="Parent1" presStyleLbl="node1" presStyleIdx="4" presStyleCnt="8" custLinFactX="9940" custLinFactY="-69786" custLinFactNeighborX="100000" custLinFactNeighborY="-100000">
        <dgm:presLayoutVars>
          <dgm:chMax val="1"/>
          <dgm:chPref val="1"/>
          <dgm:bulletEnabled val="1"/>
        </dgm:presLayoutVars>
      </dgm:prSet>
      <dgm:spPr/>
    </dgm:pt>
    <dgm:pt modelId="{74BCE5CB-5313-4668-8C66-6304427F4191}" type="pres">
      <dgm:prSet presAssocID="{FD7FE4CA-9A24-4ED2-96D1-8103BB0245D2}" presName="Childtext1" presStyleLbl="revTx" presStyleIdx="2" presStyleCnt="4" custLinFactY="-100000" custLinFactNeighborX="86067" custLinFactNeighborY="-181648">
        <dgm:presLayoutVars>
          <dgm:chMax val="0"/>
          <dgm:chPref val="0"/>
          <dgm:bulletEnabled val="1"/>
        </dgm:presLayoutVars>
      </dgm:prSet>
      <dgm:spPr/>
    </dgm:pt>
    <dgm:pt modelId="{AA94008F-3DFA-4F87-AF32-DB1C0E3B9902}" type="pres">
      <dgm:prSet presAssocID="{FD7FE4CA-9A24-4ED2-96D1-8103BB0245D2}" presName="BalanceSpacing" presStyleCnt="0"/>
      <dgm:spPr/>
    </dgm:pt>
    <dgm:pt modelId="{15AF72BF-5C8F-4635-A573-1A5A44BB1A05}" type="pres">
      <dgm:prSet presAssocID="{FD7FE4CA-9A24-4ED2-96D1-8103BB0245D2}" presName="BalanceSpacing1" presStyleCnt="0"/>
      <dgm:spPr/>
    </dgm:pt>
    <dgm:pt modelId="{F5D0E2A6-D4E1-42E3-9D2F-9FD4C17540DA}" type="pres">
      <dgm:prSet presAssocID="{A27C412D-388D-48A5-9F3F-C8055B9D50B9}" presName="Accent1Text" presStyleLbl="node1" presStyleIdx="5" presStyleCnt="8" custLinFactNeighborX="-53329" custLinFactNeighborY="-83513"/>
      <dgm:spPr/>
    </dgm:pt>
    <dgm:pt modelId="{F084B908-90CE-427C-B56D-491A031A511E}" type="pres">
      <dgm:prSet presAssocID="{A27C412D-388D-48A5-9F3F-C8055B9D50B9}" presName="spaceBetweenRectangles" presStyleCnt="0"/>
      <dgm:spPr/>
    </dgm:pt>
    <dgm:pt modelId="{3ED8DCD8-2F03-4E20-97DD-5859F948C4EB}" type="pres">
      <dgm:prSet presAssocID="{1AA151B3-0C79-4B49-BC84-F0F84440AB86}" presName="composite" presStyleCnt="0"/>
      <dgm:spPr/>
    </dgm:pt>
    <dgm:pt modelId="{DF6236E6-92CB-46F1-92AE-E2534A549EC3}" type="pres">
      <dgm:prSet presAssocID="{1AA151B3-0C79-4B49-BC84-F0F84440AB86}" presName="Parent1" presStyleLbl="node1" presStyleIdx="6" presStyleCnt="8" custLinFactX="9940" custLinFactY="-69786" custLinFactNeighborX="100000" custLinFactNeighborY="-100000">
        <dgm:presLayoutVars>
          <dgm:chMax val="1"/>
          <dgm:chPref val="1"/>
          <dgm:bulletEnabled val="1"/>
        </dgm:presLayoutVars>
      </dgm:prSet>
      <dgm:spPr/>
    </dgm:pt>
    <dgm:pt modelId="{4869664B-2A14-4FA2-9232-DE24E7C953D5}" type="pres">
      <dgm:prSet presAssocID="{1AA151B3-0C79-4B49-BC84-F0F84440AB86}" presName="Childtext1" presStyleLbl="revTx" presStyleIdx="3" presStyleCnt="4" custLinFactY="-200000" custLinFactNeighborX="-43279" custLinFactNeighborY="-222044">
        <dgm:presLayoutVars>
          <dgm:chMax val="0"/>
          <dgm:chPref val="0"/>
          <dgm:bulletEnabled val="1"/>
        </dgm:presLayoutVars>
      </dgm:prSet>
      <dgm:spPr/>
    </dgm:pt>
    <dgm:pt modelId="{F97E7CB4-847A-469F-8A10-E5B8BD5276E6}" type="pres">
      <dgm:prSet presAssocID="{1AA151B3-0C79-4B49-BC84-F0F84440AB86}" presName="BalanceSpacing" presStyleCnt="0"/>
      <dgm:spPr/>
    </dgm:pt>
    <dgm:pt modelId="{85E62E39-CDCE-4188-BA2F-1996AA939277}" type="pres">
      <dgm:prSet presAssocID="{1AA151B3-0C79-4B49-BC84-F0F84440AB86}" presName="BalanceSpacing1" presStyleCnt="0"/>
      <dgm:spPr/>
    </dgm:pt>
    <dgm:pt modelId="{3AAD9551-3FE2-4FFB-89B4-5E51FD569FED}" type="pres">
      <dgm:prSet presAssocID="{C6005676-F6D0-44AB-B2AA-9D3016FCB625}" presName="Accent1Text" presStyleLbl="node1" presStyleIdx="7" presStyleCnt="8" custLinFactX="9299" custLinFactY="-71280" custLinFactNeighborX="100000" custLinFactNeighborY="-100000"/>
      <dgm:spPr/>
    </dgm:pt>
  </dgm:ptLst>
  <dgm:cxnLst>
    <dgm:cxn modelId="{E2D32B01-FF01-4F05-A803-0BBFA71F818C}" type="presOf" srcId="{D63219C3-3C5D-4313-A8DB-19CF2293038B}" destId="{10703279-BA87-4A55-96BF-996CC06EE075}" srcOrd="0" destOrd="0" presId="urn:microsoft.com/office/officeart/2008/layout/AlternatingHexagons"/>
    <dgm:cxn modelId="{C153EE42-10BD-4F3F-AB21-972CCCCCE3E2}" type="presOf" srcId="{A27C412D-388D-48A5-9F3F-C8055B9D50B9}" destId="{F5D0E2A6-D4E1-42E3-9D2F-9FD4C17540DA}" srcOrd="0" destOrd="0" presId="urn:microsoft.com/office/officeart/2008/layout/AlternatingHexagons"/>
    <dgm:cxn modelId="{F6C05163-2F9A-422B-BC81-1359DE8BC7B2}" srcId="{CBCD631F-95C2-4CCB-A7D1-0BA29DAEA43D}" destId="{287B4117-3B3A-48A6-BE24-A535111DA020}" srcOrd="0" destOrd="0" parTransId="{A3AE6D6A-2769-454E-80EA-4EA1D6307CAE}" sibTransId="{E145F714-6F89-4DFD-919F-DA136E1976B7}"/>
    <dgm:cxn modelId="{E37E9B47-517D-4FDB-B8C2-33FDEF6F6E26}" srcId="{0C5FB30E-10E9-4243-B811-AA5BDBBF9A59}" destId="{1AA151B3-0C79-4B49-BC84-F0F84440AB86}" srcOrd="3" destOrd="0" parTransId="{44D5BC3D-3CE0-443F-B0A8-A86095DE9AC3}" sibTransId="{C6005676-F6D0-44AB-B2AA-9D3016FCB625}"/>
    <dgm:cxn modelId="{ACCC276F-E1B7-465B-A2DB-754A086DD140}" type="presOf" srcId="{1AA151B3-0C79-4B49-BC84-F0F84440AB86}" destId="{DF6236E6-92CB-46F1-92AE-E2534A549EC3}" srcOrd="0" destOrd="0" presId="urn:microsoft.com/office/officeart/2008/layout/AlternatingHexagons"/>
    <dgm:cxn modelId="{7AD42974-ED3F-4B97-9456-0F9541458E0A}" type="presOf" srcId="{287B4117-3B3A-48A6-BE24-A535111DA020}" destId="{3ED45347-796E-4DDE-8DCC-C2D4333D6777}" srcOrd="0" destOrd="0" presId="urn:microsoft.com/office/officeart/2008/layout/AlternatingHexagons"/>
    <dgm:cxn modelId="{3B810080-F6EB-42F8-9955-136AD51D3CDA}" type="presOf" srcId="{17A8582D-93BB-45BC-A508-C4D9EC0B8F8C}" destId="{B58B9C2B-73B6-4228-BAFE-CAEF61558C79}" srcOrd="0" destOrd="0" presId="urn:microsoft.com/office/officeart/2008/layout/AlternatingHexagons"/>
    <dgm:cxn modelId="{9C6AAD87-2C9C-48B1-BA13-3EE078001E3C}" srcId="{0C5FB30E-10E9-4243-B811-AA5BDBBF9A59}" destId="{17A8582D-93BB-45BC-A508-C4D9EC0B8F8C}" srcOrd="0" destOrd="0" parTransId="{5789826E-BE6C-4F74-931C-68D6A3843D2B}" sibTransId="{F75F491B-538F-4E02-A936-1C410C65357C}"/>
    <dgm:cxn modelId="{CBE02E91-31D4-4021-A9C9-E76A56BE839C}" type="presOf" srcId="{93C03F0B-AD7D-4707-9A76-51F24CD632FD}" destId="{E592FF53-3AED-4CE1-BD25-BA7AB2D5699A}" srcOrd="0" destOrd="0" presId="urn:microsoft.com/office/officeart/2008/layout/AlternatingHexagons"/>
    <dgm:cxn modelId="{DC04B396-B7F7-46C8-A72B-8B60FCC58CBC}" type="presOf" srcId="{CBCD631F-95C2-4CCB-A7D1-0BA29DAEA43D}" destId="{F7695F88-5FE7-4204-ABD5-741117C7090F}" srcOrd="0" destOrd="0" presId="urn:microsoft.com/office/officeart/2008/layout/AlternatingHexagons"/>
    <dgm:cxn modelId="{B93C04AB-7CD8-442C-A1E5-60382FF299CA}" srcId="{0C5FB30E-10E9-4243-B811-AA5BDBBF9A59}" destId="{CBCD631F-95C2-4CCB-A7D1-0BA29DAEA43D}" srcOrd="1" destOrd="0" parTransId="{41A05120-035D-4193-AB66-56B9C56E3A32}" sibTransId="{D63219C3-3C5D-4313-A8DB-19CF2293038B}"/>
    <dgm:cxn modelId="{E75DACAE-784C-4E7D-876A-BC98322EAAFD}" type="presOf" srcId="{0C5FB30E-10E9-4243-B811-AA5BDBBF9A59}" destId="{20586361-5603-4C8C-BEB4-F4F558FD4555}" srcOrd="0" destOrd="0" presId="urn:microsoft.com/office/officeart/2008/layout/AlternatingHexagons"/>
    <dgm:cxn modelId="{36C1A0B4-D90C-4505-A21F-9F73550CDDE4}" srcId="{0C5FB30E-10E9-4243-B811-AA5BDBBF9A59}" destId="{FD7FE4CA-9A24-4ED2-96D1-8103BB0245D2}" srcOrd="2" destOrd="0" parTransId="{25A1AFAE-7FDF-4B92-B79A-0501FDAF5744}" sibTransId="{A27C412D-388D-48A5-9F3F-C8055B9D50B9}"/>
    <dgm:cxn modelId="{DA9755D3-0A83-45A5-AE8F-528C6F9093A4}" srcId="{17A8582D-93BB-45BC-A508-C4D9EC0B8F8C}" destId="{93C03F0B-AD7D-4707-9A76-51F24CD632FD}" srcOrd="0" destOrd="0" parTransId="{2D6725E2-43E4-4A71-8983-4F902FA5ABF6}" sibTransId="{0AFEDEEE-B4EF-4771-B5B5-C9563B3C7D87}"/>
    <dgm:cxn modelId="{A82966EA-3B7F-4442-A45D-AD1FABD6222B}" type="presOf" srcId="{F75F491B-538F-4E02-A936-1C410C65357C}" destId="{190DEF06-ABC2-4F74-BD00-C3D52FE54719}" srcOrd="0" destOrd="0" presId="urn:microsoft.com/office/officeart/2008/layout/AlternatingHexagons"/>
    <dgm:cxn modelId="{B51D6EFB-D7C6-4CC6-8D56-00ACBAA8CE4C}" type="presOf" srcId="{FD7FE4CA-9A24-4ED2-96D1-8103BB0245D2}" destId="{48B86818-9CC6-482A-AD5A-9A35BA84D659}" srcOrd="0" destOrd="0" presId="urn:microsoft.com/office/officeart/2008/layout/AlternatingHexagons"/>
    <dgm:cxn modelId="{56C9D9FB-0D42-487A-8BA7-77542F0AEB95}" type="presOf" srcId="{C6005676-F6D0-44AB-B2AA-9D3016FCB625}" destId="{3AAD9551-3FE2-4FFB-89B4-5E51FD569FED}" srcOrd="0" destOrd="0" presId="urn:microsoft.com/office/officeart/2008/layout/AlternatingHexagons"/>
    <dgm:cxn modelId="{E5F0193E-C824-4A2E-A858-DC371492E630}" type="presParOf" srcId="{20586361-5603-4C8C-BEB4-F4F558FD4555}" destId="{AF607E73-9A2B-452F-913E-2A94877248C0}" srcOrd="0" destOrd="0" presId="urn:microsoft.com/office/officeart/2008/layout/AlternatingHexagons"/>
    <dgm:cxn modelId="{B4E687C9-125E-4FFD-981D-AD6DA6FFE2C0}" type="presParOf" srcId="{AF607E73-9A2B-452F-913E-2A94877248C0}" destId="{B58B9C2B-73B6-4228-BAFE-CAEF61558C79}" srcOrd="0" destOrd="0" presId="urn:microsoft.com/office/officeart/2008/layout/AlternatingHexagons"/>
    <dgm:cxn modelId="{F4ADFDE3-F109-4051-B4BE-01FEA1B24618}" type="presParOf" srcId="{AF607E73-9A2B-452F-913E-2A94877248C0}" destId="{E592FF53-3AED-4CE1-BD25-BA7AB2D5699A}" srcOrd="1" destOrd="0" presId="urn:microsoft.com/office/officeart/2008/layout/AlternatingHexagons"/>
    <dgm:cxn modelId="{E9B09960-ABC7-4DD2-BEF8-6C51794053C7}" type="presParOf" srcId="{AF607E73-9A2B-452F-913E-2A94877248C0}" destId="{BCC8330A-B971-4F56-A6B7-F1082B93604E}" srcOrd="2" destOrd="0" presId="urn:microsoft.com/office/officeart/2008/layout/AlternatingHexagons"/>
    <dgm:cxn modelId="{B0B8CEA7-F623-4960-B60E-1E2FB8E9B709}" type="presParOf" srcId="{AF607E73-9A2B-452F-913E-2A94877248C0}" destId="{47F48959-61A7-4D0A-ABBA-4897961B9FC7}" srcOrd="3" destOrd="0" presId="urn:microsoft.com/office/officeart/2008/layout/AlternatingHexagons"/>
    <dgm:cxn modelId="{9831E42C-9AFC-4402-97C5-966EC2BC83F5}" type="presParOf" srcId="{AF607E73-9A2B-452F-913E-2A94877248C0}" destId="{190DEF06-ABC2-4F74-BD00-C3D52FE54719}" srcOrd="4" destOrd="0" presId="urn:microsoft.com/office/officeart/2008/layout/AlternatingHexagons"/>
    <dgm:cxn modelId="{33EEEA8E-D41A-4CB6-9251-07A10CE1B245}" type="presParOf" srcId="{20586361-5603-4C8C-BEB4-F4F558FD4555}" destId="{FD85B09A-F109-45D7-86EA-C9CC1F1816CC}" srcOrd="1" destOrd="0" presId="urn:microsoft.com/office/officeart/2008/layout/AlternatingHexagons"/>
    <dgm:cxn modelId="{733957B3-8F7E-4C5A-837C-1153BE35905D}" type="presParOf" srcId="{20586361-5603-4C8C-BEB4-F4F558FD4555}" destId="{2D5C81B3-70E9-4667-AD72-C7048EC2E27E}" srcOrd="2" destOrd="0" presId="urn:microsoft.com/office/officeart/2008/layout/AlternatingHexagons"/>
    <dgm:cxn modelId="{5CE67046-CE70-4892-B906-28F80FD81F74}" type="presParOf" srcId="{2D5C81B3-70E9-4667-AD72-C7048EC2E27E}" destId="{F7695F88-5FE7-4204-ABD5-741117C7090F}" srcOrd="0" destOrd="0" presId="urn:microsoft.com/office/officeart/2008/layout/AlternatingHexagons"/>
    <dgm:cxn modelId="{6020FE96-120F-454C-AD99-219DC5B039FF}" type="presParOf" srcId="{2D5C81B3-70E9-4667-AD72-C7048EC2E27E}" destId="{3ED45347-796E-4DDE-8DCC-C2D4333D6777}" srcOrd="1" destOrd="0" presId="urn:microsoft.com/office/officeart/2008/layout/AlternatingHexagons"/>
    <dgm:cxn modelId="{8038C919-B710-452E-8B5F-2079C3403FEF}" type="presParOf" srcId="{2D5C81B3-70E9-4667-AD72-C7048EC2E27E}" destId="{FA119821-4725-4213-B4DF-7A18D2F3361F}" srcOrd="2" destOrd="0" presId="urn:microsoft.com/office/officeart/2008/layout/AlternatingHexagons"/>
    <dgm:cxn modelId="{08C33F54-56D1-4ECA-A612-A9FE1F0C4A3F}" type="presParOf" srcId="{2D5C81B3-70E9-4667-AD72-C7048EC2E27E}" destId="{92AF073E-D8AC-4CD4-82C9-1037F89E5439}" srcOrd="3" destOrd="0" presId="urn:microsoft.com/office/officeart/2008/layout/AlternatingHexagons"/>
    <dgm:cxn modelId="{B2809A79-8BB3-4507-BE90-6564831F1269}" type="presParOf" srcId="{2D5C81B3-70E9-4667-AD72-C7048EC2E27E}" destId="{10703279-BA87-4A55-96BF-996CC06EE075}" srcOrd="4" destOrd="0" presId="urn:microsoft.com/office/officeart/2008/layout/AlternatingHexagons"/>
    <dgm:cxn modelId="{74F0A6FF-0E92-42CE-BEEB-2FDC4879F8CF}" type="presParOf" srcId="{20586361-5603-4C8C-BEB4-F4F558FD4555}" destId="{89408763-66E6-4220-9CD6-D8E531F772BA}" srcOrd="3" destOrd="0" presId="urn:microsoft.com/office/officeart/2008/layout/AlternatingHexagons"/>
    <dgm:cxn modelId="{D576F3F9-E620-4065-9644-48C871B5D64A}" type="presParOf" srcId="{20586361-5603-4C8C-BEB4-F4F558FD4555}" destId="{9EFA30E8-9FED-404A-9215-1A31EFE1EED8}" srcOrd="4" destOrd="0" presId="urn:microsoft.com/office/officeart/2008/layout/AlternatingHexagons"/>
    <dgm:cxn modelId="{B59865BA-8735-4EE6-AB58-8D843DC5D7ED}" type="presParOf" srcId="{9EFA30E8-9FED-404A-9215-1A31EFE1EED8}" destId="{48B86818-9CC6-482A-AD5A-9A35BA84D659}" srcOrd="0" destOrd="0" presId="urn:microsoft.com/office/officeart/2008/layout/AlternatingHexagons"/>
    <dgm:cxn modelId="{98AEB062-A5A3-4F30-BD6F-451BF3666F81}" type="presParOf" srcId="{9EFA30E8-9FED-404A-9215-1A31EFE1EED8}" destId="{74BCE5CB-5313-4668-8C66-6304427F4191}" srcOrd="1" destOrd="0" presId="urn:microsoft.com/office/officeart/2008/layout/AlternatingHexagons"/>
    <dgm:cxn modelId="{26A5F7DD-D2C4-4DFD-B0EE-23FC905A134D}" type="presParOf" srcId="{9EFA30E8-9FED-404A-9215-1A31EFE1EED8}" destId="{AA94008F-3DFA-4F87-AF32-DB1C0E3B9902}" srcOrd="2" destOrd="0" presId="urn:microsoft.com/office/officeart/2008/layout/AlternatingHexagons"/>
    <dgm:cxn modelId="{3A056FAD-9751-4C11-BA37-4B54483BC365}" type="presParOf" srcId="{9EFA30E8-9FED-404A-9215-1A31EFE1EED8}" destId="{15AF72BF-5C8F-4635-A573-1A5A44BB1A05}" srcOrd="3" destOrd="0" presId="urn:microsoft.com/office/officeart/2008/layout/AlternatingHexagons"/>
    <dgm:cxn modelId="{1814C78D-9FD0-4528-9693-FC7DF99547B1}" type="presParOf" srcId="{9EFA30E8-9FED-404A-9215-1A31EFE1EED8}" destId="{F5D0E2A6-D4E1-42E3-9D2F-9FD4C17540DA}" srcOrd="4" destOrd="0" presId="urn:microsoft.com/office/officeart/2008/layout/AlternatingHexagons"/>
    <dgm:cxn modelId="{E736F74B-7B8F-4BFC-96AC-3266506FE557}" type="presParOf" srcId="{20586361-5603-4C8C-BEB4-F4F558FD4555}" destId="{F084B908-90CE-427C-B56D-491A031A511E}" srcOrd="5" destOrd="0" presId="urn:microsoft.com/office/officeart/2008/layout/AlternatingHexagons"/>
    <dgm:cxn modelId="{C3581F17-3861-4FD5-A99D-91DFE3105946}" type="presParOf" srcId="{20586361-5603-4C8C-BEB4-F4F558FD4555}" destId="{3ED8DCD8-2F03-4E20-97DD-5859F948C4EB}" srcOrd="6" destOrd="0" presId="urn:microsoft.com/office/officeart/2008/layout/AlternatingHexagons"/>
    <dgm:cxn modelId="{5F6C726B-741E-474C-9579-602525838068}" type="presParOf" srcId="{3ED8DCD8-2F03-4E20-97DD-5859F948C4EB}" destId="{DF6236E6-92CB-46F1-92AE-E2534A549EC3}" srcOrd="0" destOrd="0" presId="urn:microsoft.com/office/officeart/2008/layout/AlternatingHexagons"/>
    <dgm:cxn modelId="{46D9E806-6383-4558-B595-440561DEF330}" type="presParOf" srcId="{3ED8DCD8-2F03-4E20-97DD-5859F948C4EB}" destId="{4869664B-2A14-4FA2-9232-DE24E7C953D5}" srcOrd="1" destOrd="0" presId="urn:microsoft.com/office/officeart/2008/layout/AlternatingHexagons"/>
    <dgm:cxn modelId="{2C6B8247-50F4-4AE8-9822-45B8275898A6}" type="presParOf" srcId="{3ED8DCD8-2F03-4E20-97DD-5859F948C4EB}" destId="{F97E7CB4-847A-469F-8A10-E5B8BD5276E6}" srcOrd="2" destOrd="0" presId="urn:microsoft.com/office/officeart/2008/layout/AlternatingHexagons"/>
    <dgm:cxn modelId="{42BE6540-5ED5-4F45-91E3-48DFA8BE03A5}" type="presParOf" srcId="{3ED8DCD8-2F03-4E20-97DD-5859F948C4EB}" destId="{85E62E39-CDCE-4188-BA2F-1996AA939277}" srcOrd="3" destOrd="0" presId="urn:microsoft.com/office/officeart/2008/layout/AlternatingHexagons"/>
    <dgm:cxn modelId="{AE9963B7-4840-479D-A4D0-D446B58CD7F3}" type="presParOf" srcId="{3ED8DCD8-2F03-4E20-97DD-5859F948C4EB}" destId="{3AAD9551-3FE2-4FFB-89B4-5E51FD569FED}" srcOrd="4" destOrd="0" presId="urn:microsoft.com/office/officeart/2008/layout/AlternatingHexagon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5FB30E-10E9-4243-B811-AA5BDBBF9A59}" type="doc">
      <dgm:prSet loTypeId="urn:microsoft.com/office/officeart/2008/layout/AlternatingHexagons" loCatId="list" qsTypeId="urn:microsoft.com/office/officeart/2005/8/quickstyle/simple1" qsCatId="simple" csTypeId="urn:microsoft.com/office/officeart/2005/8/colors/accent1_3" csCatId="accent1" phldr="1"/>
      <dgm:spPr/>
      <dgm:t>
        <a:bodyPr/>
        <a:lstStyle/>
        <a:p>
          <a:endParaRPr lang="sk-SK"/>
        </a:p>
      </dgm:t>
    </dgm:pt>
    <dgm:pt modelId="{17A8582D-93BB-45BC-A508-C4D9EC0B8F8C}">
      <dgm:prSet phldrT="[Text]" custT="1"/>
      <dgm:spPr/>
      <dgm:t>
        <a:bodyPr/>
        <a:lstStyle/>
        <a:p>
          <a:r>
            <a:rPr lang="en-US" sz="900"/>
            <a:t>občan dostane virtuálnu podporu chatbot</a:t>
          </a:r>
          <a:endParaRPr lang="sk-SK" sz="900"/>
        </a:p>
      </dgm:t>
    </dgm:pt>
    <dgm:pt modelId="{5789826E-BE6C-4F74-931C-68D6A3843D2B}" type="parTrans" cxnId="{9C6AAD87-2C9C-48B1-BA13-3EE078001E3C}">
      <dgm:prSet/>
      <dgm:spPr/>
      <dgm:t>
        <a:bodyPr/>
        <a:lstStyle/>
        <a:p>
          <a:endParaRPr lang="sk-SK"/>
        </a:p>
      </dgm:t>
    </dgm:pt>
    <dgm:pt modelId="{F75F491B-538F-4E02-A936-1C410C65357C}" type="sibTrans" cxnId="{9C6AAD87-2C9C-48B1-BA13-3EE078001E3C}">
      <dgm:prSet custT="1"/>
      <dgm:spPr/>
      <dgm:t>
        <a:bodyPr/>
        <a:lstStyle/>
        <a:p>
          <a:r>
            <a:rPr lang="en-US" sz="1000"/>
            <a:t>občan vybaví sám</a:t>
          </a:r>
          <a:endParaRPr lang="sk-SK" sz="1000"/>
        </a:p>
      </dgm:t>
    </dgm:pt>
    <dgm:pt modelId="{93C03F0B-AD7D-4707-9A76-51F24CD632FD}">
      <dgm:prSet phldrT="[Text]" phldr="1"/>
      <dgm:spPr/>
      <dgm:t>
        <a:bodyPr/>
        <a:lstStyle/>
        <a:p>
          <a:endParaRPr lang="sk-SK"/>
        </a:p>
      </dgm:t>
    </dgm:pt>
    <dgm:pt modelId="{2D6725E2-43E4-4A71-8983-4F902FA5ABF6}" type="parTrans" cxnId="{DA9755D3-0A83-45A5-AE8F-528C6F9093A4}">
      <dgm:prSet/>
      <dgm:spPr/>
      <dgm:t>
        <a:bodyPr/>
        <a:lstStyle/>
        <a:p>
          <a:endParaRPr lang="sk-SK"/>
        </a:p>
      </dgm:t>
    </dgm:pt>
    <dgm:pt modelId="{0AFEDEEE-B4EF-4771-B5B5-C9563B3C7D87}" type="sibTrans" cxnId="{DA9755D3-0A83-45A5-AE8F-528C6F9093A4}">
      <dgm:prSet/>
      <dgm:spPr/>
      <dgm:t>
        <a:bodyPr/>
        <a:lstStyle/>
        <a:p>
          <a:endParaRPr lang="sk-SK"/>
        </a:p>
      </dgm:t>
    </dgm:pt>
    <dgm:pt modelId="{FD7FE4CA-9A24-4ED2-96D1-8103BB0245D2}">
      <dgm:prSet phldrT="[Text]" custT="1"/>
      <dgm:spPr/>
      <dgm:t>
        <a:bodyPr/>
        <a:lstStyle/>
        <a:p>
          <a:r>
            <a:rPr lang="sk-SK" sz="1200"/>
            <a:t>asist</a:t>
          </a:r>
          <a:r>
            <a:rPr lang="en-US" sz="1200"/>
            <a:t>encia </a:t>
          </a:r>
          <a:r>
            <a:rPr lang="en-US" sz="900"/>
            <a:t>komplexná podpora</a:t>
          </a:r>
          <a:endParaRPr lang="sk-SK" sz="900"/>
        </a:p>
      </dgm:t>
    </dgm:pt>
    <dgm:pt modelId="{25A1AFAE-7FDF-4B92-B79A-0501FDAF5744}" type="parTrans" cxnId="{36C1A0B4-D90C-4505-A21F-9F73550CDDE4}">
      <dgm:prSet/>
      <dgm:spPr/>
      <dgm:t>
        <a:bodyPr/>
        <a:lstStyle/>
        <a:p>
          <a:endParaRPr lang="sk-SK"/>
        </a:p>
      </dgm:t>
    </dgm:pt>
    <dgm:pt modelId="{A27C412D-388D-48A5-9F3F-C8055B9D50B9}" type="sibTrans" cxnId="{36C1A0B4-D90C-4505-A21F-9F73550CDDE4}">
      <dgm:prSet custT="1"/>
      <dgm:spPr/>
      <dgm:t>
        <a:bodyPr/>
        <a:lstStyle/>
        <a:p>
          <a:r>
            <a:rPr lang="en-US" sz="900"/>
            <a:t>neustála online pomoc</a:t>
          </a:r>
          <a:endParaRPr lang="sk-SK" sz="900"/>
        </a:p>
      </dgm:t>
    </dgm:pt>
    <dgm:pt modelId="{CBCD631F-95C2-4CCB-A7D1-0BA29DAEA43D}">
      <dgm:prSet phldrT="[Text]" custT="1"/>
      <dgm:spPr/>
      <dgm:t>
        <a:bodyPr/>
        <a:lstStyle/>
        <a:p>
          <a:r>
            <a:rPr lang="en-US" sz="1000"/>
            <a:t>interaktívna </a:t>
          </a:r>
          <a:r>
            <a:rPr lang="en-US" sz="800"/>
            <a:t>navigácia</a:t>
          </a:r>
          <a:endParaRPr lang="sk-SK" sz="1000"/>
        </a:p>
      </dgm:t>
    </dgm:pt>
    <dgm:pt modelId="{D63219C3-3C5D-4313-A8DB-19CF2293038B}" type="sibTrans" cxnId="{B93C04AB-7CD8-442C-A1E5-60382FF299CA}">
      <dgm:prSet/>
      <dgm:spPr/>
      <dgm:t>
        <a:bodyPr/>
        <a:lstStyle/>
        <a:p>
          <a:endParaRPr lang="sk-SK"/>
        </a:p>
      </dgm:t>
    </dgm:pt>
    <dgm:pt modelId="{41A05120-035D-4193-AB66-56B9C56E3A32}" type="parTrans" cxnId="{B93C04AB-7CD8-442C-A1E5-60382FF299CA}">
      <dgm:prSet/>
      <dgm:spPr/>
      <dgm:t>
        <a:bodyPr/>
        <a:lstStyle/>
        <a:p>
          <a:endParaRPr lang="sk-SK"/>
        </a:p>
      </dgm:t>
    </dgm:pt>
    <dgm:pt modelId="{20586361-5603-4C8C-BEB4-F4F558FD4555}" type="pres">
      <dgm:prSet presAssocID="{0C5FB30E-10E9-4243-B811-AA5BDBBF9A59}" presName="Name0" presStyleCnt="0">
        <dgm:presLayoutVars>
          <dgm:chMax/>
          <dgm:chPref/>
          <dgm:dir/>
          <dgm:animLvl val="lvl"/>
        </dgm:presLayoutVars>
      </dgm:prSet>
      <dgm:spPr/>
    </dgm:pt>
    <dgm:pt modelId="{AF607E73-9A2B-452F-913E-2A94877248C0}" type="pres">
      <dgm:prSet presAssocID="{17A8582D-93BB-45BC-A508-C4D9EC0B8F8C}" presName="composite" presStyleCnt="0"/>
      <dgm:spPr/>
    </dgm:pt>
    <dgm:pt modelId="{B58B9C2B-73B6-4228-BAFE-CAEF61558C79}" type="pres">
      <dgm:prSet presAssocID="{17A8582D-93BB-45BC-A508-C4D9EC0B8F8C}" presName="Parent1" presStyleLbl="node1" presStyleIdx="0" presStyleCnt="6" custLinFactNeighborX="-21896">
        <dgm:presLayoutVars>
          <dgm:chMax val="1"/>
          <dgm:chPref val="1"/>
          <dgm:bulletEnabled val="1"/>
        </dgm:presLayoutVars>
      </dgm:prSet>
      <dgm:spPr/>
    </dgm:pt>
    <dgm:pt modelId="{E592FF53-3AED-4CE1-BD25-BA7AB2D5699A}" type="pres">
      <dgm:prSet presAssocID="{17A8582D-93BB-45BC-A508-C4D9EC0B8F8C}" presName="Childtext1" presStyleLbl="revTx" presStyleIdx="0" presStyleCnt="3" custLinFactNeighborX="-17068">
        <dgm:presLayoutVars>
          <dgm:chMax val="0"/>
          <dgm:chPref val="0"/>
          <dgm:bulletEnabled val="1"/>
        </dgm:presLayoutVars>
      </dgm:prSet>
      <dgm:spPr/>
    </dgm:pt>
    <dgm:pt modelId="{BCC8330A-B971-4F56-A6B7-F1082B93604E}" type="pres">
      <dgm:prSet presAssocID="{17A8582D-93BB-45BC-A508-C4D9EC0B8F8C}" presName="BalanceSpacing" presStyleCnt="0"/>
      <dgm:spPr/>
    </dgm:pt>
    <dgm:pt modelId="{47F48959-61A7-4D0A-ABBA-4897961B9FC7}" type="pres">
      <dgm:prSet presAssocID="{17A8582D-93BB-45BC-A508-C4D9EC0B8F8C}" presName="BalanceSpacing1" presStyleCnt="0"/>
      <dgm:spPr/>
    </dgm:pt>
    <dgm:pt modelId="{190DEF06-ABC2-4F74-BD00-C3D52FE54719}" type="pres">
      <dgm:prSet presAssocID="{F75F491B-538F-4E02-A936-1C410C65357C}" presName="Accent1Text" presStyleLbl="node1" presStyleIdx="1" presStyleCnt="6" custLinFactNeighborX="-21896"/>
      <dgm:spPr/>
    </dgm:pt>
    <dgm:pt modelId="{FD85B09A-F109-45D7-86EA-C9CC1F1816CC}" type="pres">
      <dgm:prSet presAssocID="{F75F491B-538F-4E02-A936-1C410C65357C}" presName="spaceBetweenRectangles" presStyleCnt="0"/>
      <dgm:spPr/>
    </dgm:pt>
    <dgm:pt modelId="{2D5C81B3-70E9-4667-AD72-C7048EC2E27E}" type="pres">
      <dgm:prSet presAssocID="{CBCD631F-95C2-4CCB-A7D1-0BA29DAEA43D}" presName="composite" presStyleCnt="0"/>
      <dgm:spPr/>
    </dgm:pt>
    <dgm:pt modelId="{F7695F88-5FE7-4204-ABD5-741117C7090F}" type="pres">
      <dgm:prSet presAssocID="{CBCD631F-95C2-4CCB-A7D1-0BA29DAEA43D}" presName="Parent1" presStyleLbl="node1" presStyleIdx="2" presStyleCnt="6" custLinFactNeighborX="87495" custLinFactNeighborY="-2799">
        <dgm:presLayoutVars>
          <dgm:chMax val="1"/>
          <dgm:chPref val="1"/>
          <dgm:bulletEnabled val="1"/>
        </dgm:presLayoutVars>
      </dgm:prSet>
      <dgm:spPr/>
    </dgm:pt>
    <dgm:pt modelId="{3ED45347-796E-4DDE-8DCC-C2D4333D6777}" type="pres">
      <dgm:prSet presAssocID="{CBCD631F-95C2-4CCB-A7D1-0BA29DAEA43D}" presName="Childtext1" presStyleLbl="revTx" presStyleIdx="1" presStyleCnt="3" custLinFactNeighborX="-17646">
        <dgm:presLayoutVars>
          <dgm:chMax val="0"/>
          <dgm:chPref val="0"/>
          <dgm:bulletEnabled val="1"/>
        </dgm:presLayoutVars>
      </dgm:prSet>
      <dgm:spPr/>
    </dgm:pt>
    <dgm:pt modelId="{FA119821-4725-4213-B4DF-7A18D2F3361F}" type="pres">
      <dgm:prSet presAssocID="{CBCD631F-95C2-4CCB-A7D1-0BA29DAEA43D}" presName="BalanceSpacing" presStyleCnt="0"/>
      <dgm:spPr/>
    </dgm:pt>
    <dgm:pt modelId="{92AF073E-D8AC-4CD4-82C9-1037F89E5439}" type="pres">
      <dgm:prSet presAssocID="{CBCD631F-95C2-4CCB-A7D1-0BA29DAEA43D}" presName="BalanceSpacing1" presStyleCnt="0"/>
      <dgm:spPr/>
    </dgm:pt>
    <dgm:pt modelId="{10703279-BA87-4A55-96BF-996CC06EE075}" type="pres">
      <dgm:prSet presAssocID="{D63219C3-3C5D-4313-A8DB-19CF2293038B}" presName="Accent1Text" presStyleLbl="node1" presStyleIdx="3" presStyleCnt="6" custLinFactNeighborX="34409" custLinFactNeighborY="-84950"/>
      <dgm:spPr/>
    </dgm:pt>
    <dgm:pt modelId="{89408763-66E6-4220-9CD6-D8E531F772BA}" type="pres">
      <dgm:prSet presAssocID="{D63219C3-3C5D-4313-A8DB-19CF2293038B}" presName="spaceBetweenRectangles" presStyleCnt="0"/>
      <dgm:spPr/>
    </dgm:pt>
    <dgm:pt modelId="{9EFA30E8-9FED-404A-9215-1A31EFE1EED8}" type="pres">
      <dgm:prSet presAssocID="{FD7FE4CA-9A24-4ED2-96D1-8103BB0245D2}" presName="composite" presStyleCnt="0"/>
      <dgm:spPr/>
    </dgm:pt>
    <dgm:pt modelId="{48B86818-9CC6-482A-AD5A-9A35BA84D659}" type="pres">
      <dgm:prSet presAssocID="{FD7FE4CA-9A24-4ED2-96D1-8103BB0245D2}" presName="Parent1" presStyleLbl="node1" presStyleIdx="4" presStyleCnt="6" custLinFactY="-69786" custLinFactNeighborX="88044" custLinFactNeighborY="-100000">
        <dgm:presLayoutVars>
          <dgm:chMax val="1"/>
          <dgm:chPref val="1"/>
          <dgm:bulletEnabled val="1"/>
        </dgm:presLayoutVars>
      </dgm:prSet>
      <dgm:spPr/>
    </dgm:pt>
    <dgm:pt modelId="{74BCE5CB-5313-4668-8C66-6304427F4191}" type="pres">
      <dgm:prSet presAssocID="{FD7FE4CA-9A24-4ED2-96D1-8103BB0245D2}" presName="Childtext1" presStyleLbl="revTx" presStyleIdx="2" presStyleCnt="3" custLinFactNeighborX="-17068">
        <dgm:presLayoutVars>
          <dgm:chMax val="0"/>
          <dgm:chPref val="0"/>
          <dgm:bulletEnabled val="1"/>
        </dgm:presLayoutVars>
      </dgm:prSet>
      <dgm:spPr/>
    </dgm:pt>
    <dgm:pt modelId="{AA94008F-3DFA-4F87-AF32-DB1C0E3B9902}" type="pres">
      <dgm:prSet presAssocID="{FD7FE4CA-9A24-4ED2-96D1-8103BB0245D2}" presName="BalanceSpacing" presStyleCnt="0"/>
      <dgm:spPr/>
    </dgm:pt>
    <dgm:pt modelId="{15AF72BF-5C8F-4635-A573-1A5A44BB1A05}" type="pres">
      <dgm:prSet presAssocID="{FD7FE4CA-9A24-4ED2-96D1-8103BB0245D2}" presName="BalanceSpacing1" presStyleCnt="0"/>
      <dgm:spPr/>
    </dgm:pt>
    <dgm:pt modelId="{F5D0E2A6-D4E1-42E3-9D2F-9FD4C17540DA}" type="pres">
      <dgm:prSet presAssocID="{A27C412D-388D-48A5-9F3F-C8055B9D50B9}" presName="Accent1Text" presStyleLbl="node1" presStyleIdx="5" presStyleCnt="6" custLinFactNeighborX="30413" custLinFactNeighborY="-86779"/>
      <dgm:spPr/>
    </dgm:pt>
  </dgm:ptLst>
  <dgm:cxnLst>
    <dgm:cxn modelId="{9C1E2201-DC53-4B80-A616-F2C2E7E59349}" type="presOf" srcId="{CBCD631F-95C2-4CCB-A7D1-0BA29DAEA43D}" destId="{F7695F88-5FE7-4204-ABD5-741117C7090F}" srcOrd="0" destOrd="0" presId="urn:microsoft.com/office/officeart/2008/layout/AlternatingHexagons"/>
    <dgm:cxn modelId="{CC8F580F-9982-4271-AEB8-F0A2CE88FA5E}" type="presOf" srcId="{A27C412D-388D-48A5-9F3F-C8055B9D50B9}" destId="{F5D0E2A6-D4E1-42E3-9D2F-9FD4C17540DA}" srcOrd="0" destOrd="0" presId="urn:microsoft.com/office/officeart/2008/layout/AlternatingHexagons"/>
    <dgm:cxn modelId="{CEF5FD6B-D5AD-4275-9CA3-B49272EF3AD5}" type="presOf" srcId="{93C03F0B-AD7D-4707-9A76-51F24CD632FD}" destId="{E592FF53-3AED-4CE1-BD25-BA7AB2D5699A}" srcOrd="0" destOrd="0" presId="urn:microsoft.com/office/officeart/2008/layout/AlternatingHexagons"/>
    <dgm:cxn modelId="{453E3953-F9DF-415B-A202-C2C69C7B4044}" type="presOf" srcId="{D63219C3-3C5D-4313-A8DB-19CF2293038B}" destId="{10703279-BA87-4A55-96BF-996CC06EE075}" srcOrd="0" destOrd="0" presId="urn:microsoft.com/office/officeart/2008/layout/AlternatingHexagons"/>
    <dgm:cxn modelId="{9C6AAD87-2C9C-48B1-BA13-3EE078001E3C}" srcId="{0C5FB30E-10E9-4243-B811-AA5BDBBF9A59}" destId="{17A8582D-93BB-45BC-A508-C4D9EC0B8F8C}" srcOrd="0" destOrd="0" parTransId="{5789826E-BE6C-4F74-931C-68D6A3843D2B}" sibTransId="{F75F491B-538F-4E02-A936-1C410C65357C}"/>
    <dgm:cxn modelId="{882130A7-3C4A-41BC-847D-1BCDF73BED3E}" type="presOf" srcId="{FD7FE4CA-9A24-4ED2-96D1-8103BB0245D2}" destId="{48B86818-9CC6-482A-AD5A-9A35BA84D659}" srcOrd="0" destOrd="0" presId="urn:microsoft.com/office/officeart/2008/layout/AlternatingHexagons"/>
    <dgm:cxn modelId="{B93C04AB-7CD8-442C-A1E5-60382FF299CA}" srcId="{0C5FB30E-10E9-4243-B811-AA5BDBBF9A59}" destId="{CBCD631F-95C2-4CCB-A7D1-0BA29DAEA43D}" srcOrd="1" destOrd="0" parTransId="{41A05120-035D-4193-AB66-56B9C56E3A32}" sibTransId="{D63219C3-3C5D-4313-A8DB-19CF2293038B}"/>
    <dgm:cxn modelId="{36C1A0B4-D90C-4505-A21F-9F73550CDDE4}" srcId="{0C5FB30E-10E9-4243-B811-AA5BDBBF9A59}" destId="{FD7FE4CA-9A24-4ED2-96D1-8103BB0245D2}" srcOrd="2" destOrd="0" parTransId="{25A1AFAE-7FDF-4B92-B79A-0501FDAF5744}" sibTransId="{A27C412D-388D-48A5-9F3F-C8055B9D50B9}"/>
    <dgm:cxn modelId="{DA9755D3-0A83-45A5-AE8F-528C6F9093A4}" srcId="{17A8582D-93BB-45BC-A508-C4D9EC0B8F8C}" destId="{93C03F0B-AD7D-4707-9A76-51F24CD632FD}" srcOrd="0" destOrd="0" parTransId="{2D6725E2-43E4-4A71-8983-4F902FA5ABF6}" sibTransId="{0AFEDEEE-B4EF-4771-B5B5-C9563B3C7D87}"/>
    <dgm:cxn modelId="{12E045DE-1CA7-406A-AF60-5062BB947DB5}" type="presOf" srcId="{17A8582D-93BB-45BC-A508-C4D9EC0B8F8C}" destId="{B58B9C2B-73B6-4228-BAFE-CAEF61558C79}" srcOrd="0" destOrd="0" presId="urn:microsoft.com/office/officeart/2008/layout/AlternatingHexagons"/>
    <dgm:cxn modelId="{75BCB9DE-30AC-4DD1-B976-472388086068}" type="presOf" srcId="{F75F491B-538F-4E02-A936-1C410C65357C}" destId="{190DEF06-ABC2-4F74-BD00-C3D52FE54719}" srcOrd="0" destOrd="0" presId="urn:microsoft.com/office/officeart/2008/layout/AlternatingHexagons"/>
    <dgm:cxn modelId="{95C9A1E9-94AE-4D22-9DF5-57963CEAEF23}" type="presOf" srcId="{0C5FB30E-10E9-4243-B811-AA5BDBBF9A59}" destId="{20586361-5603-4C8C-BEB4-F4F558FD4555}" srcOrd="0" destOrd="0" presId="urn:microsoft.com/office/officeart/2008/layout/AlternatingHexagons"/>
    <dgm:cxn modelId="{D82D2AA7-F669-4EAF-B167-8EBBE73DE513}" type="presParOf" srcId="{20586361-5603-4C8C-BEB4-F4F558FD4555}" destId="{AF607E73-9A2B-452F-913E-2A94877248C0}" srcOrd="0" destOrd="0" presId="urn:microsoft.com/office/officeart/2008/layout/AlternatingHexagons"/>
    <dgm:cxn modelId="{8EB292E1-378F-42B2-9B13-BEE67ACD9077}" type="presParOf" srcId="{AF607E73-9A2B-452F-913E-2A94877248C0}" destId="{B58B9C2B-73B6-4228-BAFE-CAEF61558C79}" srcOrd="0" destOrd="0" presId="urn:microsoft.com/office/officeart/2008/layout/AlternatingHexagons"/>
    <dgm:cxn modelId="{481C6AD4-C2AA-4F32-8B9B-7B5FB5F71E0C}" type="presParOf" srcId="{AF607E73-9A2B-452F-913E-2A94877248C0}" destId="{E592FF53-3AED-4CE1-BD25-BA7AB2D5699A}" srcOrd="1" destOrd="0" presId="urn:microsoft.com/office/officeart/2008/layout/AlternatingHexagons"/>
    <dgm:cxn modelId="{BF967650-6CEF-4D3E-82AC-C49815F9B773}" type="presParOf" srcId="{AF607E73-9A2B-452F-913E-2A94877248C0}" destId="{BCC8330A-B971-4F56-A6B7-F1082B93604E}" srcOrd="2" destOrd="0" presId="urn:microsoft.com/office/officeart/2008/layout/AlternatingHexagons"/>
    <dgm:cxn modelId="{6603CA73-3B79-44B9-83CD-77EC2BDFD637}" type="presParOf" srcId="{AF607E73-9A2B-452F-913E-2A94877248C0}" destId="{47F48959-61A7-4D0A-ABBA-4897961B9FC7}" srcOrd="3" destOrd="0" presId="urn:microsoft.com/office/officeart/2008/layout/AlternatingHexagons"/>
    <dgm:cxn modelId="{67375829-D265-44C5-8E61-241344CBA6E1}" type="presParOf" srcId="{AF607E73-9A2B-452F-913E-2A94877248C0}" destId="{190DEF06-ABC2-4F74-BD00-C3D52FE54719}" srcOrd="4" destOrd="0" presId="urn:microsoft.com/office/officeart/2008/layout/AlternatingHexagons"/>
    <dgm:cxn modelId="{A5926377-9141-43D8-BFF1-C50941DED7C6}" type="presParOf" srcId="{20586361-5603-4C8C-BEB4-F4F558FD4555}" destId="{FD85B09A-F109-45D7-86EA-C9CC1F1816CC}" srcOrd="1" destOrd="0" presId="urn:microsoft.com/office/officeart/2008/layout/AlternatingHexagons"/>
    <dgm:cxn modelId="{4CC82FCD-A9B5-4CAB-853A-3B3EBC03ACDD}" type="presParOf" srcId="{20586361-5603-4C8C-BEB4-F4F558FD4555}" destId="{2D5C81B3-70E9-4667-AD72-C7048EC2E27E}" srcOrd="2" destOrd="0" presId="urn:microsoft.com/office/officeart/2008/layout/AlternatingHexagons"/>
    <dgm:cxn modelId="{3A6D8178-E8A0-4DBD-B491-5A4B1C56941A}" type="presParOf" srcId="{2D5C81B3-70E9-4667-AD72-C7048EC2E27E}" destId="{F7695F88-5FE7-4204-ABD5-741117C7090F}" srcOrd="0" destOrd="0" presId="urn:microsoft.com/office/officeart/2008/layout/AlternatingHexagons"/>
    <dgm:cxn modelId="{50C4852A-8F3A-4719-A46F-9CFA1A152BC7}" type="presParOf" srcId="{2D5C81B3-70E9-4667-AD72-C7048EC2E27E}" destId="{3ED45347-796E-4DDE-8DCC-C2D4333D6777}" srcOrd="1" destOrd="0" presId="urn:microsoft.com/office/officeart/2008/layout/AlternatingHexagons"/>
    <dgm:cxn modelId="{E1E77FFE-B86C-4593-ACAB-86E00599CC81}" type="presParOf" srcId="{2D5C81B3-70E9-4667-AD72-C7048EC2E27E}" destId="{FA119821-4725-4213-B4DF-7A18D2F3361F}" srcOrd="2" destOrd="0" presId="urn:microsoft.com/office/officeart/2008/layout/AlternatingHexagons"/>
    <dgm:cxn modelId="{E30C6103-03B5-4B99-ADE6-CCFCAC6852D2}" type="presParOf" srcId="{2D5C81B3-70E9-4667-AD72-C7048EC2E27E}" destId="{92AF073E-D8AC-4CD4-82C9-1037F89E5439}" srcOrd="3" destOrd="0" presId="urn:microsoft.com/office/officeart/2008/layout/AlternatingHexagons"/>
    <dgm:cxn modelId="{E7B26F47-CDF0-4D82-AB38-69E796D9DF63}" type="presParOf" srcId="{2D5C81B3-70E9-4667-AD72-C7048EC2E27E}" destId="{10703279-BA87-4A55-96BF-996CC06EE075}" srcOrd="4" destOrd="0" presId="urn:microsoft.com/office/officeart/2008/layout/AlternatingHexagons"/>
    <dgm:cxn modelId="{C387989F-4477-4A48-8594-A9899D653DB2}" type="presParOf" srcId="{20586361-5603-4C8C-BEB4-F4F558FD4555}" destId="{89408763-66E6-4220-9CD6-D8E531F772BA}" srcOrd="3" destOrd="0" presId="urn:microsoft.com/office/officeart/2008/layout/AlternatingHexagons"/>
    <dgm:cxn modelId="{BED6570A-C0FF-47CC-A24D-4C4253209B5D}" type="presParOf" srcId="{20586361-5603-4C8C-BEB4-F4F558FD4555}" destId="{9EFA30E8-9FED-404A-9215-1A31EFE1EED8}" srcOrd="4" destOrd="0" presId="urn:microsoft.com/office/officeart/2008/layout/AlternatingHexagons"/>
    <dgm:cxn modelId="{3CB8A16F-8954-432C-9C7C-28BE4C616D4A}" type="presParOf" srcId="{9EFA30E8-9FED-404A-9215-1A31EFE1EED8}" destId="{48B86818-9CC6-482A-AD5A-9A35BA84D659}" srcOrd="0" destOrd="0" presId="urn:microsoft.com/office/officeart/2008/layout/AlternatingHexagons"/>
    <dgm:cxn modelId="{5E636D61-9A22-432F-90AC-C2E606BBA664}" type="presParOf" srcId="{9EFA30E8-9FED-404A-9215-1A31EFE1EED8}" destId="{74BCE5CB-5313-4668-8C66-6304427F4191}" srcOrd="1" destOrd="0" presId="urn:microsoft.com/office/officeart/2008/layout/AlternatingHexagons"/>
    <dgm:cxn modelId="{D5070F5A-CF86-4E41-997A-A4A3AFD78D06}" type="presParOf" srcId="{9EFA30E8-9FED-404A-9215-1A31EFE1EED8}" destId="{AA94008F-3DFA-4F87-AF32-DB1C0E3B9902}" srcOrd="2" destOrd="0" presId="urn:microsoft.com/office/officeart/2008/layout/AlternatingHexagons"/>
    <dgm:cxn modelId="{8AE50612-0985-4D80-932D-07F2AFF30332}" type="presParOf" srcId="{9EFA30E8-9FED-404A-9215-1A31EFE1EED8}" destId="{15AF72BF-5C8F-4635-A573-1A5A44BB1A05}" srcOrd="3" destOrd="0" presId="urn:microsoft.com/office/officeart/2008/layout/AlternatingHexagons"/>
    <dgm:cxn modelId="{CF44C100-6DC5-4EE3-BC32-0F6C12C35955}" type="presParOf" srcId="{9EFA30E8-9FED-404A-9215-1A31EFE1EED8}" destId="{F5D0E2A6-D4E1-42E3-9D2F-9FD4C17540DA}" srcOrd="4" destOrd="0" presId="urn:microsoft.com/office/officeart/2008/layout/AlternatingHexagon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5FB30E-10E9-4243-B811-AA5BDBBF9A59}" type="doc">
      <dgm:prSet loTypeId="urn:microsoft.com/office/officeart/2008/layout/AlternatingHexagons" loCatId="list" qsTypeId="urn:microsoft.com/office/officeart/2005/8/quickstyle/simple1" qsCatId="simple" csTypeId="urn:microsoft.com/office/officeart/2005/8/colors/accent1_3" csCatId="accent1" phldr="1"/>
      <dgm:spPr/>
      <dgm:t>
        <a:bodyPr/>
        <a:lstStyle/>
        <a:p>
          <a:endParaRPr lang="sk-SK"/>
        </a:p>
      </dgm:t>
    </dgm:pt>
    <dgm:pt modelId="{17A8582D-93BB-45BC-A508-C4D9EC0B8F8C}">
      <dgm:prSet phldrT="[Text]" custT="1"/>
      <dgm:spPr/>
      <dgm:t>
        <a:bodyPr/>
        <a:lstStyle/>
        <a:p>
          <a:r>
            <a:rPr lang="en-US" sz="1200"/>
            <a:t>centrálný </a:t>
          </a:r>
          <a:r>
            <a:rPr lang="en-US" sz="900"/>
            <a:t>portál</a:t>
          </a:r>
          <a:endParaRPr lang="sk-SK" sz="900"/>
        </a:p>
      </dgm:t>
    </dgm:pt>
    <dgm:pt modelId="{5789826E-BE6C-4F74-931C-68D6A3843D2B}" type="parTrans" cxnId="{9C6AAD87-2C9C-48B1-BA13-3EE078001E3C}">
      <dgm:prSet/>
      <dgm:spPr/>
      <dgm:t>
        <a:bodyPr/>
        <a:lstStyle/>
        <a:p>
          <a:endParaRPr lang="sk-SK"/>
        </a:p>
      </dgm:t>
    </dgm:pt>
    <dgm:pt modelId="{F75F491B-538F-4E02-A936-1C410C65357C}" type="sibTrans" cxnId="{9C6AAD87-2C9C-48B1-BA13-3EE078001E3C}">
      <dgm:prSet custT="1"/>
      <dgm:spPr/>
      <dgm:t>
        <a:bodyPr/>
        <a:lstStyle/>
        <a:p>
          <a:r>
            <a:rPr lang="en-US" sz="1000"/>
            <a:t>jednotný dizajn webov</a:t>
          </a:r>
          <a:endParaRPr lang="sk-SK" sz="1000"/>
        </a:p>
      </dgm:t>
    </dgm:pt>
    <dgm:pt modelId="{93C03F0B-AD7D-4707-9A76-51F24CD632FD}">
      <dgm:prSet phldrT="[Text]" phldr="1"/>
      <dgm:spPr/>
      <dgm:t>
        <a:bodyPr/>
        <a:lstStyle/>
        <a:p>
          <a:endParaRPr lang="sk-SK"/>
        </a:p>
      </dgm:t>
    </dgm:pt>
    <dgm:pt modelId="{2D6725E2-43E4-4A71-8983-4F902FA5ABF6}" type="parTrans" cxnId="{DA9755D3-0A83-45A5-AE8F-528C6F9093A4}">
      <dgm:prSet/>
      <dgm:spPr/>
      <dgm:t>
        <a:bodyPr/>
        <a:lstStyle/>
        <a:p>
          <a:endParaRPr lang="sk-SK"/>
        </a:p>
      </dgm:t>
    </dgm:pt>
    <dgm:pt modelId="{0AFEDEEE-B4EF-4771-B5B5-C9563B3C7D87}" type="sibTrans" cxnId="{DA9755D3-0A83-45A5-AE8F-528C6F9093A4}">
      <dgm:prSet/>
      <dgm:spPr/>
      <dgm:t>
        <a:bodyPr/>
        <a:lstStyle/>
        <a:p>
          <a:endParaRPr lang="sk-SK"/>
        </a:p>
      </dgm:t>
    </dgm:pt>
    <dgm:pt modelId="{FD7FE4CA-9A24-4ED2-96D1-8103BB0245D2}">
      <dgm:prSet phldrT="[Text]" custT="1"/>
      <dgm:spPr/>
      <dgm:t>
        <a:bodyPr/>
        <a:lstStyle/>
        <a:p>
          <a:r>
            <a:rPr lang="en-US" sz="1200"/>
            <a:t>rýchle</a:t>
          </a:r>
          <a:r>
            <a:rPr lang="en-US" sz="700"/>
            <a:t> vyhľadávanie</a:t>
          </a:r>
          <a:endParaRPr lang="sk-SK" sz="1000"/>
        </a:p>
      </dgm:t>
    </dgm:pt>
    <dgm:pt modelId="{25A1AFAE-7FDF-4B92-B79A-0501FDAF5744}" type="parTrans" cxnId="{36C1A0B4-D90C-4505-A21F-9F73550CDDE4}">
      <dgm:prSet/>
      <dgm:spPr/>
      <dgm:t>
        <a:bodyPr/>
        <a:lstStyle/>
        <a:p>
          <a:endParaRPr lang="sk-SK"/>
        </a:p>
      </dgm:t>
    </dgm:pt>
    <dgm:pt modelId="{A27C412D-388D-48A5-9F3F-C8055B9D50B9}" type="sibTrans" cxnId="{36C1A0B4-D90C-4505-A21F-9F73550CDDE4}">
      <dgm:prSet custT="1"/>
      <dgm:spPr/>
      <dgm:t>
        <a:bodyPr/>
        <a:lstStyle/>
        <a:p>
          <a:r>
            <a:rPr lang="en-US" sz="900"/>
            <a:t>zrozumiteľná navigácia</a:t>
          </a:r>
          <a:endParaRPr lang="sk-SK" sz="900"/>
        </a:p>
      </dgm:t>
    </dgm:pt>
    <dgm:pt modelId="{CBCD631F-95C2-4CCB-A7D1-0BA29DAEA43D}">
      <dgm:prSet phldrT="[Text]" custT="1"/>
      <dgm:spPr/>
      <dgm:t>
        <a:bodyPr/>
        <a:lstStyle/>
        <a:p>
          <a:r>
            <a:rPr lang="en-US" sz="1200"/>
            <a:t>dostupný</a:t>
          </a:r>
          <a:r>
            <a:rPr lang="en-US" sz="800"/>
            <a:t> z preferovaných zariadení</a:t>
          </a:r>
          <a:endParaRPr lang="sk-SK" sz="800"/>
        </a:p>
      </dgm:t>
    </dgm:pt>
    <dgm:pt modelId="{D63219C3-3C5D-4313-A8DB-19CF2293038B}" type="sibTrans" cxnId="{B93C04AB-7CD8-442C-A1E5-60382FF299CA}">
      <dgm:prSet/>
      <dgm:spPr/>
      <dgm:t>
        <a:bodyPr/>
        <a:lstStyle/>
        <a:p>
          <a:endParaRPr lang="sk-SK"/>
        </a:p>
      </dgm:t>
    </dgm:pt>
    <dgm:pt modelId="{41A05120-035D-4193-AB66-56B9C56E3A32}" type="parTrans" cxnId="{B93C04AB-7CD8-442C-A1E5-60382FF299CA}">
      <dgm:prSet/>
      <dgm:spPr/>
      <dgm:t>
        <a:bodyPr/>
        <a:lstStyle/>
        <a:p>
          <a:endParaRPr lang="sk-SK"/>
        </a:p>
      </dgm:t>
    </dgm:pt>
    <dgm:pt modelId="{20586361-5603-4C8C-BEB4-F4F558FD4555}" type="pres">
      <dgm:prSet presAssocID="{0C5FB30E-10E9-4243-B811-AA5BDBBF9A59}" presName="Name0" presStyleCnt="0">
        <dgm:presLayoutVars>
          <dgm:chMax/>
          <dgm:chPref/>
          <dgm:dir/>
          <dgm:animLvl val="lvl"/>
        </dgm:presLayoutVars>
      </dgm:prSet>
      <dgm:spPr/>
    </dgm:pt>
    <dgm:pt modelId="{AF607E73-9A2B-452F-913E-2A94877248C0}" type="pres">
      <dgm:prSet presAssocID="{17A8582D-93BB-45BC-A508-C4D9EC0B8F8C}" presName="composite" presStyleCnt="0"/>
      <dgm:spPr/>
    </dgm:pt>
    <dgm:pt modelId="{B58B9C2B-73B6-4228-BAFE-CAEF61558C79}" type="pres">
      <dgm:prSet presAssocID="{17A8582D-93BB-45BC-A508-C4D9EC0B8F8C}" presName="Parent1" presStyleLbl="node1" presStyleIdx="0" presStyleCnt="6" custLinFactNeighborX="-27800" custLinFactNeighborY="605">
        <dgm:presLayoutVars>
          <dgm:chMax val="1"/>
          <dgm:chPref val="1"/>
          <dgm:bulletEnabled val="1"/>
        </dgm:presLayoutVars>
      </dgm:prSet>
      <dgm:spPr/>
    </dgm:pt>
    <dgm:pt modelId="{E592FF53-3AED-4CE1-BD25-BA7AB2D5699A}" type="pres">
      <dgm:prSet presAssocID="{17A8582D-93BB-45BC-A508-C4D9EC0B8F8C}" presName="Childtext1" presStyleLbl="revTx" presStyleIdx="0" presStyleCnt="3" custLinFactNeighborX="-21672" custLinFactNeighborY="1008">
        <dgm:presLayoutVars>
          <dgm:chMax val="0"/>
          <dgm:chPref val="0"/>
          <dgm:bulletEnabled val="1"/>
        </dgm:presLayoutVars>
      </dgm:prSet>
      <dgm:spPr/>
    </dgm:pt>
    <dgm:pt modelId="{BCC8330A-B971-4F56-A6B7-F1082B93604E}" type="pres">
      <dgm:prSet presAssocID="{17A8582D-93BB-45BC-A508-C4D9EC0B8F8C}" presName="BalanceSpacing" presStyleCnt="0"/>
      <dgm:spPr/>
    </dgm:pt>
    <dgm:pt modelId="{47F48959-61A7-4D0A-ABBA-4897961B9FC7}" type="pres">
      <dgm:prSet presAssocID="{17A8582D-93BB-45BC-A508-C4D9EC0B8F8C}" presName="BalanceSpacing1" presStyleCnt="0"/>
      <dgm:spPr/>
    </dgm:pt>
    <dgm:pt modelId="{190DEF06-ABC2-4F74-BD00-C3D52FE54719}" type="pres">
      <dgm:prSet presAssocID="{F75F491B-538F-4E02-A936-1C410C65357C}" presName="Accent1Text" presStyleLbl="node1" presStyleIdx="1" presStyleCnt="6" custLinFactNeighborX="-27800" custLinFactNeighborY="605"/>
      <dgm:spPr/>
    </dgm:pt>
    <dgm:pt modelId="{FD85B09A-F109-45D7-86EA-C9CC1F1816CC}" type="pres">
      <dgm:prSet presAssocID="{F75F491B-538F-4E02-A936-1C410C65357C}" presName="spaceBetweenRectangles" presStyleCnt="0"/>
      <dgm:spPr/>
    </dgm:pt>
    <dgm:pt modelId="{2D5C81B3-70E9-4667-AD72-C7048EC2E27E}" type="pres">
      <dgm:prSet presAssocID="{CBCD631F-95C2-4CCB-A7D1-0BA29DAEA43D}" presName="composite" presStyleCnt="0"/>
      <dgm:spPr/>
    </dgm:pt>
    <dgm:pt modelId="{F7695F88-5FE7-4204-ABD5-741117C7090F}" type="pres">
      <dgm:prSet presAssocID="{CBCD631F-95C2-4CCB-A7D1-0BA29DAEA43D}" presName="Parent1" presStyleLbl="node1" presStyleIdx="2" presStyleCnt="6" custScaleX="106305" custLinFactNeighborX="81591" custLinFactNeighborY="-2194">
        <dgm:presLayoutVars>
          <dgm:chMax val="1"/>
          <dgm:chPref val="1"/>
          <dgm:bulletEnabled val="1"/>
        </dgm:presLayoutVars>
      </dgm:prSet>
      <dgm:spPr/>
    </dgm:pt>
    <dgm:pt modelId="{3ED45347-796E-4DDE-8DCC-C2D4333D6777}" type="pres">
      <dgm:prSet presAssocID="{CBCD631F-95C2-4CCB-A7D1-0BA29DAEA43D}" presName="Childtext1" presStyleLbl="revTx" presStyleIdx="1" presStyleCnt="3" custLinFactNeighborX="-22398" custLinFactNeighborY="1008">
        <dgm:presLayoutVars>
          <dgm:chMax val="0"/>
          <dgm:chPref val="0"/>
          <dgm:bulletEnabled val="1"/>
        </dgm:presLayoutVars>
      </dgm:prSet>
      <dgm:spPr/>
    </dgm:pt>
    <dgm:pt modelId="{FA119821-4725-4213-B4DF-7A18D2F3361F}" type="pres">
      <dgm:prSet presAssocID="{CBCD631F-95C2-4CCB-A7D1-0BA29DAEA43D}" presName="BalanceSpacing" presStyleCnt="0"/>
      <dgm:spPr/>
    </dgm:pt>
    <dgm:pt modelId="{92AF073E-D8AC-4CD4-82C9-1037F89E5439}" type="pres">
      <dgm:prSet presAssocID="{CBCD631F-95C2-4CCB-A7D1-0BA29DAEA43D}" presName="BalanceSpacing1" presStyleCnt="0"/>
      <dgm:spPr/>
    </dgm:pt>
    <dgm:pt modelId="{10703279-BA87-4A55-96BF-996CC06EE075}" type="pres">
      <dgm:prSet presAssocID="{D63219C3-3C5D-4313-A8DB-19CF2293038B}" presName="Accent1Text" presStyleLbl="node1" presStyleIdx="3" presStyleCnt="6" custLinFactNeighborX="28505" custLinFactNeighborY="-84306"/>
      <dgm:spPr/>
    </dgm:pt>
    <dgm:pt modelId="{89408763-66E6-4220-9CD6-D8E531F772BA}" type="pres">
      <dgm:prSet presAssocID="{D63219C3-3C5D-4313-A8DB-19CF2293038B}" presName="spaceBetweenRectangles" presStyleCnt="0"/>
      <dgm:spPr/>
    </dgm:pt>
    <dgm:pt modelId="{9EFA30E8-9FED-404A-9215-1A31EFE1EED8}" type="pres">
      <dgm:prSet presAssocID="{FD7FE4CA-9A24-4ED2-96D1-8103BB0245D2}" presName="composite" presStyleCnt="0"/>
      <dgm:spPr/>
    </dgm:pt>
    <dgm:pt modelId="{48B86818-9CC6-482A-AD5A-9A35BA84D659}" type="pres">
      <dgm:prSet presAssocID="{FD7FE4CA-9A24-4ED2-96D1-8103BB0245D2}" presName="Parent1" presStyleLbl="node1" presStyleIdx="4" presStyleCnt="6" custLinFactY="-69181" custLinFactNeighborX="82140" custLinFactNeighborY="-100000">
        <dgm:presLayoutVars>
          <dgm:chMax val="1"/>
          <dgm:chPref val="1"/>
          <dgm:bulletEnabled val="1"/>
        </dgm:presLayoutVars>
      </dgm:prSet>
      <dgm:spPr/>
    </dgm:pt>
    <dgm:pt modelId="{74BCE5CB-5313-4668-8C66-6304427F4191}" type="pres">
      <dgm:prSet presAssocID="{FD7FE4CA-9A24-4ED2-96D1-8103BB0245D2}" presName="Childtext1" presStyleLbl="revTx" presStyleIdx="2" presStyleCnt="3" custLinFactY="-42107" custLinFactNeighborX="17341" custLinFactNeighborY="-100000">
        <dgm:presLayoutVars>
          <dgm:chMax val="0"/>
          <dgm:chPref val="0"/>
          <dgm:bulletEnabled val="1"/>
        </dgm:presLayoutVars>
      </dgm:prSet>
      <dgm:spPr/>
    </dgm:pt>
    <dgm:pt modelId="{AA94008F-3DFA-4F87-AF32-DB1C0E3B9902}" type="pres">
      <dgm:prSet presAssocID="{FD7FE4CA-9A24-4ED2-96D1-8103BB0245D2}" presName="BalanceSpacing" presStyleCnt="0"/>
      <dgm:spPr/>
    </dgm:pt>
    <dgm:pt modelId="{15AF72BF-5C8F-4635-A573-1A5A44BB1A05}" type="pres">
      <dgm:prSet presAssocID="{FD7FE4CA-9A24-4ED2-96D1-8103BB0245D2}" presName="BalanceSpacing1" presStyleCnt="0"/>
      <dgm:spPr/>
    </dgm:pt>
    <dgm:pt modelId="{F5D0E2A6-D4E1-42E3-9D2F-9FD4C17540DA}" type="pres">
      <dgm:prSet presAssocID="{A27C412D-388D-48A5-9F3F-C8055B9D50B9}" presName="Accent1Text" presStyleLbl="node1" presStyleIdx="5" presStyleCnt="6" custScaleX="103868" custLinFactNeighborX="24509" custLinFactNeighborY="-86174"/>
      <dgm:spPr/>
    </dgm:pt>
  </dgm:ptLst>
  <dgm:cxnLst>
    <dgm:cxn modelId="{2F4ECE18-3080-4947-BFAB-15F4E250E66D}" type="presOf" srcId="{17A8582D-93BB-45BC-A508-C4D9EC0B8F8C}" destId="{B58B9C2B-73B6-4228-BAFE-CAEF61558C79}" srcOrd="0" destOrd="0" presId="urn:microsoft.com/office/officeart/2008/layout/AlternatingHexagons"/>
    <dgm:cxn modelId="{F37BE158-5346-4275-9B8F-1B61D81324EC}" type="presOf" srcId="{D63219C3-3C5D-4313-A8DB-19CF2293038B}" destId="{10703279-BA87-4A55-96BF-996CC06EE075}" srcOrd="0" destOrd="0" presId="urn:microsoft.com/office/officeart/2008/layout/AlternatingHexagons"/>
    <dgm:cxn modelId="{9C6AAD87-2C9C-48B1-BA13-3EE078001E3C}" srcId="{0C5FB30E-10E9-4243-B811-AA5BDBBF9A59}" destId="{17A8582D-93BB-45BC-A508-C4D9EC0B8F8C}" srcOrd="0" destOrd="0" parTransId="{5789826E-BE6C-4F74-931C-68D6A3843D2B}" sibTransId="{F75F491B-538F-4E02-A936-1C410C65357C}"/>
    <dgm:cxn modelId="{91FF8089-160E-4BE0-8632-04ABDEF346FD}" type="presOf" srcId="{93C03F0B-AD7D-4707-9A76-51F24CD632FD}" destId="{E592FF53-3AED-4CE1-BD25-BA7AB2D5699A}" srcOrd="0" destOrd="0" presId="urn:microsoft.com/office/officeart/2008/layout/AlternatingHexagons"/>
    <dgm:cxn modelId="{E71D668B-A2C1-4221-9484-8E66C6EF86BE}" type="presOf" srcId="{F75F491B-538F-4E02-A936-1C410C65357C}" destId="{190DEF06-ABC2-4F74-BD00-C3D52FE54719}" srcOrd="0" destOrd="0" presId="urn:microsoft.com/office/officeart/2008/layout/AlternatingHexagons"/>
    <dgm:cxn modelId="{B93C04AB-7CD8-442C-A1E5-60382FF299CA}" srcId="{0C5FB30E-10E9-4243-B811-AA5BDBBF9A59}" destId="{CBCD631F-95C2-4CCB-A7D1-0BA29DAEA43D}" srcOrd="1" destOrd="0" parTransId="{41A05120-035D-4193-AB66-56B9C56E3A32}" sibTransId="{D63219C3-3C5D-4313-A8DB-19CF2293038B}"/>
    <dgm:cxn modelId="{36C1A0B4-D90C-4505-A21F-9F73550CDDE4}" srcId="{0C5FB30E-10E9-4243-B811-AA5BDBBF9A59}" destId="{FD7FE4CA-9A24-4ED2-96D1-8103BB0245D2}" srcOrd="2" destOrd="0" parTransId="{25A1AFAE-7FDF-4B92-B79A-0501FDAF5744}" sibTransId="{A27C412D-388D-48A5-9F3F-C8055B9D50B9}"/>
    <dgm:cxn modelId="{34C370B5-7916-4C17-B8CF-7F86FE10E852}" type="presOf" srcId="{FD7FE4CA-9A24-4ED2-96D1-8103BB0245D2}" destId="{48B86818-9CC6-482A-AD5A-9A35BA84D659}" srcOrd="0" destOrd="0" presId="urn:microsoft.com/office/officeart/2008/layout/AlternatingHexagons"/>
    <dgm:cxn modelId="{DA9755D3-0A83-45A5-AE8F-528C6F9093A4}" srcId="{17A8582D-93BB-45BC-A508-C4D9EC0B8F8C}" destId="{93C03F0B-AD7D-4707-9A76-51F24CD632FD}" srcOrd="0" destOrd="0" parTransId="{2D6725E2-43E4-4A71-8983-4F902FA5ABF6}" sibTransId="{0AFEDEEE-B4EF-4771-B5B5-C9563B3C7D87}"/>
    <dgm:cxn modelId="{57C401EA-32EA-4B7B-A12F-A51941EBE023}" type="presOf" srcId="{CBCD631F-95C2-4CCB-A7D1-0BA29DAEA43D}" destId="{F7695F88-5FE7-4204-ABD5-741117C7090F}" srcOrd="0" destOrd="0" presId="urn:microsoft.com/office/officeart/2008/layout/AlternatingHexagons"/>
    <dgm:cxn modelId="{9BAE9EF3-DE74-4E2B-B012-A8A74096C31B}" type="presOf" srcId="{0C5FB30E-10E9-4243-B811-AA5BDBBF9A59}" destId="{20586361-5603-4C8C-BEB4-F4F558FD4555}" srcOrd="0" destOrd="0" presId="urn:microsoft.com/office/officeart/2008/layout/AlternatingHexagons"/>
    <dgm:cxn modelId="{C812D3FA-D6C1-4286-9EAA-4EBEF46822AD}" type="presOf" srcId="{A27C412D-388D-48A5-9F3F-C8055B9D50B9}" destId="{F5D0E2A6-D4E1-42E3-9D2F-9FD4C17540DA}" srcOrd="0" destOrd="0" presId="urn:microsoft.com/office/officeart/2008/layout/AlternatingHexagons"/>
    <dgm:cxn modelId="{966B83A1-5F5C-42BE-9A19-E3D6F55825E4}" type="presParOf" srcId="{20586361-5603-4C8C-BEB4-F4F558FD4555}" destId="{AF607E73-9A2B-452F-913E-2A94877248C0}" srcOrd="0" destOrd="0" presId="urn:microsoft.com/office/officeart/2008/layout/AlternatingHexagons"/>
    <dgm:cxn modelId="{4CBFC2D4-9CFF-44EE-BDC2-86A5BF315A66}" type="presParOf" srcId="{AF607E73-9A2B-452F-913E-2A94877248C0}" destId="{B58B9C2B-73B6-4228-BAFE-CAEF61558C79}" srcOrd="0" destOrd="0" presId="urn:microsoft.com/office/officeart/2008/layout/AlternatingHexagons"/>
    <dgm:cxn modelId="{AC987781-6444-4AF6-AFF2-2F2D0F3ADE66}" type="presParOf" srcId="{AF607E73-9A2B-452F-913E-2A94877248C0}" destId="{E592FF53-3AED-4CE1-BD25-BA7AB2D5699A}" srcOrd="1" destOrd="0" presId="urn:microsoft.com/office/officeart/2008/layout/AlternatingHexagons"/>
    <dgm:cxn modelId="{C7A198E8-89B3-4E98-ABD8-34E53F197150}" type="presParOf" srcId="{AF607E73-9A2B-452F-913E-2A94877248C0}" destId="{BCC8330A-B971-4F56-A6B7-F1082B93604E}" srcOrd="2" destOrd="0" presId="urn:microsoft.com/office/officeart/2008/layout/AlternatingHexagons"/>
    <dgm:cxn modelId="{C32A39B6-D64A-463F-ACAB-CFD7DBD17517}" type="presParOf" srcId="{AF607E73-9A2B-452F-913E-2A94877248C0}" destId="{47F48959-61A7-4D0A-ABBA-4897961B9FC7}" srcOrd="3" destOrd="0" presId="urn:microsoft.com/office/officeart/2008/layout/AlternatingHexagons"/>
    <dgm:cxn modelId="{55EAB699-A649-477A-92BF-76B9337DF1CD}" type="presParOf" srcId="{AF607E73-9A2B-452F-913E-2A94877248C0}" destId="{190DEF06-ABC2-4F74-BD00-C3D52FE54719}" srcOrd="4" destOrd="0" presId="urn:microsoft.com/office/officeart/2008/layout/AlternatingHexagons"/>
    <dgm:cxn modelId="{DB6B09D5-2879-4F3D-AB12-380F4E34AF6A}" type="presParOf" srcId="{20586361-5603-4C8C-BEB4-F4F558FD4555}" destId="{FD85B09A-F109-45D7-86EA-C9CC1F1816CC}" srcOrd="1" destOrd="0" presId="urn:microsoft.com/office/officeart/2008/layout/AlternatingHexagons"/>
    <dgm:cxn modelId="{134B4CC5-95EF-4A6E-96AF-6D64B805BB68}" type="presParOf" srcId="{20586361-5603-4C8C-BEB4-F4F558FD4555}" destId="{2D5C81B3-70E9-4667-AD72-C7048EC2E27E}" srcOrd="2" destOrd="0" presId="urn:microsoft.com/office/officeart/2008/layout/AlternatingHexagons"/>
    <dgm:cxn modelId="{FB9E7B17-470A-46A1-9051-BE508FD2051F}" type="presParOf" srcId="{2D5C81B3-70E9-4667-AD72-C7048EC2E27E}" destId="{F7695F88-5FE7-4204-ABD5-741117C7090F}" srcOrd="0" destOrd="0" presId="urn:microsoft.com/office/officeart/2008/layout/AlternatingHexagons"/>
    <dgm:cxn modelId="{3EB28539-97D8-4D61-8523-BBCFF6D4DB60}" type="presParOf" srcId="{2D5C81B3-70E9-4667-AD72-C7048EC2E27E}" destId="{3ED45347-796E-4DDE-8DCC-C2D4333D6777}" srcOrd="1" destOrd="0" presId="urn:microsoft.com/office/officeart/2008/layout/AlternatingHexagons"/>
    <dgm:cxn modelId="{EDA09181-375E-4951-8C00-A53344F301F8}" type="presParOf" srcId="{2D5C81B3-70E9-4667-AD72-C7048EC2E27E}" destId="{FA119821-4725-4213-B4DF-7A18D2F3361F}" srcOrd="2" destOrd="0" presId="urn:microsoft.com/office/officeart/2008/layout/AlternatingHexagons"/>
    <dgm:cxn modelId="{AB14E49B-0540-49B2-ADF9-EB86BBF27F0D}" type="presParOf" srcId="{2D5C81B3-70E9-4667-AD72-C7048EC2E27E}" destId="{92AF073E-D8AC-4CD4-82C9-1037F89E5439}" srcOrd="3" destOrd="0" presId="urn:microsoft.com/office/officeart/2008/layout/AlternatingHexagons"/>
    <dgm:cxn modelId="{320F95FD-E288-49D0-8774-7FEF0F6FDBD0}" type="presParOf" srcId="{2D5C81B3-70E9-4667-AD72-C7048EC2E27E}" destId="{10703279-BA87-4A55-96BF-996CC06EE075}" srcOrd="4" destOrd="0" presId="urn:microsoft.com/office/officeart/2008/layout/AlternatingHexagons"/>
    <dgm:cxn modelId="{B6811C2D-BE6E-4B6E-8475-855786E7235F}" type="presParOf" srcId="{20586361-5603-4C8C-BEB4-F4F558FD4555}" destId="{89408763-66E6-4220-9CD6-D8E531F772BA}" srcOrd="3" destOrd="0" presId="urn:microsoft.com/office/officeart/2008/layout/AlternatingHexagons"/>
    <dgm:cxn modelId="{1E0395A1-12D7-4C11-85FF-834423C223F7}" type="presParOf" srcId="{20586361-5603-4C8C-BEB4-F4F558FD4555}" destId="{9EFA30E8-9FED-404A-9215-1A31EFE1EED8}" srcOrd="4" destOrd="0" presId="urn:microsoft.com/office/officeart/2008/layout/AlternatingHexagons"/>
    <dgm:cxn modelId="{18360FEA-DC8D-4EC1-ABC9-A53DB30C0187}" type="presParOf" srcId="{9EFA30E8-9FED-404A-9215-1A31EFE1EED8}" destId="{48B86818-9CC6-482A-AD5A-9A35BA84D659}" srcOrd="0" destOrd="0" presId="urn:microsoft.com/office/officeart/2008/layout/AlternatingHexagons"/>
    <dgm:cxn modelId="{D7E24ADD-1465-429C-BE9E-D8BE167CE938}" type="presParOf" srcId="{9EFA30E8-9FED-404A-9215-1A31EFE1EED8}" destId="{74BCE5CB-5313-4668-8C66-6304427F4191}" srcOrd="1" destOrd="0" presId="urn:microsoft.com/office/officeart/2008/layout/AlternatingHexagons"/>
    <dgm:cxn modelId="{09BB39B8-5075-49FF-9B75-8E6367BAC60F}" type="presParOf" srcId="{9EFA30E8-9FED-404A-9215-1A31EFE1EED8}" destId="{AA94008F-3DFA-4F87-AF32-DB1C0E3B9902}" srcOrd="2" destOrd="0" presId="urn:microsoft.com/office/officeart/2008/layout/AlternatingHexagons"/>
    <dgm:cxn modelId="{1235B5B5-9A4B-44C0-BBDE-EA8096925AB8}" type="presParOf" srcId="{9EFA30E8-9FED-404A-9215-1A31EFE1EED8}" destId="{15AF72BF-5C8F-4635-A573-1A5A44BB1A05}" srcOrd="3" destOrd="0" presId="urn:microsoft.com/office/officeart/2008/layout/AlternatingHexagons"/>
    <dgm:cxn modelId="{13A32BAE-1B43-4F28-9192-1F81F8F91B67}" type="presParOf" srcId="{9EFA30E8-9FED-404A-9215-1A31EFE1EED8}" destId="{F5D0E2A6-D4E1-42E3-9D2F-9FD4C17540DA}" srcOrd="4" destOrd="0" presId="urn:microsoft.com/office/officeart/2008/layout/AlternatingHexagon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B9C2B-73B6-4228-BAFE-CAEF61558C79}">
      <dsp:nvSpPr>
        <dsp:cNvPr id="0" name=""/>
        <dsp:cNvSpPr/>
      </dsp:nvSpPr>
      <dsp:spPr>
        <a:xfrm rot="5400000">
          <a:off x="2485994" y="60335"/>
          <a:ext cx="927199" cy="806663"/>
        </a:xfrm>
        <a:prstGeom prst="hexagon">
          <a:avLst>
            <a:gd name="adj" fmla="val 25000"/>
            <a:gd name="vf" fmla="val 11547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kvalitný </a:t>
          </a:r>
          <a:r>
            <a:rPr lang="en-US" sz="1200" kern="1200"/>
            <a:t>dizajn</a:t>
          </a:r>
          <a:endParaRPr lang="sk-SK" sz="1200" kern="1200"/>
        </a:p>
      </dsp:txBody>
      <dsp:txXfrm rot="-5400000">
        <a:off x="2671967" y="144557"/>
        <a:ext cx="555253" cy="638222"/>
      </dsp:txXfrm>
    </dsp:sp>
    <dsp:sp modelId="{E592FF53-3AED-4CE1-BD25-BA7AB2D5699A}">
      <dsp:nvSpPr>
        <dsp:cNvPr id="0" name=""/>
        <dsp:cNvSpPr/>
      </dsp:nvSpPr>
      <dsp:spPr>
        <a:xfrm>
          <a:off x="3377404" y="185507"/>
          <a:ext cx="1034754" cy="556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l" defTabSz="1111250">
            <a:lnSpc>
              <a:spcPct val="90000"/>
            </a:lnSpc>
            <a:spcBef>
              <a:spcPct val="0"/>
            </a:spcBef>
            <a:spcAft>
              <a:spcPct val="35000"/>
            </a:spcAft>
            <a:buNone/>
          </a:pPr>
          <a:endParaRPr lang="sk-SK" sz="2500" kern="1200"/>
        </a:p>
      </dsp:txBody>
      <dsp:txXfrm>
        <a:off x="3377404" y="185507"/>
        <a:ext cx="1034754" cy="556319"/>
      </dsp:txXfrm>
    </dsp:sp>
    <dsp:sp modelId="{190DEF06-ABC2-4F74-BD00-C3D52FE54719}">
      <dsp:nvSpPr>
        <dsp:cNvPr id="0" name=""/>
        <dsp:cNvSpPr/>
      </dsp:nvSpPr>
      <dsp:spPr>
        <a:xfrm rot="5400000">
          <a:off x="1614798" y="60335"/>
          <a:ext cx="927199" cy="806663"/>
        </a:xfrm>
        <a:prstGeom prst="hexagon">
          <a:avLst>
            <a:gd name="adj" fmla="val 25000"/>
            <a:gd name="vf" fmla="val 115470"/>
          </a:avLst>
        </a:prstGeom>
        <a:solidFill>
          <a:schemeClr val="accent1">
            <a:shade val="80000"/>
            <a:hueOff val="43749"/>
            <a:satOff val="-627"/>
            <a:lumOff val="36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t>minimálny počet úkonov</a:t>
          </a:r>
          <a:endParaRPr lang="sk-SK" sz="1000" kern="1200"/>
        </a:p>
      </dsp:txBody>
      <dsp:txXfrm rot="-5400000">
        <a:off x="1800771" y="144557"/>
        <a:ext cx="555253" cy="638222"/>
      </dsp:txXfrm>
    </dsp:sp>
    <dsp:sp modelId="{F7695F88-5FE7-4204-ABD5-741117C7090F}">
      <dsp:nvSpPr>
        <dsp:cNvPr id="0" name=""/>
        <dsp:cNvSpPr/>
      </dsp:nvSpPr>
      <dsp:spPr>
        <a:xfrm rot="5400000">
          <a:off x="2048727" y="847341"/>
          <a:ext cx="927199" cy="806663"/>
        </a:xfrm>
        <a:prstGeom prst="hexagon">
          <a:avLst>
            <a:gd name="adj" fmla="val 25000"/>
            <a:gd name="vf" fmla="val 115470"/>
          </a:avLst>
        </a:prstGeom>
        <a:solidFill>
          <a:schemeClr val="accent1">
            <a:shade val="80000"/>
            <a:hueOff val="87499"/>
            <a:satOff val="-1255"/>
            <a:lumOff val="73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priebežné </a:t>
          </a:r>
          <a:r>
            <a:rPr lang="en-US" sz="1000" kern="1200"/>
            <a:t>info o stave</a:t>
          </a:r>
          <a:endParaRPr lang="sk-SK" sz="1000" kern="1200"/>
        </a:p>
      </dsp:txBody>
      <dsp:txXfrm rot="-5400000">
        <a:off x="2234700" y="931563"/>
        <a:ext cx="555253" cy="638222"/>
      </dsp:txXfrm>
    </dsp:sp>
    <dsp:sp modelId="{3ED45347-796E-4DDE-8DCC-C2D4333D6777}">
      <dsp:nvSpPr>
        <dsp:cNvPr id="0" name=""/>
        <dsp:cNvSpPr/>
      </dsp:nvSpPr>
      <dsp:spPr>
        <a:xfrm>
          <a:off x="1074241" y="972513"/>
          <a:ext cx="1001375" cy="556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r" defTabSz="1111250">
            <a:lnSpc>
              <a:spcPct val="90000"/>
            </a:lnSpc>
            <a:spcBef>
              <a:spcPct val="0"/>
            </a:spcBef>
            <a:spcAft>
              <a:spcPct val="35000"/>
            </a:spcAft>
            <a:buNone/>
          </a:pPr>
          <a:endParaRPr lang="sk-SK" sz="2500" kern="1200"/>
        </a:p>
      </dsp:txBody>
      <dsp:txXfrm>
        <a:off x="1074241" y="972513"/>
        <a:ext cx="1001375" cy="556319"/>
      </dsp:txXfrm>
    </dsp:sp>
    <dsp:sp modelId="{10703279-BA87-4A55-96BF-996CC06EE075}">
      <dsp:nvSpPr>
        <dsp:cNvPr id="0" name=""/>
        <dsp:cNvSpPr/>
      </dsp:nvSpPr>
      <dsp:spPr>
        <a:xfrm rot="5400000">
          <a:off x="2919924" y="847341"/>
          <a:ext cx="927199" cy="806663"/>
        </a:xfrm>
        <a:prstGeom prst="hexagon">
          <a:avLst>
            <a:gd name="adj" fmla="val 25000"/>
            <a:gd name="vf" fmla="val 115470"/>
          </a:avLst>
        </a:prstGeom>
        <a:solidFill>
          <a:schemeClr val="accent1">
            <a:shade val="80000"/>
            <a:hueOff val="131248"/>
            <a:satOff val="-1882"/>
            <a:lumOff val="109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kern="1200"/>
            <a:t>dostupné</a:t>
          </a:r>
          <a:endParaRPr lang="sk-SK" sz="1100" kern="1200"/>
        </a:p>
      </dsp:txBody>
      <dsp:txXfrm rot="-5400000">
        <a:off x="3105897" y="931563"/>
        <a:ext cx="555253" cy="638222"/>
      </dsp:txXfrm>
    </dsp:sp>
    <dsp:sp modelId="{48B86818-9CC6-482A-AD5A-9A35BA84D659}">
      <dsp:nvSpPr>
        <dsp:cNvPr id="0" name=""/>
        <dsp:cNvSpPr/>
      </dsp:nvSpPr>
      <dsp:spPr>
        <a:xfrm rot="5400000">
          <a:off x="3372840" y="60267"/>
          <a:ext cx="927199" cy="806663"/>
        </a:xfrm>
        <a:prstGeom prst="hexagon">
          <a:avLst>
            <a:gd name="adj" fmla="val 25000"/>
            <a:gd name="vf" fmla="val 115470"/>
          </a:avLst>
        </a:prstGeom>
        <a:solidFill>
          <a:schemeClr val="accent1">
            <a:shade val="80000"/>
            <a:hueOff val="174998"/>
            <a:satOff val="-2510"/>
            <a:lumOff val="146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zrozumiteĺná </a:t>
          </a:r>
          <a:r>
            <a:rPr lang="en-US" sz="1000" kern="1200"/>
            <a:t>navigácia</a:t>
          </a:r>
          <a:endParaRPr lang="sk-SK" sz="1000" kern="1200"/>
        </a:p>
      </dsp:txBody>
      <dsp:txXfrm rot="-5400000">
        <a:off x="3558813" y="144489"/>
        <a:ext cx="555253" cy="638222"/>
      </dsp:txXfrm>
    </dsp:sp>
    <dsp:sp modelId="{74BCE5CB-5313-4668-8C66-6304427F4191}">
      <dsp:nvSpPr>
        <dsp:cNvPr id="0" name=""/>
        <dsp:cNvSpPr/>
      </dsp:nvSpPr>
      <dsp:spPr>
        <a:xfrm>
          <a:off x="4267986" y="192657"/>
          <a:ext cx="1034754" cy="556319"/>
        </a:xfrm>
        <a:prstGeom prst="rect">
          <a:avLst/>
        </a:prstGeom>
        <a:noFill/>
        <a:ln>
          <a:noFill/>
        </a:ln>
        <a:effectLst/>
      </dsp:spPr>
      <dsp:style>
        <a:lnRef idx="0">
          <a:scrgbClr r="0" g="0" b="0"/>
        </a:lnRef>
        <a:fillRef idx="0">
          <a:scrgbClr r="0" g="0" b="0"/>
        </a:fillRef>
        <a:effectRef idx="0">
          <a:scrgbClr r="0" g="0" b="0"/>
        </a:effectRef>
        <a:fontRef idx="minor"/>
      </dsp:style>
    </dsp:sp>
    <dsp:sp modelId="{F5D0E2A6-D4E1-42E3-9D2F-9FD4C17540DA}">
      <dsp:nvSpPr>
        <dsp:cNvPr id="0" name=""/>
        <dsp:cNvSpPr/>
      </dsp:nvSpPr>
      <dsp:spPr>
        <a:xfrm rot="5400000">
          <a:off x="1184613" y="860016"/>
          <a:ext cx="927199" cy="806663"/>
        </a:xfrm>
        <a:prstGeom prst="hexagon">
          <a:avLst>
            <a:gd name="adj" fmla="val 25000"/>
            <a:gd name="vf" fmla="val 115470"/>
          </a:avLst>
        </a:prstGeom>
        <a:solidFill>
          <a:schemeClr val="accent1">
            <a:shade val="80000"/>
            <a:hueOff val="218747"/>
            <a:satOff val="-3137"/>
            <a:lumOff val="182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kern="1200"/>
            <a:t>online platba </a:t>
          </a:r>
          <a:r>
            <a:rPr lang="en-US" sz="900" kern="1200"/>
            <a:t>jednoducho</a:t>
          </a:r>
          <a:endParaRPr lang="sk-SK" sz="900" kern="1200"/>
        </a:p>
      </dsp:txBody>
      <dsp:txXfrm rot="-5400000">
        <a:off x="1370586" y="944238"/>
        <a:ext cx="555253" cy="638222"/>
      </dsp:txXfrm>
    </dsp:sp>
    <dsp:sp modelId="{DF6236E6-92CB-46F1-92AE-E2534A549EC3}">
      <dsp:nvSpPr>
        <dsp:cNvPr id="0" name=""/>
        <dsp:cNvSpPr/>
      </dsp:nvSpPr>
      <dsp:spPr>
        <a:xfrm rot="5400000">
          <a:off x="2935573" y="847100"/>
          <a:ext cx="927199" cy="806663"/>
        </a:xfrm>
        <a:prstGeom prst="hexagon">
          <a:avLst>
            <a:gd name="adj" fmla="val 25000"/>
            <a:gd name="vf" fmla="val 115470"/>
          </a:avLst>
        </a:prstGeom>
        <a:solidFill>
          <a:schemeClr val="accent1">
            <a:shade val="80000"/>
            <a:hueOff val="262496"/>
            <a:satOff val="-3765"/>
            <a:lumOff val="219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dostupné cez </a:t>
          </a:r>
          <a:r>
            <a:rPr lang="en-US" sz="1400" kern="1200"/>
            <a:t>mobil</a:t>
          </a:r>
          <a:endParaRPr lang="sk-SK" sz="1400" kern="1200"/>
        </a:p>
      </dsp:txBody>
      <dsp:txXfrm rot="-5400000">
        <a:off x="3121546" y="931322"/>
        <a:ext cx="555253" cy="638222"/>
      </dsp:txXfrm>
    </dsp:sp>
    <dsp:sp modelId="{4869664B-2A14-4FA2-9232-DE24E7C953D5}">
      <dsp:nvSpPr>
        <dsp:cNvPr id="0" name=""/>
        <dsp:cNvSpPr/>
      </dsp:nvSpPr>
      <dsp:spPr>
        <a:xfrm>
          <a:off x="640856" y="198614"/>
          <a:ext cx="1001375" cy="556319"/>
        </a:xfrm>
        <a:prstGeom prst="rect">
          <a:avLst/>
        </a:prstGeom>
        <a:noFill/>
        <a:ln>
          <a:noFill/>
        </a:ln>
        <a:effectLst/>
      </dsp:spPr>
      <dsp:style>
        <a:lnRef idx="0">
          <a:scrgbClr r="0" g="0" b="0"/>
        </a:lnRef>
        <a:fillRef idx="0">
          <a:scrgbClr r="0" g="0" b="0"/>
        </a:fillRef>
        <a:effectRef idx="0">
          <a:scrgbClr r="0" g="0" b="0"/>
        </a:effectRef>
        <a:fontRef idx="minor"/>
      </dsp:style>
    </dsp:sp>
    <dsp:sp modelId="{3AAD9551-3FE2-4FFB-89B4-5E51FD569FED}">
      <dsp:nvSpPr>
        <dsp:cNvPr id="0" name=""/>
        <dsp:cNvSpPr/>
      </dsp:nvSpPr>
      <dsp:spPr>
        <a:xfrm rot="5400000">
          <a:off x="3801599" y="833248"/>
          <a:ext cx="927199" cy="806663"/>
        </a:xfrm>
        <a:prstGeom prst="hexagon">
          <a:avLst>
            <a:gd name="adj" fmla="val 25000"/>
            <a:gd name="vf" fmla="val 11547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US" sz="1600" kern="1200"/>
            <a:t>spätná väzba</a:t>
          </a:r>
          <a:endParaRPr lang="sk-SK" sz="1600" kern="1200"/>
        </a:p>
      </dsp:txBody>
      <dsp:txXfrm rot="-5400000">
        <a:off x="3987572" y="917470"/>
        <a:ext cx="555253" cy="6382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B9C2B-73B6-4228-BAFE-CAEF61558C79}">
      <dsp:nvSpPr>
        <dsp:cNvPr id="0" name=""/>
        <dsp:cNvSpPr/>
      </dsp:nvSpPr>
      <dsp:spPr>
        <a:xfrm rot="5400000">
          <a:off x="2319881" y="80051"/>
          <a:ext cx="1218229" cy="1059859"/>
        </a:xfrm>
        <a:prstGeom prst="hexagon">
          <a:avLst>
            <a:gd name="adj" fmla="val 25000"/>
            <a:gd name="vf" fmla="val 11547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občan dostane virtuálnu podporu chatbot</a:t>
          </a:r>
          <a:endParaRPr lang="sk-SK" sz="900" kern="1200"/>
        </a:p>
      </dsp:txBody>
      <dsp:txXfrm rot="-5400000">
        <a:off x="2564227" y="190707"/>
        <a:ext cx="729537" cy="838547"/>
      </dsp:txXfrm>
    </dsp:sp>
    <dsp:sp modelId="{E592FF53-3AED-4CE1-BD25-BA7AB2D5699A}">
      <dsp:nvSpPr>
        <dsp:cNvPr id="0" name=""/>
        <dsp:cNvSpPr/>
      </dsp:nvSpPr>
      <dsp:spPr>
        <a:xfrm>
          <a:off x="3491106" y="244512"/>
          <a:ext cx="1359544" cy="730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5730" tIns="125730" rIns="125730" bIns="125730" numCol="1" spcCol="1270" anchor="ctr" anchorCtr="0">
          <a:noAutofit/>
        </a:bodyPr>
        <a:lstStyle/>
        <a:p>
          <a:pPr marL="0" lvl="0" indent="0" algn="l" defTabSz="1466850">
            <a:lnSpc>
              <a:spcPct val="90000"/>
            </a:lnSpc>
            <a:spcBef>
              <a:spcPct val="0"/>
            </a:spcBef>
            <a:spcAft>
              <a:spcPct val="35000"/>
            </a:spcAft>
            <a:buNone/>
          </a:pPr>
          <a:endParaRPr lang="sk-SK" sz="3300" kern="1200"/>
        </a:p>
      </dsp:txBody>
      <dsp:txXfrm>
        <a:off x="3491106" y="244512"/>
        <a:ext cx="1359544" cy="730937"/>
      </dsp:txXfrm>
    </dsp:sp>
    <dsp:sp modelId="{190DEF06-ABC2-4F74-BD00-C3D52FE54719}">
      <dsp:nvSpPr>
        <dsp:cNvPr id="0" name=""/>
        <dsp:cNvSpPr/>
      </dsp:nvSpPr>
      <dsp:spPr>
        <a:xfrm rot="5400000">
          <a:off x="1175232" y="80051"/>
          <a:ext cx="1218229" cy="1059859"/>
        </a:xfrm>
        <a:prstGeom prst="hexagon">
          <a:avLst>
            <a:gd name="adj" fmla="val 25000"/>
            <a:gd name="vf" fmla="val 115470"/>
          </a:avLst>
        </a:prstGeom>
        <a:solidFill>
          <a:schemeClr val="accent1">
            <a:shade val="80000"/>
            <a:hueOff val="61249"/>
            <a:satOff val="-878"/>
            <a:lumOff val="51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t>občan vybaví sám</a:t>
          </a:r>
          <a:endParaRPr lang="sk-SK" sz="1000" kern="1200"/>
        </a:p>
      </dsp:txBody>
      <dsp:txXfrm rot="-5400000">
        <a:off x="1419578" y="190707"/>
        <a:ext cx="729537" cy="838547"/>
      </dsp:txXfrm>
    </dsp:sp>
    <dsp:sp modelId="{F7695F88-5FE7-4204-ABD5-741117C7090F}">
      <dsp:nvSpPr>
        <dsp:cNvPr id="0" name=""/>
        <dsp:cNvSpPr/>
      </dsp:nvSpPr>
      <dsp:spPr>
        <a:xfrm rot="5400000">
          <a:off x="2904755" y="1079986"/>
          <a:ext cx="1218229" cy="1059859"/>
        </a:xfrm>
        <a:prstGeom prst="hexagon">
          <a:avLst>
            <a:gd name="adj" fmla="val 25000"/>
            <a:gd name="vf" fmla="val 115470"/>
          </a:avLst>
        </a:prstGeom>
        <a:solidFill>
          <a:schemeClr val="accent1">
            <a:shade val="80000"/>
            <a:hueOff val="122498"/>
            <a:satOff val="-1757"/>
            <a:lumOff val="102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interaktívna </a:t>
          </a:r>
          <a:r>
            <a:rPr lang="en-US" sz="800" kern="1200"/>
            <a:t>navigácia</a:t>
          </a:r>
          <a:endParaRPr lang="sk-SK" sz="1000" kern="1200"/>
        </a:p>
      </dsp:txBody>
      <dsp:txXfrm rot="-5400000">
        <a:off x="3149101" y="1190642"/>
        <a:ext cx="729537" cy="838547"/>
      </dsp:txXfrm>
    </dsp:sp>
    <dsp:sp modelId="{3ED45347-796E-4DDE-8DCC-C2D4333D6777}">
      <dsp:nvSpPr>
        <dsp:cNvPr id="0" name=""/>
        <dsp:cNvSpPr/>
      </dsp:nvSpPr>
      <dsp:spPr>
        <a:xfrm>
          <a:off x="464905" y="1278546"/>
          <a:ext cx="1315687" cy="730937"/>
        </a:xfrm>
        <a:prstGeom prst="rect">
          <a:avLst/>
        </a:prstGeom>
        <a:noFill/>
        <a:ln>
          <a:noFill/>
        </a:ln>
        <a:effectLst/>
      </dsp:spPr>
      <dsp:style>
        <a:lnRef idx="0">
          <a:scrgbClr r="0" g="0" b="0"/>
        </a:lnRef>
        <a:fillRef idx="0">
          <a:scrgbClr r="0" g="0" b="0"/>
        </a:fillRef>
        <a:effectRef idx="0">
          <a:scrgbClr r="0" g="0" b="0"/>
        </a:effectRef>
        <a:fontRef idx="minor"/>
      </dsp:style>
    </dsp:sp>
    <dsp:sp modelId="{10703279-BA87-4A55-96BF-996CC06EE075}">
      <dsp:nvSpPr>
        <dsp:cNvPr id="0" name=""/>
        <dsp:cNvSpPr/>
      </dsp:nvSpPr>
      <dsp:spPr>
        <a:xfrm rot="5400000">
          <a:off x="3486766" y="79199"/>
          <a:ext cx="1218229" cy="1059859"/>
        </a:xfrm>
        <a:prstGeom prst="hexagon">
          <a:avLst>
            <a:gd name="adj" fmla="val 25000"/>
            <a:gd name="vf" fmla="val 115470"/>
          </a:avLst>
        </a:prstGeom>
        <a:solidFill>
          <a:schemeClr val="accent1">
            <a:shade val="80000"/>
            <a:hueOff val="183747"/>
            <a:satOff val="-2635"/>
            <a:lumOff val="15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sk-SK" sz="3600" kern="1200"/>
        </a:p>
      </dsp:txBody>
      <dsp:txXfrm rot="-5400000">
        <a:off x="3731112" y="189855"/>
        <a:ext cx="729537" cy="838547"/>
      </dsp:txXfrm>
    </dsp:sp>
    <dsp:sp modelId="{48B86818-9CC6-482A-AD5A-9A35BA84D659}">
      <dsp:nvSpPr>
        <dsp:cNvPr id="0" name=""/>
        <dsp:cNvSpPr/>
      </dsp:nvSpPr>
      <dsp:spPr>
        <a:xfrm rot="5400000">
          <a:off x="3485090" y="79735"/>
          <a:ext cx="1218229" cy="1059859"/>
        </a:xfrm>
        <a:prstGeom prst="hexagon">
          <a:avLst>
            <a:gd name="adj" fmla="val 25000"/>
            <a:gd name="vf" fmla="val 115470"/>
          </a:avLst>
        </a:prstGeom>
        <a:solidFill>
          <a:schemeClr val="accent1">
            <a:shade val="80000"/>
            <a:hueOff val="244997"/>
            <a:satOff val="-3514"/>
            <a:lumOff val="204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k-SK" sz="1200" kern="1200"/>
            <a:t>asist</a:t>
          </a:r>
          <a:r>
            <a:rPr lang="en-US" sz="1200" kern="1200"/>
            <a:t>encia </a:t>
          </a:r>
          <a:r>
            <a:rPr lang="en-US" sz="900" kern="1200"/>
            <a:t>komplexná podpora</a:t>
          </a:r>
          <a:endParaRPr lang="sk-SK" sz="900" kern="1200"/>
        </a:p>
      </dsp:txBody>
      <dsp:txXfrm rot="-5400000">
        <a:off x="3729436" y="190391"/>
        <a:ext cx="729537" cy="838547"/>
      </dsp:txXfrm>
    </dsp:sp>
    <dsp:sp modelId="{74BCE5CB-5313-4668-8C66-6304427F4191}">
      <dsp:nvSpPr>
        <dsp:cNvPr id="0" name=""/>
        <dsp:cNvSpPr/>
      </dsp:nvSpPr>
      <dsp:spPr>
        <a:xfrm>
          <a:off x="3491106" y="2312579"/>
          <a:ext cx="1359544" cy="730937"/>
        </a:xfrm>
        <a:prstGeom prst="rect">
          <a:avLst/>
        </a:prstGeom>
        <a:noFill/>
        <a:ln>
          <a:noFill/>
        </a:ln>
        <a:effectLst/>
      </dsp:spPr>
      <dsp:style>
        <a:lnRef idx="0">
          <a:scrgbClr r="0" g="0" b="0"/>
        </a:lnRef>
        <a:fillRef idx="0">
          <a:scrgbClr r="0" g="0" b="0"/>
        </a:fillRef>
        <a:effectRef idx="0">
          <a:scrgbClr r="0" g="0" b="0"/>
        </a:effectRef>
        <a:fontRef idx="minor"/>
      </dsp:style>
    </dsp:sp>
    <dsp:sp modelId="{F5D0E2A6-D4E1-42E3-9D2F-9FD4C17540DA}">
      <dsp:nvSpPr>
        <dsp:cNvPr id="0" name=""/>
        <dsp:cNvSpPr/>
      </dsp:nvSpPr>
      <dsp:spPr>
        <a:xfrm rot="5400000">
          <a:off x="1729634" y="1090950"/>
          <a:ext cx="1218229" cy="1059859"/>
        </a:xfrm>
        <a:prstGeom prst="hexagon">
          <a:avLst>
            <a:gd name="adj" fmla="val 25000"/>
            <a:gd name="vf" fmla="val 11547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t>neustála online pomoc</a:t>
          </a:r>
          <a:endParaRPr lang="sk-SK" sz="900" kern="1200"/>
        </a:p>
      </dsp:txBody>
      <dsp:txXfrm rot="-5400000">
        <a:off x="1973980" y="1201606"/>
        <a:ext cx="729537" cy="8385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B9C2B-73B6-4228-BAFE-CAEF61558C79}">
      <dsp:nvSpPr>
        <dsp:cNvPr id="0" name=""/>
        <dsp:cNvSpPr/>
      </dsp:nvSpPr>
      <dsp:spPr>
        <a:xfrm rot="5400000">
          <a:off x="2331231" y="80537"/>
          <a:ext cx="1128448" cy="981750"/>
        </a:xfrm>
        <a:prstGeom prst="hexagon">
          <a:avLst>
            <a:gd name="adj" fmla="val 25000"/>
            <a:gd name="vf" fmla="val 11547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centrálný </a:t>
          </a:r>
          <a:r>
            <a:rPr lang="en-US" sz="900" kern="1200"/>
            <a:t>portál</a:t>
          </a:r>
          <a:endParaRPr lang="sk-SK" sz="900" kern="1200"/>
        </a:p>
      </dsp:txBody>
      <dsp:txXfrm rot="-5400000">
        <a:off x="2557569" y="183038"/>
        <a:ext cx="675772" cy="776748"/>
      </dsp:txXfrm>
    </dsp:sp>
    <dsp:sp modelId="{E592FF53-3AED-4CE1-BD25-BA7AB2D5699A}">
      <dsp:nvSpPr>
        <dsp:cNvPr id="0" name=""/>
        <dsp:cNvSpPr/>
      </dsp:nvSpPr>
      <dsp:spPr>
        <a:xfrm>
          <a:off x="3416122" y="232875"/>
          <a:ext cx="1259348" cy="6770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8110" tIns="118110" rIns="118110" bIns="118110" numCol="1" spcCol="1270" anchor="ctr" anchorCtr="0">
          <a:noAutofit/>
        </a:bodyPr>
        <a:lstStyle/>
        <a:p>
          <a:pPr marL="0" lvl="0" indent="0" algn="l" defTabSz="1377950">
            <a:lnSpc>
              <a:spcPct val="90000"/>
            </a:lnSpc>
            <a:spcBef>
              <a:spcPct val="0"/>
            </a:spcBef>
            <a:spcAft>
              <a:spcPct val="35000"/>
            </a:spcAft>
            <a:buNone/>
          </a:pPr>
          <a:endParaRPr lang="sk-SK" sz="3100" kern="1200"/>
        </a:p>
      </dsp:txBody>
      <dsp:txXfrm>
        <a:off x="3416122" y="232875"/>
        <a:ext cx="1259348" cy="677069"/>
      </dsp:txXfrm>
    </dsp:sp>
    <dsp:sp modelId="{190DEF06-ABC2-4F74-BD00-C3D52FE54719}">
      <dsp:nvSpPr>
        <dsp:cNvPr id="0" name=""/>
        <dsp:cNvSpPr/>
      </dsp:nvSpPr>
      <dsp:spPr>
        <a:xfrm rot="5400000">
          <a:off x="1270941" y="80537"/>
          <a:ext cx="1128448" cy="981750"/>
        </a:xfrm>
        <a:prstGeom prst="hexagon">
          <a:avLst>
            <a:gd name="adj" fmla="val 25000"/>
            <a:gd name="vf" fmla="val 115470"/>
          </a:avLst>
        </a:prstGeom>
        <a:solidFill>
          <a:schemeClr val="accent1">
            <a:shade val="80000"/>
            <a:hueOff val="61249"/>
            <a:satOff val="-878"/>
            <a:lumOff val="51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t>jednotný dizajn webov</a:t>
          </a:r>
          <a:endParaRPr lang="sk-SK" sz="1000" kern="1200"/>
        </a:p>
      </dsp:txBody>
      <dsp:txXfrm rot="-5400000">
        <a:off x="1497279" y="183038"/>
        <a:ext cx="675772" cy="776748"/>
      </dsp:txXfrm>
    </dsp:sp>
    <dsp:sp modelId="{F7695F88-5FE7-4204-ABD5-741117C7090F}">
      <dsp:nvSpPr>
        <dsp:cNvPr id="0" name=""/>
        <dsp:cNvSpPr/>
      </dsp:nvSpPr>
      <dsp:spPr>
        <a:xfrm rot="5400000">
          <a:off x="2873001" y="975829"/>
          <a:ext cx="1128448" cy="1043649"/>
        </a:xfrm>
        <a:prstGeom prst="hexagon">
          <a:avLst>
            <a:gd name="adj" fmla="val 25000"/>
            <a:gd name="vf" fmla="val 115470"/>
          </a:avLst>
        </a:prstGeom>
        <a:solidFill>
          <a:schemeClr val="accent1">
            <a:shade val="80000"/>
            <a:hueOff val="122498"/>
            <a:satOff val="-1757"/>
            <a:lumOff val="102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dostupný</a:t>
          </a:r>
          <a:r>
            <a:rPr lang="en-US" sz="800" kern="1200"/>
            <a:t> z preferovaných zariadení</a:t>
          </a:r>
          <a:endParaRPr lang="sk-SK" sz="800" kern="1200"/>
        </a:p>
      </dsp:txBody>
      <dsp:txXfrm rot="-5400000">
        <a:off x="3082806" y="1114438"/>
        <a:ext cx="708837" cy="766432"/>
      </dsp:txXfrm>
    </dsp:sp>
    <dsp:sp modelId="{3ED45347-796E-4DDE-8DCC-C2D4333D6777}">
      <dsp:nvSpPr>
        <dsp:cNvPr id="0" name=""/>
        <dsp:cNvSpPr/>
      </dsp:nvSpPr>
      <dsp:spPr>
        <a:xfrm>
          <a:off x="613012" y="1190702"/>
          <a:ext cx="1218724" cy="677069"/>
        </a:xfrm>
        <a:prstGeom prst="rect">
          <a:avLst/>
        </a:prstGeom>
        <a:noFill/>
        <a:ln>
          <a:noFill/>
        </a:ln>
        <a:effectLst/>
      </dsp:spPr>
      <dsp:style>
        <a:lnRef idx="0">
          <a:scrgbClr r="0" g="0" b="0"/>
        </a:lnRef>
        <a:fillRef idx="0">
          <a:scrgbClr r="0" g="0" b="0"/>
        </a:fillRef>
        <a:effectRef idx="0">
          <a:scrgbClr r="0" g="0" b="0"/>
        </a:effectRef>
        <a:fontRef idx="minor"/>
      </dsp:style>
    </dsp:sp>
    <dsp:sp modelId="{10703279-BA87-4A55-96BF-996CC06EE075}">
      <dsp:nvSpPr>
        <dsp:cNvPr id="0" name=""/>
        <dsp:cNvSpPr/>
      </dsp:nvSpPr>
      <dsp:spPr>
        <a:xfrm rot="5400000">
          <a:off x="3412120" y="80187"/>
          <a:ext cx="1128448" cy="981750"/>
        </a:xfrm>
        <a:prstGeom prst="hexagon">
          <a:avLst>
            <a:gd name="adj" fmla="val 25000"/>
            <a:gd name="vf" fmla="val 115470"/>
          </a:avLst>
        </a:prstGeom>
        <a:solidFill>
          <a:schemeClr val="accent1">
            <a:shade val="80000"/>
            <a:hueOff val="183747"/>
            <a:satOff val="-2635"/>
            <a:lumOff val="15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sk-SK" sz="3600" kern="1200"/>
        </a:p>
      </dsp:txBody>
      <dsp:txXfrm rot="-5400000">
        <a:off x="3638458" y="182688"/>
        <a:ext cx="675772" cy="776748"/>
      </dsp:txXfrm>
    </dsp:sp>
    <dsp:sp modelId="{48B86818-9CC6-482A-AD5A-9A35BA84D659}">
      <dsp:nvSpPr>
        <dsp:cNvPr id="0" name=""/>
        <dsp:cNvSpPr/>
      </dsp:nvSpPr>
      <dsp:spPr>
        <a:xfrm rot="5400000">
          <a:off x="3410568" y="80243"/>
          <a:ext cx="1128448" cy="981750"/>
        </a:xfrm>
        <a:prstGeom prst="hexagon">
          <a:avLst>
            <a:gd name="adj" fmla="val 25000"/>
            <a:gd name="vf" fmla="val 115470"/>
          </a:avLst>
        </a:prstGeom>
        <a:solidFill>
          <a:schemeClr val="accent1">
            <a:shade val="80000"/>
            <a:hueOff val="244997"/>
            <a:satOff val="-3514"/>
            <a:lumOff val="204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rýchle</a:t>
          </a:r>
          <a:r>
            <a:rPr lang="en-US" sz="700" kern="1200"/>
            <a:t> vyhľadávanie</a:t>
          </a:r>
          <a:endParaRPr lang="sk-SK" sz="1000" kern="1200"/>
        </a:p>
      </dsp:txBody>
      <dsp:txXfrm rot="-5400000">
        <a:off x="3636906" y="182744"/>
        <a:ext cx="675772" cy="776748"/>
      </dsp:txXfrm>
    </dsp:sp>
    <dsp:sp modelId="{74BCE5CB-5313-4668-8C66-6304427F4191}">
      <dsp:nvSpPr>
        <dsp:cNvPr id="0" name=""/>
        <dsp:cNvSpPr/>
      </dsp:nvSpPr>
      <dsp:spPr>
        <a:xfrm>
          <a:off x="3907432" y="1179542"/>
          <a:ext cx="1259348" cy="677069"/>
        </a:xfrm>
        <a:prstGeom prst="rect">
          <a:avLst/>
        </a:prstGeom>
        <a:noFill/>
        <a:ln>
          <a:noFill/>
        </a:ln>
        <a:effectLst/>
      </dsp:spPr>
      <dsp:style>
        <a:lnRef idx="0">
          <a:scrgbClr r="0" g="0" b="0"/>
        </a:lnRef>
        <a:fillRef idx="0">
          <a:scrgbClr r="0" g="0" b="0"/>
        </a:fillRef>
        <a:effectRef idx="0">
          <a:scrgbClr r="0" g="0" b="0"/>
        </a:effectRef>
        <a:fontRef idx="minor"/>
      </dsp:style>
    </dsp:sp>
    <dsp:sp modelId="{F5D0E2A6-D4E1-42E3-9D2F-9FD4C17540DA}">
      <dsp:nvSpPr>
        <dsp:cNvPr id="0" name=""/>
        <dsp:cNvSpPr/>
      </dsp:nvSpPr>
      <dsp:spPr>
        <a:xfrm rot="5400000">
          <a:off x="1784485" y="997948"/>
          <a:ext cx="1128448" cy="1019724"/>
        </a:xfrm>
        <a:prstGeom prst="hexagon">
          <a:avLst>
            <a:gd name="adj" fmla="val 25000"/>
            <a:gd name="vf" fmla="val 11547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t>zrozumiteľná navigácia</a:t>
          </a:r>
          <a:endParaRPr lang="sk-SK" sz="900" kern="1200"/>
        </a:p>
      </dsp:txBody>
      <dsp:txXfrm rot="-5400000">
        <a:off x="2000614" y="1122600"/>
        <a:ext cx="696190" cy="7704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7F92782-AE86-419E-B27E-C71D2EEB9833}">
    <t:Anchor>
      <t:Comment id="1087961531"/>
    </t:Anchor>
    <t:History>
      <t:Event id="{77CAB724-1006-4FA5-8D8F-2DE730F001DA}" time="2021-01-19T09:28:42.517Z">
        <t:Attribution userId="S::ladislav.dzurus@vicepremier.gov.sk::7598c909-33bc-4883-af74-5fac20665906" userProvider="AD" userName="Ladislav Dzurus"/>
        <t:Anchor>
          <t:Comment id="945707445"/>
        </t:Anchor>
        <t:Create/>
      </t:Event>
      <t:Event id="{6814B541-FECA-4DE5-9F4B-4766B1462E50}" time="2021-01-19T09:28:42.517Z">
        <t:Attribution userId="S::ladislav.dzurus@vicepremier.gov.sk::7598c909-33bc-4883-af74-5fac20665906" userProvider="AD" userName="Ladislav Dzurus"/>
        <t:Anchor>
          <t:Comment id="945707445"/>
        </t:Anchor>
        <t:Assign userId="S::martin.bezek@vicepremier.gov.sk::c4d8e101-280d-4866-90e8-3df051d82b68" userProvider="AD" userName="Martin Bezek"/>
      </t:Event>
      <t:Event id="{9043D741-8D0B-45E5-A103-51568E838061}" time="2021-01-19T09:28:42.517Z">
        <t:Attribution userId="S::ladislav.dzurus@vicepremier.gov.sk::7598c909-33bc-4883-af74-5fac20665906" userProvider="AD" userName="Ladislav Dzurus"/>
        <t:Anchor>
          <t:Comment id="945707445"/>
        </t:Anchor>
        <t:SetTitle title="@Martin Bezek"/>
      </t:Event>
    </t:History>
  </t:Task>
  <t:Task id="{0BE0E221-006B-4214-81CA-8466D147477B}">
    <t:Anchor>
      <t:Comment id="741335279"/>
    </t:Anchor>
    <t:History>
      <t:Event id="{F08220C1-FE16-4376-BD13-8C5AE7173A16}" time="2021-01-19T09:33:34.318Z">
        <t:Attribution userId="S::ladislav.dzurus@vicepremier.gov.sk::7598c909-33bc-4883-af74-5fac20665906" userProvider="AD" userName="Ladislav Dzurus"/>
        <t:Anchor>
          <t:Comment id="741335279"/>
        </t:Anchor>
        <t:Create/>
      </t:Event>
      <t:Event id="{F3FB19C8-77B7-4E59-B540-848F6AEF40BF}" time="2021-01-19T09:33:34.318Z">
        <t:Attribution userId="S::ladislav.dzurus@vicepremier.gov.sk::7598c909-33bc-4883-af74-5fac20665906" userProvider="AD" userName="Ladislav Dzurus"/>
        <t:Anchor>
          <t:Comment id="741335279"/>
        </t:Anchor>
        <t:Assign userId="S::peter.kucer@vicepremier.gov.sk::7fc2c60a-a289-4271-9e76-b8146d619ff0" userProvider="AD" userName="Peter Kucer"/>
      </t:Event>
      <t:Event id="{84DAFCD1-407D-47A2-A3BE-19D03766F55A}" time="2021-01-19T09:33:34.318Z">
        <t:Attribution userId="S::ladislav.dzurus@vicepremier.gov.sk::7598c909-33bc-4883-af74-5fac20665906" userProvider="AD" userName="Ladislav Dzurus"/>
        <t:Anchor>
          <t:Comment id="741335279"/>
        </t:Anchor>
        <t:SetTitle title="@Peter Kucer - toto bude AP pre CLoud only?"/>
      </t:Event>
    </t:History>
  </t:Task>
  <t:Task id="{08F9831B-3D5A-49FB-B200-FBD477059703}">
    <t:Anchor>
      <t:Comment id="992305493"/>
    </t:Anchor>
    <t:History>
      <t:Event id="{C2305001-DA82-4590-90B5-DC54A31A45BE}" time="2021-01-19T09:34:44.729Z">
        <t:Attribution userId="S::ladislav.dzurus@vicepremier.gov.sk::7598c909-33bc-4883-af74-5fac20665906" userProvider="AD" userName="Ladislav Dzurus"/>
        <t:Anchor>
          <t:Comment id="992305493"/>
        </t:Anchor>
        <t:Create/>
      </t:Event>
      <t:Event id="{A2455DF2-A349-4C64-A80D-7650F75ACDC9}" time="2021-01-19T09:34:44.729Z">
        <t:Attribution userId="S::ladislav.dzurus@vicepremier.gov.sk::7598c909-33bc-4883-af74-5fac20665906" userProvider="AD" userName="Ladislav Dzurus"/>
        <t:Anchor>
          <t:Comment id="992305493"/>
        </t:Anchor>
        <t:Assign userId="S::nadezda.niksova@vicepremier.gov.sk::dfc46f56-ed23-4d03-8a63-3464bc6e760a" userProvider="AD" userName="Nadezda Niksova"/>
      </t:Event>
      <t:Event id="{03D84929-10BD-4C06-BDE0-FACCE3BA81B5}" time="2021-01-19T09:34:44.729Z">
        <t:Attribution userId="S::ladislav.dzurus@vicepremier.gov.sk::7598c909-33bc-4883-af74-5fac20665906" userProvider="AD" userName="Ladislav Dzurus"/>
        <t:Anchor>
          <t:Comment id="992305493"/>
        </t:Anchor>
        <t:SetTitle title="@Nadezda Niksova - doplniť text do 4.1"/>
      </t:Event>
      <t:Event id="{F000704A-F499-4E2F-A0D1-5365018AE9AC}" time="2021-01-19T16:32:21.531Z">
        <t:Attribution userId="S::nadezda.niksova@vicepremier.gov.sk::dfc46f56-ed23-4d03-8a63-3464bc6e760a" userProvider="AD" userName="Nadezda Niksova"/>
        <t:Progress percentComplete="100"/>
      </t:Event>
    </t:History>
  </t:Task>
  <t:Task id="{36777FA3-848C-48A5-8AF4-6900D6FDA072}">
    <t:Anchor>
      <t:Comment id="1627011361"/>
    </t:Anchor>
    <t:History>
      <t:Event id="{ABF53B8C-35FB-40D8-8756-6F435DF38D66}" time="2021-04-26T12:33:48.782Z">
        <t:Attribution userId="S::ladislav.dzurus@vicepremier.gov.sk::7598c909-33bc-4883-af74-5fac20665906" userProvider="AD" userName="Dzurus, Ladislav"/>
        <t:Anchor>
          <t:Comment id="1050534226"/>
        </t:Anchor>
        <t:Create/>
      </t:Event>
      <t:Event id="{35D1046D-CDD4-4F8B-8F7F-3DF914B7A674}" time="2021-04-26T12:33:48.782Z">
        <t:Attribution userId="S::ladislav.dzurus@vicepremier.gov.sk::7598c909-33bc-4883-af74-5fac20665906" userProvider="AD" userName="Dzurus, Ladislav"/>
        <t:Anchor>
          <t:Comment id="1050534226"/>
        </t:Anchor>
        <t:Assign userId="S::martin.bezek@vicepremier.gov.sk::c4d8e101-280d-4866-90e8-3df051d82b68" userProvider="AD" userName="Bezek, Martin"/>
      </t:Event>
      <t:Event id="{EB9F6AB8-77AE-4D40-A9C5-612F781834B7}" time="2021-04-26T12:33:48.782Z">
        <t:Attribution userId="S::ladislav.dzurus@vicepremier.gov.sk::7598c909-33bc-4883-af74-5fac20665906" userProvider="AD" userName="Dzurus, Ladislav"/>
        <t:Anchor>
          <t:Comment id="1050534226"/>
        </t:Anchor>
        <t:SetTitle title="@Bezek, Martin na toto prosím nezabudni."/>
      </t:Event>
    </t:History>
  </t:Task>
  <t:Task id="{E6DB7BCA-15CB-4BD6-B441-AE42F8F8A590}">
    <t:Anchor>
      <t:Comment id="605409721"/>
    </t:Anchor>
    <t:History>
      <t:Event id="{FFD5E80D-4DD6-48DF-9BEC-FF291C662D64}" time="2021-04-26T12:39:36.158Z">
        <t:Attribution userId="S::ladislav.dzurus@vicepremier.gov.sk::7598c909-33bc-4883-af74-5fac20665906" userProvider="AD" userName="Dzurus, Ladislav"/>
        <t:Anchor>
          <t:Comment id="1078426262"/>
        </t:Anchor>
        <t:Create/>
      </t:Event>
      <t:Event id="{92FF71D5-9D01-4276-AC0E-2DF9293F5ACA}" time="2021-04-26T12:39:36.158Z">
        <t:Attribution userId="S::ladislav.dzurus@vicepremier.gov.sk::7598c909-33bc-4883-af74-5fac20665906" userProvider="AD" userName="Dzurus, Ladislav"/>
        <t:Anchor>
          <t:Comment id="1078426262"/>
        </t:Anchor>
        <t:Assign userId="S::martin.bezek@vicepremier.gov.sk::c4d8e101-280d-4866-90e8-3df051d82b68" userProvider="AD" userName="Bezek, Martin"/>
      </t:Event>
      <t:Event id="{6E146DC9-B17C-44CC-B0CB-50CBC579D9C6}" time="2021-04-26T12:39:36.158Z">
        <t:Attribution userId="S::ladislav.dzurus@vicepremier.gov.sk::7598c909-33bc-4883-af74-5fac20665906" userProvider="AD" userName="Dzurus, Ladislav"/>
        <t:Anchor>
          <t:Comment id="1078426262"/>
        </t:Anchor>
        <t:SetTitle title="@Bezek, Martin Toto vyžaduje tvoju revíziu."/>
      </t:Event>
    </t:History>
  </t:Task>
  <t:Task id="{095D26A7-6B13-4BCE-B859-3D847E4D4056}">
    <t:Anchor>
      <t:Comment id="1467940375"/>
    </t:Anchor>
    <t:History>
      <t:Event id="{BD094C85-9C1F-4A22-B546-7E19BF9157EB}" time="2021-04-26T12:41:22.965Z">
        <t:Attribution userId="S::ladislav.dzurus@vicepremier.gov.sk::7598c909-33bc-4883-af74-5fac20665906" userProvider="AD" userName="Dzurus, Ladislav"/>
        <t:Anchor>
          <t:Comment id="1467940375"/>
        </t:Anchor>
        <t:Create/>
      </t:Event>
      <t:Event id="{58613BCA-C482-4C66-A643-FD61C799544D}" time="2021-04-26T12:41:22.965Z">
        <t:Attribution userId="S::ladislav.dzurus@vicepremier.gov.sk::7598c909-33bc-4883-af74-5fac20665906" userProvider="AD" userName="Dzurus, Ladislav"/>
        <t:Anchor>
          <t:Comment id="1467940375"/>
        </t:Anchor>
        <t:Assign userId="S::milan.andrejkovic@vicepremier.gov.sk::e44ed0e5-e435-4d7c-adee-78d5fd03904d" userProvider="AD" userName="Andrejkovič, Milan"/>
      </t:Event>
      <t:Event id="{9D12D7F5-2F82-4308-9C13-16B6857D90D7}" time="2021-04-26T12:41:22.965Z">
        <t:Attribution userId="S::ladislav.dzurus@vicepremier.gov.sk::7598c909-33bc-4883-af74-5fac20665906" userProvider="AD" userName="Dzurus, Ladislav"/>
        <t:Anchor>
          <t:Comment id="1467940375"/>
        </t:Anchor>
        <t:SetTitle title="@Andrejkovič, Milan Milan, budeš teda robiť nejaké zmeny do 4.2.2 ako si spomínal ešte pred IPK?"/>
      </t:Event>
    </t:History>
  </t:Task>
  <t:Task id="{CFCBBB40-33E7-4278-92E1-B510DD721D24}">
    <t:Anchor>
      <t:Comment id="605410736"/>
    </t:Anchor>
    <t:History>
      <t:Event id="{3148C834-50A8-403A-97B9-66106CAA6F63}" time="2021-04-26T12:47:22.988Z">
        <t:Attribution userId="S::ladislav.dzurus@vicepremier.gov.sk::7598c909-33bc-4883-af74-5fac20665906" userProvider="AD" userName="Dzurus, Ladislav"/>
        <t:Anchor>
          <t:Comment id="1759431883"/>
        </t:Anchor>
        <t:Create/>
      </t:Event>
      <t:Event id="{D5D73E2D-86F4-4963-80B0-8C14FCAD27B5}" time="2021-04-26T12:47:22.988Z">
        <t:Attribution userId="S::ladislav.dzurus@vicepremier.gov.sk::7598c909-33bc-4883-af74-5fac20665906" userProvider="AD" userName="Dzurus, Ladislav"/>
        <t:Anchor>
          <t:Comment id="1759431883"/>
        </t:Anchor>
        <t:Assign userId="S::martin.bezek@vicepremier.gov.sk::c4d8e101-280d-4866-90e8-3df051d82b68" userProvider="AD" userName="Bezek, Martin"/>
      </t:Event>
      <t:Event id="{0F6C781C-D975-4AF5-8F60-5F1B196C330A}" time="2021-04-26T12:47:22.988Z">
        <t:Attribution userId="S::ladislav.dzurus@vicepremier.gov.sk::7598c909-33bc-4883-af74-5fac20665906" userProvider="AD" userName="Dzurus, Ladislav"/>
        <t:Anchor>
          <t:Comment id="1759431883"/>
        </t:Anchor>
        <t:SetTitle title="@Bezek, Martin"/>
      </t:Event>
    </t:History>
  </t:Task>
  <t:Task id="{B2910726-F7A1-48E4-AEBA-165F3BFA9B40}">
    <t:Anchor>
      <t:Comment id="407576396"/>
    </t:Anchor>
    <t:History>
      <t:Event id="{60AAA20D-BE75-4B52-A384-D0048E8ADBC3}" time="2021-04-26T13:11:02.895Z">
        <t:Attribution userId="S::ladislav.dzurus@vicepremier.gov.sk::7598c909-33bc-4883-af74-5fac20665906" userProvider="AD" userName="Dzurus, Ladislav"/>
        <t:Anchor>
          <t:Comment id="407576396"/>
        </t:Anchor>
        <t:Create/>
      </t:Event>
      <t:Event id="{C1370279-1B7D-430E-BDCE-12301440FC51}" time="2021-04-26T13:11:02.895Z">
        <t:Attribution userId="S::ladislav.dzurus@vicepremier.gov.sk::7598c909-33bc-4883-af74-5fac20665906" userProvider="AD" userName="Dzurus, Ladislav"/>
        <t:Anchor>
          <t:Comment id="407576396"/>
        </t:Anchor>
        <t:Assign userId="S::peter.miazdra@vicepremier.gov.sk::0091960c-5cf5-41a8-b967-8abb5fe2105b" userProvider="AD" userName="Miazdra, Peter"/>
      </t:Event>
      <t:Event id="{2BBE44FB-A061-4223-8F16-A7EE4B7BCD3D}" time="2021-04-26T13:11:02.895Z">
        <t:Attribution userId="S::ladislav.dzurus@vicepremier.gov.sk::7598c909-33bc-4883-af74-5fac20665906" userProvider="AD" userName="Dzurus, Ladislav"/>
        <t:Anchor>
          <t:Comment id="407576396"/>
        </t:Anchor>
        <t:SetTitle title="@Miazdra, Peter Peter, tento vstup od VK je po Vašej dohode?"/>
      </t:Event>
    </t:History>
  </t:Task>
</t:Task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CBA2AA93689AB44C8BCB3CFB2A4E21A2" ma:contentTypeVersion="10" ma:contentTypeDescription="Umožňuje vytvoriť nový dokument." ma:contentTypeScope="" ma:versionID="b1ceff8c4cba6f01db9f9da75074ad76">
  <xsd:schema xmlns:xsd="http://www.w3.org/2001/XMLSchema" xmlns:xs="http://www.w3.org/2001/XMLSchema" xmlns:p="http://schemas.microsoft.com/office/2006/metadata/properties" xmlns:ns2="5cbb4fa2-33c0-4c4a-85df-613a746a3b4e" xmlns:ns3="45a0424a-b6ff-4064-ab3b-f5cc1d862c5f" targetNamespace="http://schemas.microsoft.com/office/2006/metadata/properties" ma:root="true" ma:fieldsID="7d7bc6149d1123b02876f3e648eb6b21" ns2:_="" ns3:_="">
    <xsd:import namespace="5cbb4fa2-33c0-4c4a-85df-613a746a3b4e"/>
    <xsd:import namespace="45a0424a-b6ff-4064-ab3b-f5cc1d862c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b4fa2-33c0-4c4a-85df-613a746a3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a0424a-b6ff-4064-ab3b-f5cc1d862c5f" elementFormDefault="qualified">
    <xsd:import namespace="http://schemas.microsoft.com/office/2006/documentManagement/types"/>
    <xsd:import namespace="http://schemas.microsoft.com/office/infopath/2007/PartnerControls"/>
    <xsd:element name="SharedWithUsers" ma:index="12"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6BD28-B383-4E40-94E3-3CB004E1E1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BE83C8-C6D6-462C-8CDF-02439BDD4604}">
  <ds:schemaRefs>
    <ds:schemaRef ds:uri="http://schemas.microsoft.com/sharepoint/v3/contenttype/forms"/>
  </ds:schemaRefs>
</ds:datastoreItem>
</file>

<file path=customXml/itemProps3.xml><?xml version="1.0" encoding="utf-8"?>
<ds:datastoreItem xmlns:ds="http://schemas.openxmlformats.org/officeDocument/2006/customXml" ds:itemID="{C9C564B5-C26B-453C-A262-99BCC70FCE3B}">
  <ds:schemaRefs>
    <ds:schemaRef ds:uri="http://schemas.openxmlformats.org/officeDocument/2006/bibliography"/>
  </ds:schemaRefs>
</ds:datastoreItem>
</file>

<file path=customXml/itemProps4.xml><?xml version="1.0" encoding="utf-8"?>
<ds:datastoreItem xmlns:ds="http://schemas.openxmlformats.org/officeDocument/2006/customXml" ds:itemID="{854CE311-BBDC-4563-9695-4EF8F2D7B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b4fa2-33c0-4c4a-85df-613a746a3b4e"/>
    <ds:schemaRef ds:uri="45a0424a-b6ff-4064-ab3b-f5cc1d862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39733</Words>
  <Characters>226482</Characters>
  <Application>Microsoft Office Word</Application>
  <DocSecurity>0</DocSecurity>
  <Lines>1887</Lines>
  <Paragraphs>531</Paragraphs>
  <ScaleCrop>false</ScaleCrop>
  <HeadingPairs>
    <vt:vector size="2" baseType="variant">
      <vt:variant>
        <vt:lpstr>Názov</vt:lpstr>
      </vt:variant>
      <vt:variant>
        <vt:i4>1</vt:i4>
      </vt:variant>
    </vt:vector>
  </HeadingPairs>
  <TitlesOfParts>
    <vt:vector size="1" baseType="lpstr">
      <vt:lpstr>Národná koncepcia informatizácie verejnej správy</vt:lpstr>
    </vt:vector>
  </TitlesOfParts>
  <Company>MIRRI</Company>
  <LinksUpToDate>false</LinksUpToDate>
  <CharactersWithSpaces>265684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Národná koncepcia informatizácie verejnej správy</dc:title>
  <dc:creator>Laco Dzurus</dc:creator>
  <cp:keywords>Enterprise architektúra, architektúra, architektonická vízia</cp:keywords>
  <dc:description>Finálna verzia do MPK.</dc:description>
  <cp:lastModifiedBy>Dzurus, Ladislav</cp:lastModifiedBy>
  <cp:revision>13</cp:revision>
  <cp:lastPrinted>2021-04-29T06:19:00Z</cp:lastPrinted>
  <dcterms:created xsi:type="dcterms:W3CDTF">2021-04-30T18:48:00Z</dcterms:created>
  <dcterms:modified xsi:type="dcterms:W3CDTF">2021-04-30T19:46:00Z</dcterms:modified>
  <cp:category>architektúra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0x010100CBA2AA93689AB44C8BCB3CFB2A4E21A2</vt:lpwstr>
  </property>
</Properties>
</file>