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71C" w14:textId="3D72AC72" w:rsidR="00C7220C" w:rsidRDefault="00C7220C" w:rsidP="00C7220C">
      <w:pPr>
        <w:pStyle w:val="Nadpis1"/>
        <w:numPr>
          <w:ilvl w:val="0"/>
          <w:numId w:val="0"/>
        </w:numPr>
        <w:spacing w:before="0" w:after="0"/>
        <w:ind w:left="431"/>
        <w:jc w:val="center"/>
        <w:rPr>
          <w:b w:val="0"/>
          <w:sz w:val="22"/>
          <w:szCs w:val="22"/>
        </w:rPr>
      </w:pPr>
      <w:bookmarkStart w:id="0" w:name="_Toc93238290"/>
      <w:bookmarkStart w:id="1" w:name="_Toc90950387"/>
      <w:bookmarkStart w:id="2" w:name="OLE_LINK295"/>
      <w:bookmarkStart w:id="3" w:name="OLE_LINK296"/>
      <w:bookmarkStart w:id="4" w:name="_Toc90950380"/>
      <w:bookmarkStart w:id="5" w:name="_GoBack"/>
      <w:bookmarkEnd w:id="5"/>
      <w:r w:rsidRPr="00B95126">
        <w:t xml:space="preserve">Bod </w:t>
      </w:r>
      <w:r>
        <w:t>2</w:t>
      </w:r>
      <w:r w:rsidRPr="00B95126">
        <w:t xml:space="preserve"> programu </w:t>
      </w:r>
      <w:r>
        <w:t xml:space="preserve">spoločného </w:t>
      </w:r>
      <w:r w:rsidRPr="00B95126">
        <w:t>zasadnutia</w:t>
      </w:r>
      <w:r>
        <w:t xml:space="preserve"> PS 2 a</w:t>
      </w:r>
      <w:r w:rsidRPr="00B95126">
        <w:t xml:space="preserve"> PS 4</w:t>
      </w:r>
      <w:r>
        <w:br/>
      </w:r>
      <w:r w:rsidR="00DC48E0">
        <w:rPr>
          <w:b w:val="0"/>
          <w:sz w:val="22"/>
          <w:szCs w:val="22"/>
        </w:rPr>
        <w:t>16</w:t>
      </w:r>
      <w:r w:rsidRPr="00B95126">
        <w:rPr>
          <w:b w:val="0"/>
          <w:sz w:val="22"/>
          <w:szCs w:val="22"/>
        </w:rPr>
        <w:t>.</w:t>
      </w:r>
      <w:r w:rsidR="00DC48E0">
        <w:rPr>
          <w:b w:val="0"/>
          <w:sz w:val="22"/>
          <w:szCs w:val="22"/>
        </w:rPr>
        <w:t xml:space="preserve"> marec</w:t>
      </w:r>
      <w:r>
        <w:rPr>
          <w:b w:val="0"/>
          <w:sz w:val="22"/>
          <w:szCs w:val="22"/>
        </w:rPr>
        <w:t xml:space="preserve"> 2022</w:t>
      </w:r>
    </w:p>
    <w:p w14:paraId="1629929D" w14:textId="77777777" w:rsidR="00C7220C" w:rsidRPr="00C7220C" w:rsidRDefault="00C7220C" w:rsidP="00C7220C">
      <w:pPr>
        <w:pStyle w:val="Nadpis1"/>
        <w:numPr>
          <w:ilvl w:val="0"/>
          <w:numId w:val="0"/>
        </w:numPr>
        <w:spacing w:before="0" w:after="0"/>
        <w:ind w:left="431"/>
        <w:jc w:val="center"/>
        <w:rPr>
          <w:b w:val="0"/>
          <w:sz w:val="22"/>
          <w:szCs w:val="22"/>
        </w:rPr>
      </w:pPr>
      <w:r w:rsidRPr="00C7220C">
        <w:rPr>
          <w:b w:val="0"/>
          <w:sz w:val="22"/>
          <w:szCs w:val="22"/>
        </w:rPr>
        <w:t>(</w:t>
      </w:r>
      <w:r w:rsidRPr="00DC48E0">
        <w:rPr>
          <w:b w:val="0"/>
          <w:sz w:val="22"/>
          <w:szCs w:val="22"/>
          <w:highlight w:val="yellow"/>
        </w:rPr>
        <w:t>PS 4 – T8, T53)</w:t>
      </w:r>
    </w:p>
    <w:p w14:paraId="7437A7B4" w14:textId="77777777" w:rsidR="00C7220C" w:rsidRPr="00C7220C" w:rsidRDefault="00C7220C" w:rsidP="00C7220C"/>
    <w:bookmarkEnd w:id="0"/>
    <w:p w14:paraId="46ED1999" w14:textId="53584EC4" w:rsidR="00890D90" w:rsidRPr="00890D90" w:rsidRDefault="006A18F9" w:rsidP="00DC48E0">
      <w:pPr>
        <w:jc w:val="center"/>
      </w:pPr>
      <w:r>
        <w:rPr>
          <w:rFonts w:asciiTheme="minorHAnsi" w:eastAsiaTheme="majorEastAsia" w:hAnsiTheme="minorHAnsi" w:cstheme="minorHAnsi"/>
          <w:b/>
          <w:sz w:val="28"/>
          <w:szCs w:val="32"/>
        </w:rPr>
        <w:t>Návrh na v</w:t>
      </w:r>
      <w:r w:rsidR="00DC48E0" w:rsidRPr="00DC48E0">
        <w:rPr>
          <w:rFonts w:asciiTheme="minorHAnsi" w:eastAsiaTheme="majorEastAsia" w:hAnsiTheme="minorHAnsi" w:cstheme="minorHAnsi"/>
          <w:b/>
          <w:sz w:val="28"/>
          <w:szCs w:val="32"/>
        </w:rPr>
        <w:t xml:space="preserve">ydanie vyhlášky o uznaných spôsoboch autorizácie podľa </w:t>
      </w:r>
      <w:r>
        <w:rPr>
          <w:rFonts w:asciiTheme="minorHAnsi" w:eastAsiaTheme="majorEastAsia" w:hAnsiTheme="minorHAnsi" w:cstheme="minorHAnsi"/>
          <w:b/>
          <w:sz w:val="28"/>
          <w:szCs w:val="32"/>
        </w:rPr>
        <w:br/>
      </w:r>
      <w:r w:rsidR="00DC48E0" w:rsidRPr="00DC48E0">
        <w:rPr>
          <w:rFonts w:asciiTheme="minorHAnsi" w:eastAsiaTheme="majorEastAsia" w:hAnsiTheme="minorHAnsi" w:cstheme="minorHAnsi"/>
          <w:b/>
          <w:sz w:val="28"/>
          <w:szCs w:val="32"/>
        </w:rPr>
        <w:t>§ 23 ods. 2 o e-Governmente</w:t>
      </w:r>
    </w:p>
    <w:p w14:paraId="2C764FE2" w14:textId="51E35343" w:rsidR="00557F6E" w:rsidRDefault="00557F6E" w:rsidP="00557F6E"/>
    <w:p w14:paraId="5CAB4BF2" w14:textId="77777777" w:rsidR="006D1702" w:rsidRPr="00263456" w:rsidRDefault="006D1702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bookmarkStart w:id="6" w:name="_Toc90950388"/>
      <w:bookmarkStart w:id="7" w:name="_Toc93238294"/>
      <w:bookmarkEnd w:id="1"/>
      <w:bookmarkEnd w:id="2"/>
      <w:bookmarkEnd w:id="3"/>
      <w:r w:rsidRPr="0026345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Motivácia: </w:t>
      </w:r>
    </w:p>
    <w:p w14:paraId="15BBE300" w14:textId="32572876" w:rsidR="00650630" w:rsidRDefault="00263456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júni 2021 skončila platnosť certifikácie dokladov s čipom pre vzdialené vydávanie kvalifikovaných certifikátov pre kvalifikovaný elektronický podpis. </w:t>
      </w:r>
      <w:r w:rsidR="00AB459F">
        <w:rPr>
          <w:rFonts w:ascii="Calibri" w:hAnsi="Calibri" w:cs="Calibri"/>
          <w:color w:val="000000"/>
          <w:sz w:val="22"/>
          <w:szCs w:val="22"/>
        </w:rPr>
        <w:t>Dňa 31.12.2022 končí platnosť certifikácie slovenských dokladov s čipom vydaných do 2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="00AB459F">
        <w:rPr>
          <w:rFonts w:ascii="Calibri" w:hAnsi="Calibri" w:cs="Calibri"/>
          <w:color w:val="000000"/>
          <w:sz w:val="22"/>
          <w:szCs w:val="22"/>
        </w:rPr>
        <w:t>. júna 2021 ako kvalifikovaných zariadení na vyhotovenie elektronického podpisu.</w:t>
      </w:r>
      <w:r w:rsidR="00E517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459F">
        <w:rPr>
          <w:rFonts w:ascii="Calibri" w:hAnsi="Calibri" w:cs="Calibri"/>
          <w:color w:val="000000"/>
          <w:sz w:val="22"/>
          <w:szCs w:val="22"/>
        </w:rPr>
        <w:t xml:space="preserve">V dôsledku toho budú </w:t>
      </w:r>
      <w:r>
        <w:rPr>
          <w:rFonts w:ascii="Calibri" w:hAnsi="Calibri" w:cs="Calibri"/>
          <w:color w:val="000000"/>
          <w:sz w:val="22"/>
          <w:szCs w:val="22"/>
        </w:rPr>
        <w:t xml:space="preserve">dňa 31.12.2022 </w:t>
      </w:r>
      <w:r w:rsidR="00AB459F">
        <w:rPr>
          <w:rFonts w:ascii="Calibri" w:hAnsi="Calibri" w:cs="Calibri"/>
          <w:color w:val="000000"/>
          <w:sz w:val="22"/>
          <w:szCs w:val="22"/>
        </w:rPr>
        <w:t xml:space="preserve">všetky certifikáty na </w:t>
      </w:r>
      <w:r w:rsidR="006F2245">
        <w:rPr>
          <w:rFonts w:ascii="Calibri" w:hAnsi="Calibri" w:cs="Calibri"/>
          <w:color w:val="000000"/>
          <w:sz w:val="22"/>
          <w:szCs w:val="22"/>
        </w:rPr>
        <w:t>dokladoch s čipom hromadne zrušen</w:t>
      </w:r>
      <w:r w:rsidR="009A1642">
        <w:rPr>
          <w:rFonts w:ascii="Calibri" w:hAnsi="Calibri" w:cs="Calibri"/>
          <w:color w:val="000000"/>
          <w:sz w:val="22"/>
          <w:szCs w:val="22"/>
        </w:rPr>
        <w:t>é a nebude nimi možné vytvárať platné autorizácie v zmysle zákona o e-Governmente</w:t>
      </w:r>
      <w:r w:rsidR="006F2245">
        <w:rPr>
          <w:rFonts w:ascii="Calibri" w:hAnsi="Calibri" w:cs="Calibri"/>
          <w:color w:val="000000"/>
          <w:sz w:val="22"/>
          <w:szCs w:val="22"/>
        </w:rPr>
        <w:t>.</w:t>
      </w:r>
      <w:r w:rsidR="00E517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0630">
        <w:rPr>
          <w:rFonts w:ascii="Calibri" w:hAnsi="Calibri" w:cs="Calibri"/>
          <w:color w:val="000000"/>
          <w:sz w:val="22"/>
          <w:szCs w:val="22"/>
        </w:rPr>
        <w:t xml:space="preserve">V súčasnosti ide približne o 490 000 stále platných kvalifikovaných certifikátov. Očakáva sa, že do konca roka 2022 bude týchto certifikátov nad 400 tisíc. </w:t>
      </w:r>
    </w:p>
    <w:p w14:paraId="4C8B19C8" w14:textId="19E1F689" w:rsidR="00AB459F" w:rsidRPr="007C5678" w:rsidRDefault="00E51737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Doklady sa vydávajú s platnosťou 10 rokov a po 60. roku života majú trvalú platnosť. Platnosť certifikácie čipov bola 5 rokov. Používatelia, ktorí potrebujú vytvárať autorizáciu, tak budú musieť požiadať o výmenu dokladov, ktoré boli vydané do 26. júna 2021.</w:t>
      </w:r>
      <w:r w:rsidR="00650630">
        <w:rPr>
          <w:rFonts w:ascii="Calibri" w:hAnsi="Calibri" w:cs="Calibri"/>
          <w:color w:val="000000"/>
          <w:sz w:val="22"/>
          <w:szCs w:val="22"/>
        </w:rPr>
        <w:t xml:space="preserve"> Časť používateľov tak bude musieť vymeniť nový doklad, vydaný v nedávnom období.</w:t>
      </w:r>
    </w:p>
    <w:p w14:paraId="5058549D" w14:textId="77777777" w:rsidR="006D1702" w:rsidRPr="00263456" w:rsidRDefault="006D1702" w:rsidP="006D1702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6345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Návrh:</w:t>
      </w:r>
    </w:p>
    <w:p w14:paraId="328D6200" w14:textId="4DEB20DB" w:rsidR="006D1702" w:rsidRDefault="006D1702" w:rsidP="006D1702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color w:val="000000"/>
          <w:sz w:val="22"/>
          <w:szCs w:val="22"/>
        </w:rPr>
        <w:t>V zmysle § 59 ods. 1 písm. m) zákona o e-Governmente je MIRRI SR splnomocnené vydať vo všeobecne záväznom právnom predpise podrobnosti o uznaných spôsoboch autorizácie podľa § 23 ods. 2 zákona o e-Governmente.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6B23942" w14:textId="77777777" w:rsidR="00263456" w:rsidRDefault="00DC48E0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color w:val="000000"/>
          <w:sz w:val="22"/>
          <w:szCs w:val="22"/>
        </w:rPr>
        <w:t xml:space="preserve">Vyhláškou sa </w:t>
      </w:r>
      <w:r w:rsidR="00D23D67">
        <w:rPr>
          <w:rFonts w:ascii="Calibri" w:hAnsi="Calibri" w:cs="Calibri"/>
          <w:color w:val="000000"/>
          <w:sz w:val="22"/>
          <w:szCs w:val="22"/>
        </w:rPr>
        <w:t xml:space="preserve">pre riešenie tejto situácie a zjednodušenie práce s vytváraním </w:t>
      </w:r>
      <w:r w:rsidR="006D1702">
        <w:rPr>
          <w:rFonts w:ascii="Calibri" w:hAnsi="Calibri" w:cs="Calibri"/>
          <w:color w:val="000000"/>
          <w:sz w:val="22"/>
          <w:szCs w:val="22"/>
        </w:rPr>
        <w:t>autorizácií</w:t>
      </w:r>
      <w:r w:rsidR="00D23D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459F">
        <w:rPr>
          <w:rFonts w:ascii="Calibri" w:hAnsi="Calibri" w:cs="Calibri"/>
          <w:color w:val="000000"/>
          <w:sz w:val="22"/>
          <w:szCs w:val="22"/>
        </w:rPr>
        <w:t xml:space="preserve">navrhuje </w:t>
      </w:r>
      <w:r w:rsidRPr="007C5678">
        <w:rPr>
          <w:rFonts w:ascii="Calibri" w:hAnsi="Calibri" w:cs="Calibri"/>
          <w:color w:val="000000"/>
          <w:sz w:val="22"/>
          <w:szCs w:val="22"/>
        </w:rPr>
        <w:t>prehlási</w:t>
      </w:r>
      <w:r w:rsidR="00AB459F">
        <w:rPr>
          <w:rFonts w:ascii="Calibri" w:hAnsi="Calibri" w:cs="Calibri"/>
          <w:color w:val="000000"/>
          <w:sz w:val="22"/>
          <w:szCs w:val="22"/>
        </w:rPr>
        <w:t>ť</w:t>
      </w:r>
      <w:r w:rsidRPr="007C5678">
        <w:rPr>
          <w:rFonts w:ascii="Calibri" w:hAnsi="Calibri" w:cs="Calibri"/>
          <w:color w:val="000000"/>
          <w:sz w:val="22"/>
          <w:szCs w:val="22"/>
        </w:rPr>
        <w:t xml:space="preserve"> zdokonalený elektronický podpis založený na kvalifikovanom certifikáte  pre vyhotovenie elektronického podpisu za uznaný spôsob autorizácie podľa § 23 ods. 2 zákona o e-Governmente. </w:t>
      </w:r>
    </w:p>
    <w:p w14:paraId="78956BC5" w14:textId="31453AAA" w:rsidR="00721396" w:rsidRPr="00747F47" w:rsidRDefault="00B93937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A</w:t>
      </w:r>
      <w:r w:rsidR="00721396" w:rsidRPr="00747F47">
        <w:rPr>
          <w:rFonts w:ascii="Calibri" w:hAnsi="Calibri" w:cs="Calibri"/>
          <w:color w:val="000000"/>
          <w:sz w:val="22"/>
          <w:szCs w:val="22"/>
          <w:u w:val="single"/>
        </w:rPr>
        <w:t>utorizáci</w:t>
      </w:r>
      <w:r>
        <w:rPr>
          <w:rFonts w:ascii="Calibri" w:hAnsi="Calibri" w:cs="Calibri"/>
          <w:color w:val="000000"/>
          <w:sz w:val="22"/>
          <w:szCs w:val="22"/>
          <w:u w:val="single"/>
        </w:rPr>
        <w:t>a</w:t>
      </w:r>
      <w:r w:rsidR="00747F47" w:rsidRPr="00747F47">
        <w:rPr>
          <w:rFonts w:ascii="Calibri" w:hAnsi="Calibri" w:cs="Calibri"/>
          <w:color w:val="000000"/>
          <w:sz w:val="22"/>
          <w:szCs w:val="22"/>
          <w:u w:val="single"/>
        </w:rPr>
        <w:t xml:space="preserve"> zdokonaleným elektronickým podpisom</w:t>
      </w:r>
    </w:p>
    <w:p w14:paraId="73B46A65" w14:textId="122EDFB4" w:rsidR="003376A2" w:rsidRDefault="003376A2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653DA">
        <w:rPr>
          <w:rFonts w:ascii="Calibri" w:hAnsi="Calibri" w:cs="Calibri"/>
          <w:b/>
          <w:bCs/>
          <w:color w:val="000000"/>
          <w:sz w:val="22"/>
          <w:szCs w:val="22"/>
        </w:rPr>
        <w:t>Výhody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9159594" w14:textId="28B52EE3" w:rsidR="003376A2" w:rsidRDefault="00263456" w:rsidP="006B4523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 vytváranie zdokonaleného elektronického podpisu založeného na kvalifikovanom certifikáte nie je potrebné používať certifikované zariadenie</w:t>
      </w:r>
      <w:r w:rsidR="006B4523">
        <w:rPr>
          <w:rFonts w:ascii="Calibri" w:hAnsi="Calibri" w:cs="Calibri"/>
          <w:color w:val="000000"/>
          <w:sz w:val="22"/>
          <w:szCs w:val="22"/>
        </w:rPr>
        <w:t>. Bolo by možné využívať doklady s čipom po celý čas ich platnosti (10 rokov a viac)</w:t>
      </w:r>
      <w:r w:rsidR="00AC3EB0">
        <w:rPr>
          <w:rFonts w:ascii="Calibri" w:hAnsi="Calibri" w:cs="Calibri"/>
          <w:color w:val="000000"/>
          <w:sz w:val="22"/>
          <w:szCs w:val="22"/>
        </w:rPr>
        <w:t>.</w:t>
      </w:r>
      <w:r w:rsidR="006B452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D48F6F" w14:textId="1B75D202" w:rsidR="00AC3EB0" w:rsidRPr="00AC3EB0" w:rsidRDefault="00AC3EB0" w:rsidP="00AC3EB0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Pr="007C5678">
        <w:rPr>
          <w:rFonts w:ascii="Calibri" w:hAnsi="Calibri" w:cs="Calibri"/>
          <w:color w:val="000000"/>
          <w:sz w:val="22"/>
          <w:szCs w:val="22"/>
        </w:rPr>
        <w:t>a slovenských dokladoch</w:t>
      </w:r>
      <w:r>
        <w:rPr>
          <w:rFonts w:ascii="Calibri" w:hAnsi="Calibri" w:cs="Calibri"/>
          <w:color w:val="000000"/>
          <w:sz w:val="22"/>
          <w:szCs w:val="22"/>
        </w:rPr>
        <w:t xml:space="preserve"> vydaných do 26. júna 2021</w:t>
      </w:r>
      <w:r w:rsidRPr="007C56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59F">
        <w:rPr>
          <w:rFonts w:ascii="Calibri" w:hAnsi="Calibri" w:cs="Calibri"/>
          <w:b/>
          <w:bCs/>
          <w:color w:val="000000"/>
          <w:sz w:val="22"/>
          <w:szCs w:val="22"/>
        </w:rPr>
        <w:t xml:space="preserve">bude môcť občan </w:t>
      </w:r>
      <w:r w:rsidRPr="00AB459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bez výmeny platného dokladu</w:t>
      </w:r>
      <w:r w:rsidRPr="00AB459F">
        <w:rPr>
          <w:rFonts w:ascii="Calibri" w:hAnsi="Calibri" w:cs="Calibri"/>
          <w:b/>
          <w:bCs/>
          <w:color w:val="000000"/>
          <w:sz w:val="22"/>
          <w:szCs w:val="22"/>
        </w:rPr>
        <w:t xml:space="preserve"> získať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59F">
        <w:rPr>
          <w:rFonts w:ascii="Calibri" w:hAnsi="Calibri" w:cs="Calibri"/>
          <w:b/>
          <w:bCs/>
          <w:color w:val="000000"/>
          <w:sz w:val="22"/>
          <w:szCs w:val="22"/>
        </w:rPr>
        <w:t>na diaľku</w:t>
      </w:r>
      <w:r>
        <w:rPr>
          <w:rFonts w:ascii="Calibri" w:hAnsi="Calibri" w:cs="Calibri"/>
          <w:color w:val="000000"/>
          <w:sz w:val="22"/>
          <w:szCs w:val="22"/>
        </w:rPr>
        <w:t xml:space="preserve"> nové kvalifikované certifikáty pre zdokonalený elektronický podpis založený na kvalifikovanom certifikáte.</w:t>
      </w:r>
      <w:r w:rsidRPr="007C56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653DA">
        <w:rPr>
          <w:rFonts w:ascii="Calibri" w:hAnsi="Calibri" w:cs="Calibri"/>
          <w:color w:val="000000"/>
          <w:sz w:val="22"/>
          <w:szCs w:val="22"/>
        </w:rPr>
        <w:t>Pre vzdialené vydávanie kvalifikovaných certifikátov pre zdokonalený elektronický podpis nie je potrebná platná certifikácia čipu, tá je potrebná len pre certifikáty pre kvalifikovaný elektronický podpis.</w:t>
      </w:r>
    </w:p>
    <w:p w14:paraId="1468B516" w14:textId="0C180ED5" w:rsidR="00263456" w:rsidRDefault="00263456" w:rsidP="003376A2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Samotný zdokonalený elektronický podpis založený na kvalifikovanom certifikáte je technicky zhodný s kvalifikovaným elektronickým podpisom</w:t>
      </w:r>
      <w:r w:rsidR="00721396">
        <w:rPr>
          <w:rFonts w:ascii="Calibri" w:hAnsi="Calibri" w:cs="Calibri"/>
          <w:color w:val="000000"/>
          <w:sz w:val="22"/>
          <w:szCs w:val="22"/>
        </w:rPr>
        <w:t>, líši</w:t>
      </w:r>
      <w:r w:rsidR="00747F47">
        <w:rPr>
          <w:rFonts w:ascii="Calibri" w:hAnsi="Calibri" w:cs="Calibri"/>
          <w:color w:val="000000"/>
          <w:sz w:val="22"/>
          <w:szCs w:val="22"/>
        </w:rPr>
        <w:t>a</w:t>
      </w:r>
      <w:r w:rsidR="00721396">
        <w:rPr>
          <w:rFonts w:ascii="Calibri" w:hAnsi="Calibri" w:cs="Calibri"/>
          <w:color w:val="000000"/>
          <w:sz w:val="22"/>
          <w:szCs w:val="22"/>
        </w:rPr>
        <w:t xml:space="preserve"> sa len položkou </w:t>
      </w:r>
      <w:proofErr w:type="spellStart"/>
      <w:r w:rsidR="00721396">
        <w:rPr>
          <w:rFonts w:ascii="Calibri" w:hAnsi="Calibri" w:cs="Calibri"/>
          <w:color w:val="000000"/>
          <w:sz w:val="22"/>
          <w:szCs w:val="22"/>
        </w:rPr>
        <w:t>QcQSCD</w:t>
      </w:r>
      <w:proofErr w:type="spellEnd"/>
      <w:r w:rsidR="00721396">
        <w:rPr>
          <w:rFonts w:ascii="Calibri" w:hAnsi="Calibri" w:cs="Calibri"/>
          <w:color w:val="000000"/>
          <w:sz w:val="22"/>
          <w:szCs w:val="22"/>
        </w:rPr>
        <w:t xml:space="preserve"> v certifikáte deklarujúcou, či certifikát je alebo nie je uložený na bezpečnom zariadení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1FDC079" w14:textId="5233D382" w:rsidR="003376A2" w:rsidRDefault="003376A2" w:rsidP="003376A2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Overovače podpisov obvykle podporujú overovanie zdokonalených elektronických podpisov založených na kvalifikovanom certifikáte.</w:t>
      </w:r>
    </w:p>
    <w:p w14:paraId="29460A4E" w14:textId="5B25F6F0" w:rsidR="003376A2" w:rsidRDefault="003376A2" w:rsidP="003376A2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653DA">
        <w:rPr>
          <w:rFonts w:ascii="Calibri" w:hAnsi="Calibri" w:cs="Calibri"/>
          <w:b/>
          <w:bCs/>
          <w:color w:val="000000"/>
          <w:sz w:val="22"/>
          <w:szCs w:val="22"/>
        </w:rPr>
        <w:t>Nevýhody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A7F44D4" w14:textId="63D1AF44" w:rsidR="003376A2" w:rsidRDefault="003376A2" w:rsidP="003376A2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Kľúčový pár </w:t>
      </w:r>
      <w:r w:rsidR="00461DF5">
        <w:rPr>
          <w:rFonts w:ascii="Calibri" w:hAnsi="Calibri" w:cs="Calibri"/>
          <w:color w:val="000000"/>
          <w:sz w:val="22"/>
          <w:szCs w:val="22"/>
        </w:rPr>
        <w:t>nemusí byť</w:t>
      </w:r>
      <w:r>
        <w:rPr>
          <w:rFonts w:ascii="Calibri" w:hAnsi="Calibri" w:cs="Calibri"/>
          <w:color w:val="000000"/>
          <w:sz w:val="22"/>
          <w:szCs w:val="22"/>
        </w:rPr>
        <w:t xml:space="preserve"> chránený voči skopírovaniu, je chránený proti neoprávnenému použitiu</w:t>
      </w:r>
      <w:r w:rsidR="00BF3D9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štandardne </w:t>
      </w:r>
      <w:r w:rsidR="00BF3D9A">
        <w:rPr>
          <w:rFonts w:ascii="Calibri" w:hAnsi="Calibri" w:cs="Calibri"/>
          <w:color w:val="000000"/>
          <w:sz w:val="22"/>
          <w:szCs w:val="22"/>
        </w:rPr>
        <w:t xml:space="preserve">iba </w:t>
      </w:r>
      <w:r>
        <w:rPr>
          <w:rFonts w:ascii="Calibri" w:hAnsi="Calibri" w:cs="Calibri"/>
          <w:color w:val="000000"/>
          <w:sz w:val="22"/>
          <w:szCs w:val="22"/>
        </w:rPr>
        <w:t>heslom.</w:t>
      </w:r>
      <w:r w:rsidR="006B4523">
        <w:rPr>
          <w:rFonts w:ascii="Calibri" w:hAnsi="Calibri" w:cs="Calibri"/>
          <w:color w:val="000000"/>
          <w:sz w:val="22"/>
          <w:szCs w:val="22"/>
        </w:rPr>
        <w:t xml:space="preserve"> Kľúčový pár môže byť uložený na akomkoľvek zariadení.</w:t>
      </w:r>
    </w:p>
    <w:p w14:paraId="4D864775" w14:textId="751791A4" w:rsidR="00120CC8" w:rsidRDefault="00120CC8" w:rsidP="003376A2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</w:t>
      </w:r>
      <w:r w:rsidRPr="007C5678">
        <w:rPr>
          <w:rFonts w:ascii="Calibri" w:hAnsi="Calibri" w:cs="Calibri"/>
          <w:b/>
          <w:bCs/>
          <w:color w:val="000000"/>
          <w:sz w:val="22"/>
          <w:szCs w:val="22"/>
        </w:rPr>
        <w:t>dokonalený elektronický podpis založený na kvalifikovanom certifikáte nenahrádza kvalifikovaný elektronický podpis (KEP)</w:t>
      </w:r>
      <w:r w:rsidRPr="007C5678">
        <w:rPr>
          <w:rFonts w:ascii="Calibri" w:hAnsi="Calibri" w:cs="Calibri"/>
          <w:color w:val="000000"/>
          <w:sz w:val="22"/>
          <w:szCs w:val="22"/>
        </w:rPr>
        <w:t>. Tam, kde si elektronická služba verejnej správy vyžaduje autorizáciu na úrovni vlastnoručného podpisu, ktorý je úradne osvedčený, je možné použiť len KEP – tzn. občan si za týmto účelom bude musieť požiadať o vydanie nového občianskeho preukazu s čipom a BOK kódom, na ktorom je nahratý nový kvalifikovaný certifikát pre vyhotovovanie KEP, na príslušnom oddelení PZ SR.</w:t>
      </w:r>
    </w:p>
    <w:p w14:paraId="0C907A3F" w14:textId="47ED73DD" w:rsidR="006B4523" w:rsidRDefault="006B4523" w:rsidP="003376A2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prípade uznávania kvalifikovaných elektronických podpisov založených na kvalifikovanom certifikáte </w:t>
      </w:r>
      <w:r w:rsidRPr="00CB39F6">
        <w:rPr>
          <w:rFonts w:ascii="Calibri" w:hAnsi="Calibri" w:cs="Calibri"/>
          <w:b/>
          <w:bCs/>
          <w:color w:val="000000"/>
          <w:sz w:val="22"/>
          <w:szCs w:val="22"/>
        </w:rPr>
        <w:t xml:space="preserve">vzniká </w:t>
      </w:r>
      <w:r w:rsidR="00F852FC" w:rsidRPr="00CB39F6">
        <w:rPr>
          <w:rFonts w:ascii="Calibri" w:hAnsi="Calibri" w:cs="Calibri"/>
          <w:b/>
          <w:bCs/>
          <w:color w:val="000000"/>
          <w:sz w:val="22"/>
          <w:szCs w:val="22"/>
        </w:rPr>
        <w:t>orgánom verejnej moci</w:t>
      </w:r>
      <w:r w:rsidR="00F852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39F6">
        <w:rPr>
          <w:rFonts w:ascii="Calibri" w:hAnsi="Calibri" w:cs="Calibri"/>
          <w:b/>
          <w:bCs/>
          <w:color w:val="000000"/>
          <w:sz w:val="22"/>
          <w:szCs w:val="22"/>
        </w:rPr>
        <w:t xml:space="preserve">povinnosť akceptovať </w:t>
      </w:r>
      <w:r w:rsidR="00F852FC" w:rsidRPr="00CB39F6">
        <w:rPr>
          <w:rFonts w:ascii="Calibri" w:hAnsi="Calibri" w:cs="Calibri"/>
          <w:b/>
          <w:bCs/>
          <w:color w:val="000000"/>
          <w:sz w:val="22"/>
          <w:szCs w:val="22"/>
        </w:rPr>
        <w:t>aj ľubovoľné iné formáty</w:t>
      </w:r>
      <w:r w:rsidR="00F852FC">
        <w:rPr>
          <w:rFonts w:ascii="Calibri" w:hAnsi="Calibri" w:cs="Calibri"/>
          <w:color w:val="000000"/>
          <w:sz w:val="22"/>
          <w:szCs w:val="22"/>
        </w:rPr>
        <w:t xml:space="preserve"> z členských štátov EÚ za podmienky, že členský štát poskytne nástroj na ich overovanie.</w:t>
      </w:r>
      <w:r w:rsidR="00CB39F6">
        <w:rPr>
          <w:rFonts w:ascii="Calibri" w:hAnsi="Calibri" w:cs="Calibri"/>
          <w:color w:val="000000"/>
          <w:sz w:val="22"/>
          <w:szCs w:val="22"/>
        </w:rPr>
        <w:t xml:space="preserve"> (Príkladom môžu byť podľa dostupných informácií niektoré podpisy v PDF z Rakúska, kde je možné len manuálnym spôsobom zistiť, či podpis obsahuje alebo nie.)</w:t>
      </w:r>
    </w:p>
    <w:p w14:paraId="08C46E08" w14:textId="35193CB6" w:rsidR="00F84EE6" w:rsidRDefault="00F84EE6" w:rsidP="00F84EE6">
      <w:pPr>
        <w:pStyle w:val="Normlnywebov"/>
        <w:numPr>
          <w:ilvl w:val="1"/>
          <w:numId w:val="10"/>
        </w:num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Vzhľadom na to, že na úrovni EÚ nie sú definované </w:t>
      </w:r>
      <w:r w:rsidR="00DE476D">
        <w:rPr>
          <w:rFonts w:ascii="Calibri" w:hAnsi="Calibri" w:cs="Calibri"/>
          <w:iCs/>
          <w:color w:val="000000"/>
          <w:sz w:val="22"/>
          <w:szCs w:val="22"/>
        </w:rPr>
        <w:t xml:space="preserve">takéto alternatívne 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>formát</w:t>
      </w:r>
      <w:r w:rsidR="00DE476D">
        <w:rPr>
          <w:rFonts w:ascii="Calibri" w:hAnsi="Calibri" w:cs="Calibri"/>
          <w:iCs/>
          <w:color w:val="000000"/>
          <w:sz w:val="22"/>
          <w:szCs w:val="22"/>
        </w:rPr>
        <w:t>y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, a neexistuje povinnosť </w:t>
      </w:r>
      <w:r w:rsidR="00DE476D">
        <w:rPr>
          <w:rFonts w:ascii="Calibri" w:hAnsi="Calibri" w:cs="Calibri"/>
          <w:iCs/>
          <w:color w:val="000000"/>
          <w:sz w:val="22"/>
          <w:szCs w:val="22"/>
        </w:rPr>
        <w:t>členský štátov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 EÚ </w:t>
      </w:r>
      <w:r w:rsidR="00DE476D">
        <w:rPr>
          <w:rFonts w:ascii="Calibri" w:hAnsi="Calibri" w:cs="Calibri"/>
          <w:iCs/>
          <w:color w:val="000000"/>
          <w:sz w:val="22"/>
          <w:szCs w:val="22"/>
        </w:rPr>
        <w:t>garantovať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 automatizovan</w:t>
      </w:r>
      <w:r w:rsidR="00DE476D">
        <w:rPr>
          <w:rFonts w:ascii="Calibri" w:hAnsi="Calibri" w:cs="Calibri"/>
          <w:iCs/>
          <w:color w:val="000000"/>
          <w:sz w:val="22"/>
          <w:szCs w:val="22"/>
        </w:rPr>
        <w:t>ú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 detekciu a overenie zdokonaleného el. podpisu založenom na kvalifikovanom certifikáte, bude potrebné takéto zahraničné zdokonalené podpisy overovať manuálne zo strany OVM, a to aj v prípade, kedy OVM využíva CEP.</w:t>
      </w:r>
    </w:p>
    <w:p w14:paraId="243AD6E7" w14:textId="3A54F4FC" w:rsidR="00DE476D" w:rsidRPr="00F84EE6" w:rsidRDefault="00DE476D" w:rsidP="00F84EE6">
      <w:pPr>
        <w:pStyle w:val="Normlnywebov"/>
        <w:numPr>
          <w:ilvl w:val="1"/>
          <w:numId w:val="10"/>
        </w:numPr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Takýchto prípadov je v súčasnosti minimum ale môžu sa potenciálne rozšíriť.</w:t>
      </w:r>
    </w:p>
    <w:p w14:paraId="1D80F341" w14:textId="320641DB" w:rsidR="00F852FC" w:rsidRPr="00F852FC" w:rsidRDefault="00F852FC" w:rsidP="00F852FC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Môže byť potrebné </w:t>
      </w:r>
      <w:r w:rsidRPr="00A45C6F">
        <w:rPr>
          <w:rFonts w:ascii="Calibri" w:hAnsi="Calibri" w:cs="Calibri"/>
          <w:color w:val="000000"/>
          <w:sz w:val="22"/>
          <w:szCs w:val="22"/>
          <w:u w:val="single"/>
        </w:rPr>
        <w:t>upraviť menšiu časť informačných systémov</w:t>
      </w:r>
      <w:r>
        <w:rPr>
          <w:rFonts w:ascii="Calibri" w:hAnsi="Calibri" w:cs="Calibri"/>
          <w:color w:val="000000"/>
          <w:sz w:val="22"/>
          <w:szCs w:val="22"/>
        </w:rPr>
        <w:t xml:space="preserve"> pre prácu s autorizáciami, ktoré majú implementovanú kontrolu, či ide o kvalifikovaný elektronický podpis.</w:t>
      </w:r>
    </w:p>
    <w:p w14:paraId="65617C08" w14:textId="77777777" w:rsidR="008C78CF" w:rsidRDefault="008C78CF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74E6529B" w14:textId="68DC4575" w:rsidR="009D5D1C" w:rsidRDefault="009D5D1C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Alternatívy:</w:t>
      </w:r>
    </w:p>
    <w:p w14:paraId="57999AAE" w14:textId="66B88816" w:rsidR="009D5D1C" w:rsidRDefault="009D5D1C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06999">
        <w:rPr>
          <w:rFonts w:ascii="Calibri" w:hAnsi="Calibri" w:cs="Calibri"/>
          <w:color w:val="000000"/>
          <w:sz w:val="22"/>
          <w:szCs w:val="22"/>
        </w:rPr>
        <w:t>Alternatívou ku akceptovaniu zdokonaleného elektronického podpisu založeného na kvalifikovanom certifikáte je</w:t>
      </w:r>
      <w:r w:rsidR="00106999">
        <w:rPr>
          <w:rFonts w:ascii="Calibri" w:hAnsi="Calibri" w:cs="Calibri"/>
          <w:color w:val="000000"/>
          <w:sz w:val="22"/>
          <w:szCs w:val="22"/>
        </w:rPr>
        <w:t>:</w:t>
      </w:r>
    </w:p>
    <w:p w14:paraId="5049928D" w14:textId="46A4CD66" w:rsidR="00106999" w:rsidRDefault="00106999" w:rsidP="00106999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širšie rozšírenie implementácie autorizácie klikom podľa § 23 ods. 1 písm. a) bod 2 zákona o e-Governmente na prístupových miestach,</w:t>
      </w:r>
    </w:p>
    <w:p w14:paraId="166B595D" w14:textId="2F24819F" w:rsidR="00106999" w:rsidRDefault="00D00510" w:rsidP="00106999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hromadná </w:t>
      </w:r>
      <w:r w:rsidR="00106999">
        <w:rPr>
          <w:rFonts w:ascii="Calibri" w:hAnsi="Calibri" w:cs="Calibri"/>
          <w:color w:val="000000"/>
          <w:sz w:val="22"/>
          <w:szCs w:val="22"/>
        </w:rPr>
        <w:t>výmena dokladov s čipom zo strany občanov</w:t>
      </w:r>
      <w:r w:rsidR="00E07938">
        <w:rPr>
          <w:rFonts w:ascii="Calibri" w:hAnsi="Calibri" w:cs="Calibri"/>
          <w:color w:val="000000"/>
          <w:sz w:val="22"/>
          <w:szCs w:val="22"/>
        </w:rPr>
        <w:t xml:space="preserve"> (pričom sa zároveň pripravuje riešenie pre aktívnu kontrolu a informovanie používateľa, či používaný certifikát nebol zrušený),</w:t>
      </w:r>
    </w:p>
    <w:p w14:paraId="6291F097" w14:textId="26D0A112" w:rsidR="00E07938" w:rsidRPr="00106999" w:rsidRDefault="00063A44" w:rsidP="00106999">
      <w:pPr>
        <w:pStyle w:val="Normlnywebov"/>
        <w:numPr>
          <w:ilvl w:val="0"/>
          <w:numId w:val="10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vydanie vyhlášky definujúcej viaceré „úrovne“ autorizácie.</w:t>
      </w:r>
    </w:p>
    <w:p w14:paraId="653B20CC" w14:textId="77777777" w:rsidR="009D5D1C" w:rsidRDefault="009D5D1C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29E6C3C1" w14:textId="42FBF959" w:rsidR="00B93937" w:rsidRPr="00B93937" w:rsidRDefault="00B93937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9393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Podrobnosti:</w:t>
      </w:r>
    </w:p>
    <w:p w14:paraId="19E5D335" w14:textId="22A4DE09" w:rsidR="00DC48E0" w:rsidRPr="007C5678" w:rsidRDefault="00263456" w:rsidP="00DC48E0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 xml:space="preserve">dokonalený </w:t>
      </w:r>
      <w:r w:rsidR="001530A4">
        <w:rPr>
          <w:rFonts w:ascii="Calibri" w:hAnsi="Calibri" w:cs="Calibri"/>
          <w:color w:val="000000"/>
          <w:sz w:val="22"/>
          <w:szCs w:val="22"/>
        </w:rPr>
        <w:t xml:space="preserve">elektronický 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 xml:space="preserve">podpis </w:t>
      </w:r>
      <w:r w:rsidR="00721396">
        <w:rPr>
          <w:rFonts w:ascii="Calibri" w:hAnsi="Calibri" w:cs="Calibri"/>
          <w:color w:val="000000"/>
          <w:sz w:val="22"/>
          <w:szCs w:val="22"/>
        </w:rPr>
        <w:t xml:space="preserve">založený na kvalifikovanom certifikáte </w:t>
      </w:r>
      <w:r>
        <w:rPr>
          <w:rFonts w:ascii="Calibri" w:hAnsi="Calibri" w:cs="Calibri"/>
          <w:color w:val="000000"/>
          <w:sz w:val="22"/>
          <w:szCs w:val="22"/>
        </w:rPr>
        <w:t xml:space="preserve">musí 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>spĺňa</w:t>
      </w:r>
      <w:r>
        <w:rPr>
          <w:rFonts w:ascii="Calibri" w:hAnsi="Calibri" w:cs="Calibri"/>
          <w:color w:val="000000"/>
          <w:sz w:val="22"/>
          <w:szCs w:val="22"/>
        </w:rPr>
        <w:t>ť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 xml:space="preserve"> požiadavky uvedené v odseku 2 a teda požiadavky vyplývajúce z nariadenia Európskeho parlamentu a Rady (EÚ) č. 910/2014</w:t>
      </w:r>
      <w:r w:rsidR="00DC48E0" w:rsidRPr="007C5678">
        <w:rPr>
          <w:sz w:val="22"/>
          <w:szCs w:val="22"/>
        </w:rPr>
        <w:t xml:space="preserve"> 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 xml:space="preserve">o elektronickej identifikácii a dôveryhodných službách pre elektronické transakcie na vnútornom trhu a o zrušení smernice 1999/93/ES (ďalej len „nariadenie </w:t>
      </w:r>
      <w:proofErr w:type="spellStart"/>
      <w:r w:rsidR="00DC48E0" w:rsidRPr="007C5678">
        <w:rPr>
          <w:rFonts w:ascii="Calibri" w:hAnsi="Calibri" w:cs="Calibri"/>
          <w:color w:val="000000"/>
          <w:sz w:val="22"/>
          <w:szCs w:val="22"/>
        </w:rPr>
        <w:t>eIDAS</w:t>
      </w:r>
      <w:proofErr w:type="spellEnd"/>
      <w:r w:rsidR="00DC48E0" w:rsidRPr="007C5678">
        <w:rPr>
          <w:rFonts w:ascii="Calibri" w:hAnsi="Calibri" w:cs="Calibri"/>
          <w:color w:val="000000"/>
          <w:sz w:val="22"/>
          <w:szCs w:val="22"/>
        </w:rPr>
        <w:t>“) a jeho prílohy I.</w:t>
      </w:r>
    </w:p>
    <w:p w14:paraId="4EB560D3" w14:textId="649D3B21" w:rsidR="00DC48E0" w:rsidRPr="00E66D86" w:rsidRDefault="00DC48E0" w:rsidP="00E66D86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color w:val="000000"/>
          <w:sz w:val="22"/>
          <w:szCs w:val="22"/>
        </w:rPr>
        <w:t>Vydaním vyhlášky bude docielené</w:t>
      </w:r>
      <w:r w:rsidR="00E66D86">
        <w:rPr>
          <w:rFonts w:ascii="Calibri" w:hAnsi="Calibri" w:cs="Calibri"/>
          <w:color w:val="000000"/>
          <w:sz w:val="22"/>
          <w:szCs w:val="22"/>
        </w:rPr>
        <w:t xml:space="preserve">, že </w:t>
      </w:r>
      <w:r w:rsidRPr="00120CC8">
        <w:rPr>
          <w:rFonts w:ascii="Calibri" w:hAnsi="Calibri" w:cs="Calibri"/>
          <w:color w:val="000000"/>
          <w:sz w:val="22"/>
          <w:szCs w:val="22"/>
        </w:rPr>
        <w:t xml:space="preserve">občan bude mať k dispozícii autorizačný „prostriedok“ na účely podania elektronických podaní v zmysle zákona o e-Governmente, pri ktorých sa vyžaduje autorizácia, ktorá nahrádza v elektronickom svete vlastnoručný podpis, </w:t>
      </w:r>
      <w:r w:rsidRPr="007C5678">
        <w:rPr>
          <w:rFonts w:ascii="Calibri" w:hAnsi="Calibri" w:cs="Calibri"/>
          <w:color w:val="000000"/>
          <w:sz w:val="22"/>
          <w:szCs w:val="22"/>
        </w:rPr>
        <w:t>ktorý nemusí byť úradne osvedčený v zmysle osobitného predpisu</w:t>
      </w:r>
      <w:r w:rsidR="00DD3037" w:rsidRPr="007C5678">
        <w:rPr>
          <w:rFonts w:ascii="Calibri" w:hAnsi="Calibri" w:cs="Calibri"/>
          <w:color w:val="000000"/>
          <w:sz w:val="22"/>
          <w:szCs w:val="22"/>
        </w:rPr>
        <w:t>,</w:t>
      </w:r>
    </w:p>
    <w:p w14:paraId="29657F04" w14:textId="19C5601A" w:rsidR="009E3DF1" w:rsidRPr="008E26B1" w:rsidRDefault="00B87D8D" w:rsidP="00B87D8D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DC48E0" w:rsidRPr="007C5678">
        <w:rPr>
          <w:rFonts w:ascii="Calibri" w:hAnsi="Calibri" w:cs="Calibri"/>
          <w:color w:val="000000"/>
          <w:sz w:val="22"/>
          <w:szCs w:val="22"/>
        </w:rPr>
        <w:t>úvisiace právne otázky sú predmetom analýzy, ktorú pre MIRRI SR spracovala Právnická fakulta UK (v prílohe).</w:t>
      </w:r>
      <w:bookmarkEnd w:id="4"/>
      <w:bookmarkEnd w:id="6"/>
      <w:bookmarkEnd w:id="7"/>
    </w:p>
    <w:p w14:paraId="1EF47257" w14:textId="79CB2B3E" w:rsidR="00747F47" w:rsidRDefault="009E3DF1" w:rsidP="009E3DF1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Zdroj</w:t>
      </w:r>
      <w:r w:rsidR="008E26B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62A7A700" w14:textId="6B36D1FB" w:rsidR="009E3DF1" w:rsidRDefault="003402D6" w:rsidP="009E3DF1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747F47" w:rsidRPr="00CE36CF">
          <w:rPr>
            <w:rStyle w:val="Hypertextovprepojenie"/>
            <w:rFonts w:ascii="Calibri" w:hAnsi="Calibri" w:cs="Calibri"/>
            <w:sz w:val="22"/>
            <w:szCs w:val="22"/>
          </w:rPr>
          <w:t>https://www.slovensko.sk/sk/oznamy/detail/_elektronickym-cipom-na-doteraj</w:t>
        </w:r>
      </w:hyperlink>
      <w:r w:rsidR="009E3DF1">
        <w:rPr>
          <w:rFonts w:ascii="Calibri" w:hAnsi="Calibri" w:cs="Calibri"/>
          <w:color w:val="000000"/>
          <w:sz w:val="22"/>
          <w:szCs w:val="22"/>
        </w:rPr>
        <w:t xml:space="preserve">  </w:t>
      </w:r>
      <w:hyperlink r:id="rId9" w:anchor="kolko9" w:history="1">
        <w:r w:rsidR="009E3DF1" w:rsidRPr="00CE36CF">
          <w:rPr>
            <w:rStyle w:val="Hypertextovprepojenie"/>
            <w:rFonts w:ascii="Calibri" w:eastAsiaTheme="majorEastAsia" w:hAnsi="Calibri" w:cs="Calibri"/>
            <w:sz w:val="22"/>
            <w:szCs w:val="22"/>
          </w:rPr>
          <w:t>https://www.slovensko.sk/sk/faq/faq-zep/#kolko9</w:t>
        </w:r>
      </w:hyperlink>
    </w:p>
    <w:p w14:paraId="1BCEABF5" w14:textId="77777777" w:rsidR="009E3DF1" w:rsidRDefault="009E3DF1" w:rsidP="003576B0">
      <w:pPr>
        <w:shd w:val="clear" w:color="auto" w:fill="FFFFFF"/>
        <w:rPr>
          <w:rFonts w:ascii="Calibri" w:hAnsi="Calibri" w:cs="Calibri"/>
        </w:rPr>
      </w:pPr>
    </w:p>
    <w:p w14:paraId="53BC63F1" w14:textId="77777777" w:rsidR="00D07B33" w:rsidRPr="007C5678" w:rsidRDefault="00D07B33" w:rsidP="00D07B33">
      <w:pPr>
        <w:pStyle w:val="Normlnywebov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C5678"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 xml:space="preserve">Legislatíva: </w:t>
      </w:r>
    </w:p>
    <w:p w14:paraId="7D52F6A1" w14:textId="77777777" w:rsidR="00D07B33" w:rsidRPr="007C5678" w:rsidRDefault="00D07B33" w:rsidP="00D07B33">
      <w:pPr>
        <w:pStyle w:val="Normlnywebov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b/>
          <w:bCs/>
          <w:color w:val="000000"/>
          <w:sz w:val="22"/>
          <w:szCs w:val="22"/>
        </w:rPr>
        <w:t>§ 23 ods. 1 druhá veta zákona č. 305/2013 Z. z. o elektronickej podobe výkonu pôsobnosti orgánov verejnej moci a o zmene a doplnení niektorých zákonov (zákon o e-Governmente) v znení neskorších predpisov (ďalej len „zákon o e-Governmente“)</w:t>
      </w:r>
      <w:r w:rsidRPr="007C5678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72CC75C5" w14:textId="77777777" w:rsidR="00D07B33" w:rsidRPr="007C5678" w:rsidRDefault="00D07B33" w:rsidP="00D07B33">
      <w:pPr>
        <w:pStyle w:val="Normlnywebov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„...Osoba, ktorá nie je orgánom verejnej moci, vykoná autorizáciu elektronického podania,</w:t>
      </w:r>
    </w:p>
    <w:p w14:paraId="28CF0D5D" w14:textId="77777777" w:rsidR="00D07B33" w:rsidRPr="007C5678" w:rsidRDefault="00D07B33" w:rsidP="00D07B33">
      <w:pPr>
        <w:pStyle w:val="Normlnywebov"/>
        <w:spacing w:before="120" w:beforeAutospacing="0" w:after="120" w:afterAutospacing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 xml:space="preserve">a) </w:t>
      </w: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ab/>
        <w:t>ak sa podľa zákona podáva v elektronickej podobe a zákon neustanovuje iný spôsob autorizácie alebo ak je podľa osobitného predpisu náležitosťou podania vlastnoručný podpis</w:t>
      </w:r>
    </w:p>
    <w:p w14:paraId="2A4079EF" w14:textId="77777777" w:rsidR="00D07B33" w:rsidRPr="007C5678" w:rsidRDefault="00D07B33" w:rsidP="00D07B33">
      <w:pPr>
        <w:pStyle w:val="Normlnywebov"/>
        <w:numPr>
          <w:ilvl w:val="0"/>
          <w:numId w:val="6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kvalifikovaným elektronickým podpisom</w:t>
      </w:r>
      <w:hyperlink r:id="rId10" w:anchor="poznamky.poznamka-17" w:tooltip="Odkaz na predpis alebo ustanovenie" w:history="1"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  <w:vertAlign w:val="superscript"/>
          </w:rPr>
          <w:t>17</w:t>
        </w:r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</w:rPr>
          <w:t>)</w:t>
        </w:r>
      </w:hyperlink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 alebo kvalifikovanou elektronickou pečaťou,</w:t>
      </w:r>
      <w:hyperlink r:id="rId11" w:anchor="poznamky.poznamka-18" w:tooltip="Odkaz na predpis alebo ustanovenie" w:history="1"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  <w:vertAlign w:val="superscript"/>
          </w:rPr>
          <w:t>18</w:t>
        </w:r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</w:rPr>
          <w:t>)</w:t>
        </w:r>
      </w:hyperlink>
    </w:p>
    <w:p w14:paraId="069294CD" w14:textId="77777777" w:rsidR="00D07B33" w:rsidRPr="007C5678" w:rsidRDefault="00D07B33" w:rsidP="00D07B33">
      <w:pPr>
        <w:pStyle w:val="Normlnywebov"/>
        <w:numPr>
          <w:ilvl w:val="0"/>
          <w:numId w:val="6"/>
        </w:numPr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použitím na to určenej funkcie informačného systému prístupového miesta a po úspešnej autentifikácii osoby ktorá autorizáciu vykonáva, zodpovedajúcej najmenej úrovni zabezpečenia „pokročilá“ podľa osobitného predpisu,</w:t>
      </w:r>
      <w:hyperlink r:id="rId12" w:anchor="poznamky.poznamka-20a" w:tooltip="Odkaz na predpis alebo ustanovenie" w:history="1"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  <w:vertAlign w:val="superscript"/>
          </w:rPr>
          <w:t>20a</w:t>
        </w:r>
        <w:r w:rsidRPr="007C5678">
          <w:rPr>
            <w:rStyle w:val="Hypertextovprepojenie"/>
            <w:rFonts w:ascii="Calibri" w:eastAsiaTheme="majorEastAsia" w:hAnsi="Calibri" w:cs="Calibri"/>
            <w:i/>
            <w:iCs/>
            <w:color w:val="0563C1"/>
            <w:sz w:val="22"/>
            <w:szCs w:val="22"/>
          </w:rPr>
          <w:t>)</w:t>
        </w:r>
      </w:hyperlink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 ak sa zabezpečí uvedenie tejto osoby ako odosielateľa elektronickej správy, nemennosť obsahu autorizovaného dokumentu do momentu uloženia v elektronickej schránke adresáta, spojenie autorizovaného dokumentu s identifikátorom osoby odosielateľa a zachovanie väzby medzi nimi, ak to osobitný predpis nezakazuje alebo</w:t>
      </w:r>
    </w:p>
    <w:p w14:paraId="4063412F" w14:textId="77777777" w:rsidR="00D07B33" w:rsidRPr="007C5678" w:rsidRDefault="00D07B33" w:rsidP="00D07B33">
      <w:pPr>
        <w:pStyle w:val="Normlnywebov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uznaným spôsobom autorizácie, ak to osobitný predpis nezakazuje</w:t>
      </w:r>
      <w:r w:rsidRPr="007C5678">
        <w:rPr>
          <w:rFonts w:ascii="Calibri" w:hAnsi="Calibri" w:cs="Calibri"/>
          <w:color w:val="000000"/>
          <w:sz w:val="22"/>
          <w:szCs w:val="22"/>
        </w:rPr>
        <w:t>,...“.</w:t>
      </w:r>
    </w:p>
    <w:p w14:paraId="3AC87134" w14:textId="77777777" w:rsidR="00D07B33" w:rsidRPr="007C5678" w:rsidRDefault="00D07B33" w:rsidP="00D07B33">
      <w:pPr>
        <w:pStyle w:val="Normlnywebov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b/>
          <w:bCs/>
          <w:color w:val="000000"/>
          <w:sz w:val="22"/>
          <w:szCs w:val="22"/>
        </w:rPr>
        <w:t>§ 23 ods. 2 zákona o e-Governmente</w:t>
      </w:r>
      <w:r w:rsidRPr="007C5678">
        <w:rPr>
          <w:rFonts w:ascii="Calibri" w:hAnsi="Calibri" w:cs="Calibri"/>
          <w:color w:val="000000"/>
          <w:sz w:val="22"/>
          <w:szCs w:val="22"/>
        </w:rPr>
        <w:t>:</w:t>
      </w:r>
    </w:p>
    <w:p w14:paraId="36ABBC85" w14:textId="77777777" w:rsidR="00D07B33" w:rsidRPr="007C5678" w:rsidRDefault="00D07B33" w:rsidP="00D07B33">
      <w:pPr>
        <w:pStyle w:val="Normlnywebov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„Uznaný spôsob autorizácie je taký spôsob autorizácie, ktorý zabezpečuje spoľahlivú identifikáciu osoby, ktorá autorizáciu vykonala, a spoľahlivé zachytenie obsahu právneho úkonu, ktorý autorizovala, ako aj zhodu medzi autorizovaným právnym úkonom a právnym úkonom, ktorý osoba autorizovala. Uznaný spôsob autorizácie môže byť odlišný pre autorizáciu elektronického podania, pri ktorom sa vyžaduje vlastnoručný podpis, a elektronického podania, pri ktorom musí byť vlastnoručný podpis úradne osvedčený</w:t>
      </w:r>
      <w:r w:rsidRPr="007C5678">
        <w:rPr>
          <w:rFonts w:ascii="Calibri" w:hAnsi="Calibri" w:cs="Calibri"/>
          <w:color w:val="000000"/>
          <w:sz w:val="22"/>
          <w:szCs w:val="22"/>
        </w:rPr>
        <w:t>.“.</w:t>
      </w:r>
    </w:p>
    <w:p w14:paraId="1A1CFE28" w14:textId="6F710ECD" w:rsidR="00A92BA6" w:rsidRPr="00A92BA6" w:rsidRDefault="00A92BA6" w:rsidP="008E26B1">
      <w:pPr>
        <w:pStyle w:val="Normlnywebov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92BA6">
        <w:rPr>
          <w:rFonts w:ascii="Calibri" w:hAnsi="Calibri" w:cs="Calibri"/>
          <w:b/>
          <w:bCs/>
          <w:color w:val="000000"/>
          <w:sz w:val="22"/>
          <w:szCs w:val="22"/>
        </w:rPr>
        <w:t xml:space="preserve">Nariadenie </w:t>
      </w:r>
      <w:proofErr w:type="spellStart"/>
      <w:r w:rsidRPr="00A92BA6">
        <w:rPr>
          <w:rFonts w:ascii="Calibri" w:hAnsi="Calibri" w:cs="Calibri"/>
          <w:b/>
          <w:bCs/>
          <w:color w:val="000000"/>
          <w:sz w:val="22"/>
          <w:szCs w:val="22"/>
        </w:rPr>
        <w:t>eIDAS</w:t>
      </w:r>
      <w:proofErr w:type="spellEnd"/>
      <w:r w:rsidR="00434B82">
        <w:rPr>
          <w:rFonts w:ascii="Calibri" w:hAnsi="Calibri" w:cs="Calibri"/>
          <w:b/>
          <w:bCs/>
          <w:color w:val="000000"/>
          <w:sz w:val="22"/>
          <w:szCs w:val="22"/>
        </w:rPr>
        <w:t xml:space="preserve"> a Vykonávacie rozhodnutie Komisie 2015/1506</w:t>
      </w:r>
    </w:p>
    <w:p w14:paraId="0246E9BB" w14:textId="3DC71929" w:rsidR="008E26B1" w:rsidRPr="007C5678" w:rsidRDefault="008E26B1" w:rsidP="008E26B1">
      <w:pPr>
        <w:pStyle w:val="Normlnywebov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92BA6">
        <w:rPr>
          <w:rFonts w:ascii="Calibri" w:hAnsi="Calibri" w:cs="Calibri"/>
          <w:color w:val="000000"/>
          <w:sz w:val="22"/>
          <w:szCs w:val="22"/>
          <w:u w:val="single"/>
        </w:rPr>
        <w:t>V</w:t>
      </w:r>
      <w:r w:rsidRPr="007C5678">
        <w:rPr>
          <w:rFonts w:ascii="Calibri" w:hAnsi="Calibri" w:cs="Calibri"/>
          <w:color w:val="000000"/>
          <w:sz w:val="22"/>
          <w:szCs w:val="22"/>
          <w:u w:val="single"/>
        </w:rPr>
        <w:t xml:space="preserve"> zmysle čl. 27 ods. 2 nariadenia </w:t>
      </w:r>
      <w:proofErr w:type="spellStart"/>
      <w:r w:rsidRPr="007C5678">
        <w:rPr>
          <w:rFonts w:ascii="Calibri" w:hAnsi="Calibri" w:cs="Calibri"/>
          <w:color w:val="000000"/>
          <w:sz w:val="22"/>
          <w:szCs w:val="22"/>
          <w:u w:val="single"/>
        </w:rPr>
        <w:t>eIDAS</w:t>
      </w:r>
      <w:proofErr w:type="spellEnd"/>
      <w:r w:rsidRPr="007C5678">
        <w:rPr>
          <w:rFonts w:ascii="Calibri" w:hAnsi="Calibri" w:cs="Calibri"/>
          <w:color w:val="000000"/>
          <w:sz w:val="22"/>
          <w:szCs w:val="22"/>
          <w:u w:val="single"/>
        </w:rPr>
        <w:t xml:space="preserve"> platí</w:t>
      </w:r>
      <w:r w:rsidRPr="007C5678">
        <w:rPr>
          <w:rFonts w:ascii="Calibri" w:hAnsi="Calibri" w:cs="Calibri"/>
          <w:color w:val="000000"/>
          <w:sz w:val="22"/>
          <w:szCs w:val="22"/>
        </w:rPr>
        <w:t>, že „</w:t>
      </w: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 xml:space="preserve">Ak členský štát na využívanie služby online, ktorú ponúka subjekt verejného sektora alebo ktorá sa ponúka v jeho mene, vyžaduje zdokonalený elektronický podpis založený na kvalifikovanom certifikáte, uznáva tento členský štát zdokonalené elektronické podpisy založené na kvalifikovanom certifikáte a kvalifikované elektronické podpisy, a to aspoň tie, ktoré sú vo formátoch alebo ktoré používajú metódy vymedzené vo vykonávacích aktoch uvedených v odseku 5.“. </w:t>
      </w:r>
    </w:p>
    <w:p w14:paraId="75815650" w14:textId="77777777" w:rsidR="008E26B1" w:rsidRPr="007C5678" w:rsidRDefault="008E26B1" w:rsidP="008E26B1">
      <w:pPr>
        <w:pStyle w:val="Normlnywebov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Zároveň podľa článku 2 Vykonávacieho rozhodnutia Komisie (EÚ) 2015/1506, ktorým sa ustanovujú špecifikácie týkajúce sa formátov zdokonalených elektronických podpisov a zdokonalených elektronických pečatí, ktoré môžu subjekty verejného sektora uznávať, podľa článkov 27 ods. 5 a 37 ods. 5 nariadenia </w:t>
      </w:r>
      <w:proofErr w:type="spellStart"/>
      <w:r w:rsidRPr="007C5678">
        <w:rPr>
          <w:rFonts w:ascii="Calibri" w:hAnsi="Calibri" w:cs="Calibri"/>
          <w:iCs/>
          <w:color w:val="000000"/>
          <w:sz w:val="22"/>
          <w:szCs w:val="22"/>
        </w:rPr>
        <w:t>eIDAS</w:t>
      </w:r>
      <w:proofErr w:type="spellEnd"/>
      <w:r w:rsidRPr="007C5678">
        <w:rPr>
          <w:rFonts w:ascii="Calibri" w:hAnsi="Calibri" w:cs="Calibri"/>
          <w:iCs/>
          <w:color w:val="000000"/>
          <w:sz w:val="22"/>
          <w:szCs w:val="22"/>
        </w:rPr>
        <w:t xml:space="preserve"> platí v prípade uznávania zdokonalených elektronických podpisov založených na kvalifikovanom certifikáte povinnosť uznávať aj ľubovoľné iné formáty </w:t>
      </w:r>
      <w:r w:rsidRPr="007C5678">
        <w:rPr>
          <w:rFonts w:ascii="Calibri" w:hAnsi="Calibri" w:cs="Calibri"/>
          <w:i/>
          <w:iCs/>
          <w:color w:val="000000"/>
          <w:sz w:val="22"/>
          <w:szCs w:val="22"/>
        </w:rPr>
        <w:t>„za predpokladu, že členský štát, v ktorom má sídlo poskytovateľ dôveryhodných služieb používaný podpisovateľom, ponúkne iným členským štátom možnosti validácie podpisu, ktoré budú podľa možnosti vhodné na automatizované spracovanie"</w:t>
      </w:r>
      <w:r w:rsidRPr="007C5678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2DF2B953" w14:textId="77777777" w:rsidR="00D07B33" w:rsidRPr="003576B0" w:rsidRDefault="00D07B33" w:rsidP="003576B0">
      <w:pPr>
        <w:shd w:val="clear" w:color="auto" w:fill="FFFFFF"/>
        <w:rPr>
          <w:rFonts w:ascii="Calibri" w:hAnsi="Calibri" w:cs="Calibri"/>
        </w:rPr>
      </w:pPr>
    </w:p>
    <w:sectPr w:rsidR="00D07B33" w:rsidRPr="003576B0" w:rsidSect="00DD3037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3357" w14:textId="77777777" w:rsidR="00AB23CB" w:rsidRDefault="00AB23CB" w:rsidP="00DD3037">
      <w:r>
        <w:separator/>
      </w:r>
    </w:p>
  </w:endnote>
  <w:endnote w:type="continuationSeparator" w:id="0">
    <w:p w14:paraId="6FD981DB" w14:textId="77777777" w:rsidR="00AB23CB" w:rsidRDefault="00AB23CB" w:rsidP="00D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99064"/>
      <w:docPartObj>
        <w:docPartGallery w:val="Page Numbers (Bottom of Page)"/>
        <w:docPartUnique/>
      </w:docPartObj>
    </w:sdtPr>
    <w:sdtEndPr/>
    <w:sdtContent>
      <w:p w14:paraId="68D43957" w14:textId="2823FE00" w:rsidR="00DD3037" w:rsidRDefault="00DD30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D6">
          <w:rPr>
            <w:noProof/>
          </w:rPr>
          <w:t>3</w:t>
        </w:r>
        <w:r>
          <w:fldChar w:fldCharType="end"/>
        </w:r>
      </w:p>
    </w:sdtContent>
  </w:sdt>
  <w:p w14:paraId="5E3A218C" w14:textId="77777777" w:rsidR="00DD3037" w:rsidRDefault="00DD30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3021C" w14:textId="77777777" w:rsidR="00AB23CB" w:rsidRDefault="00AB23CB" w:rsidP="00DD3037">
      <w:r>
        <w:separator/>
      </w:r>
    </w:p>
  </w:footnote>
  <w:footnote w:type="continuationSeparator" w:id="0">
    <w:p w14:paraId="52AD7313" w14:textId="77777777" w:rsidR="00AB23CB" w:rsidRDefault="00AB23CB" w:rsidP="00DD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C03"/>
    <w:multiLevelType w:val="hybridMultilevel"/>
    <w:tmpl w:val="EA486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62F7"/>
    <w:multiLevelType w:val="hybridMultilevel"/>
    <w:tmpl w:val="0E201D30"/>
    <w:lvl w:ilvl="0" w:tplc="5D82C152">
      <w:start w:val="3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614C"/>
    <w:multiLevelType w:val="hybridMultilevel"/>
    <w:tmpl w:val="BAEC6C7A"/>
    <w:lvl w:ilvl="0" w:tplc="9F8649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356D"/>
    <w:multiLevelType w:val="multilevel"/>
    <w:tmpl w:val="9F2C0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E97609"/>
    <w:multiLevelType w:val="hybridMultilevel"/>
    <w:tmpl w:val="FDC8951A"/>
    <w:lvl w:ilvl="0" w:tplc="7EF88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08C0"/>
    <w:multiLevelType w:val="hybridMultilevel"/>
    <w:tmpl w:val="A77CA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3094"/>
    <w:multiLevelType w:val="multilevel"/>
    <w:tmpl w:val="350A17E2"/>
    <w:lvl w:ilvl="0">
      <w:start w:val="6"/>
      <w:numFmt w:val="decimal"/>
      <w:lvlText w:val="%1"/>
      <w:lvlJc w:val="left"/>
      <w:pPr>
        <w:ind w:left="92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9" w:hanging="1701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234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5" w:hanging="283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79" w:hanging="3119"/>
      </w:pPr>
      <w:rPr>
        <w:rFonts w:hint="default"/>
      </w:rPr>
    </w:lvl>
  </w:abstractNum>
  <w:abstractNum w:abstractNumId="7" w15:restartNumberingAfterBreak="0">
    <w:nsid w:val="6E44773D"/>
    <w:multiLevelType w:val="hybridMultilevel"/>
    <w:tmpl w:val="547685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815C1"/>
    <w:multiLevelType w:val="multilevel"/>
    <w:tmpl w:val="0BD407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4"/>
    <w:rsid w:val="00016F4F"/>
    <w:rsid w:val="0002532C"/>
    <w:rsid w:val="00063A44"/>
    <w:rsid w:val="0006551F"/>
    <w:rsid w:val="00074D45"/>
    <w:rsid w:val="000A31D6"/>
    <w:rsid w:val="000A7B80"/>
    <w:rsid w:val="000D3046"/>
    <w:rsid w:val="000F0A42"/>
    <w:rsid w:val="00106999"/>
    <w:rsid w:val="00120CC8"/>
    <w:rsid w:val="001274CA"/>
    <w:rsid w:val="00133A0A"/>
    <w:rsid w:val="001530A4"/>
    <w:rsid w:val="00163254"/>
    <w:rsid w:val="001A2FB6"/>
    <w:rsid w:val="001B6AA1"/>
    <w:rsid w:val="001C601D"/>
    <w:rsid w:val="00200214"/>
    <w:rsid w:val="00217B82"/>
    <w:rsid w:val="00222854"/>
    <w:rsid w:val="00263456"/>
    <w:rsid w:val="002653DA"/>
    <w:rsid w:val="00266665"/>
    <w:rsid w:val="002769F3"/>
    <w:rsid w:val="002960B0"/>
    <w:rsid w:val="002E2852"/>
    <w:rsid w:val="00327CE9"/>
    <w:rsid w:val="003376A2"/>
    <w:rsid w:val="003402D6"/>
    <w:rsid w:val="003417BF"/>
    <w:rsid w:val="003511BB"/>
    <w:rsid w:val="003576B0"/>
    <w:rsid w:val="003B2756"/>
    <w:rsid w:val="003D03E5"/>
    <w:rsid w:val="003D70E1"/>
    <w:rsid w:val="003F0A80"/>
    <w:rsid w:val="003F6B13"/>
    <w:rsid w:val="0040201E"/>
    <w:rsid w:val="0043372E"/>
    <w:rsid w:val="00434B82"/>
    <w:rsid w:val="00461DF5"/>
    <w:rsid w:val="004A646C"/>
    <w:rsid w:val="004B6478"/>
    <w:rsid w:val="004E64CB"/>
    <w:rsid w:val="00501525"/>
    <w:rsid w:val="00544B6D"/>
    <w:rsid w:val="00557F6E"/>
    <w:rsid w:val="00565047"/>
    <w:rsid w:val="005658A1"/>
    <w:rsid w:val="00566334"/>
    <w:rsid w:val="005C0634"/>
    <w:rsid w:val="005F3BB2"/>
    <w:rsid w:val="00601E56"/>
    <w:rsid w:val="006329E1"/>
    <w:rsid w:val="00632F8B"/>
    <w:rsid w:val="006457DD"/>
    <w:rsid w:val="00650630"/>
    <w:rsid w:val="006A18F9"/>
    <w:rsid w:val="006B26C0"/>
    <w:rsid w:val="006B4523"/>
    <w:rsid w:val="006B4BBB"/>
    <w:rsid w:val="006C32F3"/>
    <w:rsid w:val="006D1702"/>
    <w:rsid w:val="006E2471"/>
    <w:rsid w:val="006F2245"/>
    <w:rsid w:val="007164A6"/>
    <w:rsid w:val="00721396"/>
    <w:rsid w:val="007446AC"/>
    <w:rsid w:val="00747F47"/>
    <w:rsid w:val="007C426F"/>
    <w:rsid w:val="007C5678"/>
    <w:rsid w:val="007F1065"/>
    <w:rsid w:val="007F37E5"/>
    <w:rsid w:val="00820590"/>
    <w:rsid w:val="008662E8"/>
    <w:rsid w:val="00890D90"/>
    <w:rsid w:val="008A1686"/>
    <w:rsid w:val="008C78CF"/>
    <w:rsid w:val="008E26B1"/>
    <w:rsid w:val="008E47A5"/>
    <w:rsid w:val="00901DDE"/>
    <w:rsid w:val="00943044"/>
    <w:rsid w:val="0096358E"/>
    <w:rsid w:val="0098326C"/>
    <w:rsid w:val="0098651F"/>
    <w:rsid w:val="009A1642"/>
    <w:rsid w:val="009B6C37"/>
    <w:rsid w:val="009C4258"/>
    <w:rsid w:val="009D5D1C"/>
    <w:rsid w:val="009E390B"/>
    <w:rsid w:val="009E3DF1"/>
    <w:rsid w:val="00A21925"/>
    <w:rsid w:val="00A2303D"/>
    <w:rsid w:val="00A42C62"/>
    <w:rsid w:val="00A45C6F"/>
    <w:rsid w:val="00A47FCE"/>
    <w:rsid w:val="00A92BA6"/>
    <w:rsid w:val="00AA6648"/>
    <w:rsid w:val="00AB23CB"/>
    <w:rsid w:val="00AB459F"/>
    <w:rsid w:val="00AC3EB0"/>
    <w:rsid w:val="00AE0FBB"/>
    <w:rsid w:val="00AE7888"/>
    <w:rsid w:val="00AF2DB6"/>
    <w:rsid w:val="00AF76E7"/>
    <w:rsid w:val="00B01EDB"/>
    <w:rsid w:val="00B27505"/>
    <w:rsid w:val="00B276D1"/>
    <w:rsid w:val="00B32773"/>
    <w:rsid w:val="00B3286B"/>
    <w:rsid w:val="00B40A17"/>
    <w:rsid w:val="00B51D0D"/>
    <w:rsid w:val="00B826E8"/>
    <w:rsid w:val="00B86C39"/>
    <w:rsid w:val="00B87D8D"/>
    <w:rsid w:val="00B93937"/>
    <w:rsid w:val="00BC0A72"/>
    <w:rsid w:val="00BF3D9A"/>
    <w:rsid w:val="00C017A8"/>
    <w:rsid w:val="00C23B57"/>
    <w:rsid w:val="00C4572E"/>
    <w:rsid w:val="00C6235A"/>
    <w:rsid w:val="00C7220C"/>
    <w:rsid w:val="00CA3C6B"/>
    <w:rsid w:val="00CB39F6"/>
    <w:rsid w:val="00CC1129"/>
    <w:rsid w:val="00CE5885"/>
    <w:rsid w:val="00CF1016"/>
    <w:rsid w:val="00CF574F"/>
    <w:rsid w:val="00CF5AAD"/>
    <w:rsid w:val="00D00510"/>
    <w:rsid w:val="00D06C38"/>
    <w:rsid w:val="00D07B33"/>
    <w:rsid w:val="00D23D67"/>
    <w:rsid w:val="00D67A68"/>
    <w:rsid w:val="00D91533"/>
    <w:rsid w:val="00DB7F44"/>
    <w:rsid w:val="00DC48E0"/>
    <w:rsid w:val="00DD0261"/>
    <w:rsid w:val="00DD3037"/>
    <w:rsid w:val="00DE0A88"/>
    <w:rsid w:val="00DE476D"/>
    <w:rsid w:val="00DE7FFA"/>
    <w:rsid w:val="00E07938"/>
    <w:rsid w:val="00E51737"/>
    <w:rsid w:val="00E57A1E"/>
    <w:rsid w:val="00E66D86"/>
    <w:rsid w:val="00E9586E"/>
    <w:rsid w:val="00EC28F4"/>
    <w:rsid w:val="00ED47E4"/>
    <w:rsid w:val="00ED539D"/>
    <w:rsid w:val="00F35672"/>
    <w:rsid w:val="00F35D62"/>
    <w:rsid w:val="00F522EE"/>
    <w:rsid w:val="00F57533"/>
    <w:rsid w:val="00F823C1"/>
    <w:rsid w:val="00F84EE6"/>
    <w:rsid w:val="00F852FC"/>
    <w:rsid w:val="00FB6493"/>
    <w:rsid w:val="00FB69A9"/>
    <w:rsid w:val="00FD378F"/>
    <w:rsid w:val="00FE3D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099"/>
  <w15:chartTrackingRefBased/>
  <w15:docId w15:val="{52AE5C75-098C-4A68-A18B-F467ED0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6665"/>
    <w:pPr>
      <w:keepNext/>
      <w:keepLines/>
      <w:numPr>
        <w:numId w:val="1"/>
      </w:numPr>
      <w:spacing w:before="360" w:after="120"/>
      <w:outlineLvl w:val="0"/>
    </w:pPr>
    <w:rPr>
      <w:rFonts w:asciiTheme="minorHAnsi" w:eastAsiaTheme="majorEastAsia" w:hAnsiTheme="minorHAnsi" w:cstheme="minorHAns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3044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Theme="minorHAnsi" w:eastAsiaTheme="majorEastAsia" w:hAnsiTheme="minorHAnsi" w:cstheme="minorHAns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43044"/>
    <w:pPr>
      <w:keepNext/>
      <w:keepLines/>
      <w:numPr>
        <w:ilvl w:val="2"/>
        <w:numId w:val="1"/>
      </w:numPr>
      <w:spacing w:before="36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30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30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30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30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30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30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6665"/>
    <w:rPr>
      <w:rFonts w:eastAsiaTheme="majorEastAsia" w:cstheme="minorHAnsi"/>
      <w:b/>
      <w:sz w:val="28"/>
      <w:szCs w:val="32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943044"/>
    <w:rPr>
      <w:rFonts w:eastAsiaTheme="majorEastAsia" w:cstheme="minorHAnsi"/>
      <w:color w:val="2F5496" w:themeColor="accent1" w:themeShade="BF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9430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430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30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30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304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GB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30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3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GB"/>
    </w:rPr>
  </w:style>
  <w:style w:type="paragraph" w:customStyle="1" w:styleId="paragraph">
    <w:name w:val="paragraph"/>
    <w:basedOn w:val="Normlny"/>
    <w:rsid w:val="00943044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943044"/>
  </w:style>
  <w:style w:type="paragraph" w:styleId="Bezriadkovania">
    <w:name w:val="No Spacing"/>
    <w:uiPriority w:val="1"/>
    <w:qFormat/>
    <w:rsid w:val="00943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sz w:val="24"/>
      <w:szCs w:val="24"/>
      <w:lang w:eastAsia="sk-SK"/>
    </w:rPr>
  </w:style>
  <w:style w:type="table" w:styleId="Tabukasmriekou2zvraznenie5">
    <w:name w:val="Grid Table 2 Accent 5"/>
    <w:basedOn w:val="Normlnatabuka"/>
    <w:uiPriority w:val="47"/>
    <w:rsid w:val="0094304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lnywebov">
    <w:name w:val="Normal (Web)"/>
    <w:basedOn w:val="Normlny"/>
    <w:uiPriority w:val="99"/>
    <w:unhideWhenUsed/>
    <w:rsid w:val="00DE7F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DE7FFA"/>
  </w:style>
  <w:style w:type="table" w:styleId="Tabukasmriekou1svetl">
    <w:name w:val="Grid Table 1 Light"/>
    <w:basedOn w:val="Normlnatabuka"/>
    <w:uiPriority w:val="46"/>
    <w:rsid w:val="007C426F"/>
    <w:pPr>
      <w:spacing w:after="0" w:line="240" w:lineRule="auto"/>
    </w:pPr>
    <w:rPr>
      <w:rFonts w:eastAsiaTheme="minorEastAsia"/>
      <w:sz w:val="20"/>
      <w:lang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lny"/>
    <w:rsid w:val="00F823C1"/>
    <w:rPr>
      <w:rFonts w:eastAsiaTheme="minorHAnsi"/>
      <w:color w:val="000000" w:themeColor="text1"/>
      <w:lang w:eastAsia="sk-SK"/>
    </w:rPr>
  </w:style>
  <w:style w:type="character" w:customStyle="1" w:styleId="InternetLink">
    <w:name w:val="Internet Link"/>
    <w:basedOn w:val="Predvolenpsmoodseku"/>
    <w:uiPriority w:val="99"/>
    <w:unhideWhenUsed/>
    <w:rsid w:val="005C063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62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2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557F6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F6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57F6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557F6E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557F6E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71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DD30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0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DD30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0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459F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o.sk/sk/oznamy/detail/_elektronickym-cipom-na-dote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305/20201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305/202012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3/305/20201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ensko.sk/sk/faq/faq-ze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AC64-EFCF-4B7E-B844-06B65BC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8129</Characters>
  <Application>Microsoft Office Word</Application>
  <DocSecurity>4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Szilva</dc:creator>
  <cp:keywords/>
  <dc:description/>
  <cp:lastModifiedBy>Drotárová, Veronika</cp:lastModifiedBy>
  <cp:revision>2</cp:revision>
  <dcterms:created xsi:type="dcterms:W3CDTF">2022-03-07T07:34:00Z</dcterms:created>
  <dcterms:modified xsi:type="dcterms:W3CDTF">2022-03-07T07:34:00Z</dcterms:modified>
</cp:coreProperties>
</file>